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p>
      <w:pPr>
        <w:spacing w:line="1216" w:lineRule="exact"/>
        <w:ind w:left="375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
          <w:sz w:val="20"/>
          <w:szCs w:val="20"/>
        </w:rPr>
        <w:drawing>
          <wp:inline distT="0" distB="0" distL="0" distR="0">
            <wp:extent cx="1938003" cy="772668"/>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938003" cy="772668"/>
                    </a:xfrm>
                    <a:prstGeom prst="rect">
                      <a:avLst/>
                    </a:prstGeom>
                  </pic:spPr>
                </pic:pic>
              </a:graphicData>
            </a:graphic>
          </wp:inline>
        </w:drawing>
      </w:r>
      <w:r>
        <w:rPr>
          <w:rFonts w:ascii="Times New Roman" w:hAnsi="Times New Roman" w:cs="Times New Roman" w:eastAsia="Times New Roman" w:hint="default"/>
          <w:position w:val="-23"/>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6"/>
          <w:szCs w:val="26"/>
        </w:rPr>
      </w:pPr>
    </w:p>
    <w:p>
      <w:pPr>
        <w:spacing w:line="460" w:lineRule="exact" w:before="0"/>
        <w:ind w:left="0" w:right="983" w:firstLine="0"/>
        <w:jc w:val="center"/>
        <w:rPr>
          <w:rFonts w:ascii="宋体" w:hAnsi="宋体" w:cs="宋体" w:eastAsia="宋体" w:hint="default"/>
          <w:sz w:val="36"/>
          <w:szCs w:val="36"/>
        </w:rPr>
      </w:pPr>
      <w:r>
        <w:rPr/>
        <w:pict>
          <v:shape style="position:absolute;margin-left:236.699997pt;margin-top:-110.501251pt;width:153pt;height:61pt;mso-position-horizontal-relative:page;mso-position-vertical-relative:paragraph;z-index:-1290352" type="#_x0000_t202" filled="false" stroked="false">
            <v:textbox inset="0,0,0,0">
              <w:txbxContent>
                <w:p>
                  <w:pPr>
                    <w:spacing w:before="262"/>
                    <w:ind w:left="0" w:right="438" w:firstLine="0"/>
                    <w:jc w:val="center"/>
                    <w:rPr>
                      <w:rFonts w:ascii="Times New Roman" w:hAnsi="Times New Roman" w:cs="Times New Roman" w:eastAsia="Times New Roman" w:hint="default"/>
                      <w:sz w:val="36"/>
                      <w:szCs w:val="36"/>
                    </w:rPr>
                  </w:pPr>
                  <w:r>
                    <w:rPr>
                      <w:rFonts w:ascii="Times New Roman"/>
                      <w:b/>
                      <w:sz w:val="36"/>
                    </w:rPr>
                    <w:t>mei</w:t>
                  </w:r>
                  <w:r>
                    <w:rPr>
                      <w:rFonts w:ascii="Times New Roman"/>
                      <w:sz w:val="36"/>
                    </w:rPr>
                  </w:r>
                </w:p>
              </w:txbxContent>
            </v:textbox>
            <w10:wrap type="none"/>
          </v:shape>
        </w:pict>
      </w:r>
      <w:r>
        <w:rPr>
          <w:rFonts w:ascii="宋体" w:hAnsi="宋体" w:cs="宋体" w:eastAsia="宋体" w:hint="default"/>
          <w:b/>
          <w:bCs/>
          <w:sz w:val="36"/>
          <w:szCs w:val="36"/>
        </w:rPr>
        <w:t>广州广电运通金融电子股份有限公司</w:t>
      </w:r>
      <w:r>
        <w:rPr>
          <w:rFonts w:ascii="宋体" w:hAnsi="宋体" w:cs="宋体" w:eastAsia="宋体" w:hint="default"/>
          <w:sz w:val="36"/>
          <w:szCs w:val="36"/>
        </w:rPr>
      </w:r>
    </w:p>
    <w:p>
      <w:pPr>
        <w:spacing w:line="240" w:lineRule="auto" w:before="8"/>
        <w:rPr>
          <w:rFonts w:ascii="宋体" w:hAnsi="宋体" w:cs="宋体" w:eastAsia="宋体" w:hint="default"/>
          <w:b/>
          <w:bCs/>
          <w:sz w:val="44"/>
          <w:szCs w:val="44"/>
        </w:rPr>
      </w:pPr>
    </w:p>
    <w:p>
      <w:pPr>
        <w:spacing w:before="0"/>
        <w:ind w:left="0" w:right="98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before="276"/>
        <w:ind w:left="0" w:right="980" w:firstLine="0"/>
        <w:jc w:val="center"/>
        <w:rPr>
          <w:rFonts w:ascii="宋体" w:hAnsi="宋体" w:cs="宋体" w:eastAsia="宋体" w:hint="default"/>
          <w:sz w:val="32"/>
          <w:szCs w:val="32"/>
        </w:rPr>
      </w:pPr>
      <w:r>
        <w:rPr>
          <w:rFonts w:ascii="宋体" w:hAnsi="宋体" w:cs="宋体" w:eastAsia="宋体" w:hint="default"/>
          <w:b/>
          <w:bCs/>
          <w:sz w:val="32"/>
          <w:szCs w:val="32"/>
        </w:rPr>
        <w:t>二零一九年四月</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3"/>
        <w:rPr>
          <w:rFonts w:ascii="宋体" w:hAnsi="宋体" w:cs="宋体" w:eastAsia="宋体" w:hint="default"/>
          <w:b/>
          <w:bCs/>
          <w:sz w:val="46"/>
          <w:szCs w:val="46"/>
        </w:rPr>
      </w:pPr>
    </w:p>
    <w:p>
      <w:pPr>
        <w:tabs>
          <w:tab w:pos="7069" w:val="left" w:leader="none"/>
        </w:tabs>
        <w:spacing w:before="0"/>
        <w:ind w:left="0" w:right="982" w:firstLine="0"/>
        <w:jc w:val="center"/>
        <w:rPr>
          <w:rFonts w:ascii="Times New Roman" w:hAnsi="Times New Roman" w:cs="Times New Roman" w:eastAsia="Times New Roman" w:hint="default"/>
          <w:sz w:val="32"/>
          <w:szCs w:val="32"/>
        </w:rPr>
      </w:pPr>
      <w:r>
        <w:rPr>
          <w:rFonts w:ascii="宋体" w:hAnsi="宋体" w:cs="宋体" w:eastAsia="宋体" w:hint="default"/>
          <w:b/>
          <w:bCs/>
          <w:w w:val="95"/>
          <w:sz w:val="32"/>
          <w:szCs w:val="32"/>
        </w:rPr>
        <w:t>证券简称：广电运通</w:t>
        <w:tab/>
      </w:r>
      <w:r>
        <w:rPr>
          <w:rFonts w:ascii="宋体" w:hAnsi="宋体" w:cs="宋体" w:eastAsia="宋体" w:hint="default"/>
          <w:b/>
          <w:bCs/>
          <w:sz w:val="32"/>
          <w:szCs w:val="32"/>
        </w:rPr>
        <w:t>证券代码：</w:t>
      </w:r>
      <w:r>
        <w:rPr>
          <w:rFonts w:ascii="Times New Roman" w:hAnsi="Times New Roman" w:cs="Times New Roman" w:eastAsia="Times New Roman" w:hint="default"/>
          <w:b/>
          <w:bCs/>
          <w:sz w:val="32"/>
          <w:szCs w:val="32"/>
        </w:rPr>
        <w:t>002152</w:t>
      </w:r>
      <w:r>
        <w:rPr>
          <w:rFonts w:ascii="Times New Roman" w:hAnsi="Times New Roman" w:cs="Times New Roman" w:eastAsia="Times New Roman" w:hint="default"/>
          <w:sz w:val="32"/>
          <w:szCs w:val="32"/>
        </w:rPr>
      </w:r>
    </w:p>
    <w:p>
      <w:pPr>
        <w:spacing w:after="0"/>
        <w:jc w:val="center"/>
        <w:rPr>
          <w:rFonts w:ascii="Times New Roman" w:hAnsi="Times New Roman" w:cs="Times New Roman" w:eastAsia="Times New Roman" w:hint="default"/>
          <w:sz w:val="32"/>
          <w:szCs w:val="32"/>
        </w:rPr>
        <w:sectPr>
          <w:headerReference w:type="default" r:id="rId5"/>
          <w:footerReference w:type="default" r:id="rId6"/>
          <w:type w:val="continuous"/>
          <w:pgSz w:w="11910" w:h="16840"/>
          <w:pgMar w:header="877" w:footer="979" w:top="1100" w:bottom="1160" w:left="980" w:right="0"/>
          <w:pgNumType w:start="1"/>
        </w:sectPr>
      </w:pPr>
    </w:p>
    <w:p>
      <w:pPr>
        <w:spacing w:line="240" w:lineRule="auto" w:before="0"/>
        <w:rPr>
          <w:rFonts w:ascii="Times New Roman" w:hAnsi="Times New Roman" w:cs="Times New Roman" w:eastAsia="Times New Roman" w:hint="default"/>
          <w:b/>
          <w:bCs/>
          <w:sz w:val="20"/>
          <w:szCs w:val="20"/>
        </w:rPr>
      </w:pPr>
    </w:p>
    <w:p>
      <w:pPr>
        <w:spacing w:before="143"/>
        <w:ind w:left="0" w:right="978" w:firstLine="0"/>
        <w:jc w:val="center"/>
        <w:rPr>
          <w:rFonts w:ascii="宋体" w:hAnsi="宋体" w:cs="宋体" w:eastAsia="宋体" w:hint="default"/>
          <w:sz w:val="32"/>
          <w:szCs w:val="32"/>
        </w:rPr>
      </w:pPr>
      <w:r>
        <w:rPr>
          <w:rFonts w:ascii="宋体" w:hAnsi="宋体" w:cs="宋体" w:eastAsia="宋体" w:hint="default"/>
          <w:b/>
          <w:bCs/>
          <w:spacing w:val="2"/>
          <w:sz w:val="32"/>
          <w:szCs w:val="32"/>
        </w:rPr>
        <w:t>致股东</w:t>
      </w:r>
      <w:r>
        <w:rPr>
          <w:rFonts w:ascii="宋体" w:hAnsi="宋体" w:cs="宋体" w:eastAsia="宋体" w:hint="default"/>
          <w:sz w:val="32"/>
          <w:szCs w:val="32"/>
        </w:rPr>
      </w:r>
    </w:p>
    <w:p>
      <w:pPr>
        <w:spacing w:line="240" w:lineRule="auto" w:before="4"/>
        <w:rPr>
          <w:rFonts w:ascii="宋体" w:hAnsi="宋体" w:cs="宋体" w:eastAsia="宋体" w:hint="default"/>
          <w:b/>
          <w:bCs/>
          <w:sz w:val="42"/>
          <w:szCs w:val="42"/>
        </w:rPr>
      </w:pPr>
    </w:p>
    <w:p>
      <w:pPr>
        <w:pStyle w:val="BodyText"/>
        <w:spacing w:line="240" w:lineRule="auto"/>
        <w:ind w:right="1034"/>
        <w:jc w:val="left"/>
      </w:pPr>
      <w:r>
        <w:rPr/>
        <w:t>尊敬的广电运通股东：</w:t>
      </w:r>
    </w:p>
    <w:p>
      <w:pPr>
        <w:pStyle w:val="BodyText"/>
        <w:spacing w:line="300" w:lineRule="auto" w:before="117"/>
        <w:ind w:right="1131" w:firstLine="36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年是广电运通开启人工智能战略升级的开局之年，公司在智能金融、智能交通、智能安全、智能便民等业务领域 </w:t>
      </w:r>
      <w:r>
        <w:rPr>
          <w:spacing w:val="-1"/>
        </w:rPr>
        <w:t>展开系统布局，深入开展生物特征识别、智能视频等核心技术研发，推动一大批“</w:t>
      </w:r>
      <w:r>
        <w:rPr>
          <w:rFonts w:ascii="Times New Roman" w:hAnsi="Times New Roman" w:cs="Times New Roman" w:eastAsia="Times New Roman" w:hint="default"/>
          <w:spacing w:val="-1"/>
        </w:rPr>
        <w:t>AI+</w:t>
      </w:r>
      <w:r>
        <w:rPr>
          <w:spacing w:val="-1"/>
        </w:rPr>
        <w:t>应用场景”项目快速落地，公司产业</w:t>
      </w:r>
      <w:r>
        <w:rPr>
          <w:spacing w:val="-53"/>
        </w:rPr>
        <w:t> </w:t>
      </w:r>
      <w:r>
        <w:rPr>
          <w:spacing w:val="-53"/>
        </w:rPr>
      </w:r>
      <w:r>
        <w:rPr/>
        <w:t>布局不断优化、收入结构更趋合理。</w:t>
      </w:r>
    </w:p>
    <w:p>
      <w:pPr>
        <w:pStyle w:val="BodyText"/>
        <w:spacing w:line="312" w:lineRule="auto" w:before="72"/>
        <w:ind w:right="1129" w:firstLine="36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27"/>
        </w:rPr>
        <w:t> </w:t>
      </w:r>
      <w:r>
        <w:rPr>
          <w:spacing w:val="-2"/>
        </w:rPr>
        <w:t>年，公司的“</w:t>
      </w:r>
      <w:r>
        <w:rPr>
          <w:rFonts w:ascii="Times New Roman" w:hAnsi="Times New Roman" w:cs="Times New Roman" w:eastAsia="Times New Roman" w:hint="default"/>
          <w:spacing w:val="-2"/>
        </w:rPr>
        <w:t>AI+</w:t>
      </w:r>
      <w:r>
        <w:rPr>
          <w:spacing w:val="-2"/>
        </w:rPr>
        <w:t>应用场景”实现多项突破。中标多个国有大型银行和海外银行的网点转型样板项目，公司自主研</w:t>
      </w:r>
      <w:r>
        <w:rPr>
          <w:w w:val="99"/>
        </w:rPr>
        <w:t> </w:t>
      </w:r>
      <w:r>
        <w:rPr>
          <w:spacing w:val="-2"/>
        </w:rPr>
        <w:t>发的综合业务智能柜台、大额现金智能柜员机、柜员电子尾箱、网点综合存取机、全功能一体机等推动银行网点业务流程创</w:t>
      </w:r>
      <w:r>
        <w:rPr>
          <w:spacing w:val="-65"/>
        </w:rPr>
        <w:t> </w:t>
      </w:r>
      <w:r>
        <w:rPr>
          <w:spacing w:val="-65"/>
        </w:rPr>
      </w:r>
      <w:r>
        <w:rPr>
          <w:spacing w:val="-2"/>
        </w:rPr>
        <w:t>新的新产品相继问世，顺应银行网点转型升级的趋势，今年将会大规模推广应用。公司在深圳的平安城市建设项目已经成为</w:t>
      </w:r>
      <w:r>
        <w:rPr>
          <w:spacing w:val="-63"/>
        </w:rPr>
        <w:t> </w:t>
      </w:r>
      <w:r>
        <w:rPr>
          <w:spacing w:val="-63"/>
        </w:rPr>
      </w:r>
      <w:r>
        <w:rPr>
          <w:spacing w:val="-2"/>
        </w:rPr>
        <w:t>行业标杆，后续将在粤港澳大湾区的平安城市建设中实现更大突破。公司与战略伙伴紧密合作，在深圳地铁率先实现了刷码</w:t>
      </w:r>
      <w:r>
        <w:rPr>
          <w:spacing w:val="-64"/>
        </w:rPr>
        <w:t> </w:t>
      </w:r>
      <w:r>
        <w:rPr>
          <w:spacing w:val="-64"/>
        </w:rPr>
      </w:r>
      <w:r>
        <w:rPr>
          <w:spacing w:val="-2"/>
        </w:rPr>
        <w:t>乘车、闪付乘车，今年还将实现在营线路的刷脸乘车和基于常旅客洞察技术的快速安检。此外，包含人脸识别的多模式识别</w:t>
      </w:r>
      <w:r>
        <w:rPr>
          <w:spacing w:val="-65"/>
        </w:rPr>
        <w:t> </w:t>
      </w:r>
      <w:r>
        <w:rPr>
          <w:spacing w:val="-65"/>
        </w:rPr>
      </w:r>
      <w:r>
        <w:rPr/>
        <w:t>闸机已经开始应用于机场、景区、剧院、学校、楼宇，让快速过闸无处不在。这一年公司吸收了三个中小品牌的</w:t>
      </w:r>
      <w:r>
        <w:rPr>
          <w:spacing w:val="-60"/>
        </w:rPr>
        <w:t> </w:t>
      </w:r>
      <w:r>
        <w:rPr>
          <w:rFonts w:ascii="Times New Roman" w:hAnsi="Times New Roman" w:cs="Times New Roman" w:eastAsia="Times New Roman" w:hint="default"/>
        </w:rPr>
        <w:t>ATM</w:t>
      </w:r>
      <w:r>
        <w:rPr>
          <w:rFonts w:ascii="Times New Roman" w:hAnsi="Times New Roman" w:cs="Times New Roman" w:eastAsia="Times New Roman" w:hint="default"/>
          <w:spacing w:val="-15"/>
        </w:rPr>
        <w:t> </w:t>
      </w:r>
      <w:r>
        <w:rPr/>
        <w:t>维保 业务，维保设备数量突破</w:t>
      </w:r>
      <w:r>
        <w:rPr>
          <w:spacing w:val="-42"/>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万台，随着公司的维保监控平台接入更多银行，公司遍布全国九百多个服务站的近六千名工程 </w:t>
      </w:r>
      <w:r>
        <w:rPr>
          <w:spacing w:val="-2"/>
        </w:rPr>
        <w:t>师得以用更快的响应速度、更高的人均效能服务更多的银行客户。公司看好智能零售运营的巨大市场空间，尝试部署了六千</w:t>
      </w:r>
      <w:r>
        <w:rPr>
          <w:spacing w:val="-62"/>
        </w:rPr>
        <w:t> </w:t>
      </w:r>
      <w:r>
        <w:rPr>
          <w:spacing w:val="-62"/>
        </w:rPr>
      </w:r>
      <w:r>
        <w:rPr>
          <w:spacing w:val="-2"/>
        </w:rPr>
        <w:t>台无人零售机，初步建成了支持十万台量级的商品零售和售货机管理云平台，依托数量众多的维保工程师地推团队，公司今</w:t>
      </w:r>
      <w:r>
        <w:rPr>
          <w:spacing w:val="-63"/>
        </w:rPr>
        <w:t> </w:t>
      </w:r>
      <w:r>
        <w:rPr>
          <w:spacing w:val="-63"/>
        </w:rPr>
      </w:r>
      <w:r>
        <w:rPr/>
        <w:t>年将会加大投入，新部署超过一万台的智能零售终端。</w:t>
      </w:r>
    </w:p>
    <w:p>
      <w:pPr>
        <w:pStyle w:val="BodyText"/>
        <w:spacing w:line="309" w:lineRule="auto" w:before="61"/>
        <w:ind w:right="1034" w:firstLine="36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spacing w:val="-4"/>
        </w:rPr>
        <w:t>年，广电运通营业收入首次超过</w:t>
      </w:r>
      <w:r>
        <w:rPr>
          <w:spacing w:val="-41"/>
        </w:rPr>
        <w:t> </w:t>
      </w:r>
      <w:r>
        <w:rPr>
          <w:rFonts w:ascii="Times New Roman" w:hAnsi="Times New Roman" w:cs="Times New Roman" w:eastAsia="Times New Roman" w:hint="default"/>
        </w:rPr>
        <w:t>50</w:t>
      </w:r>
      <w:r>
        <w:rPr>
          <w:rFonts w:ascii="Times New Roman" w:hAnsi="Times New Roman" w:cs="Times New Roman" w:eastAsia="Times New Roman" w:hint="default"/>
          <w:spacing w:val="5"/>
        </w:rPr>
        <w:t> </w:t>
      </w:r>
      <w:r>
        <w:rPr>
          <w:spacing w:val="-6"/>
        </w:rPr>
        <w:t>亿元，同比增长</w:t>
      </w:r>
      <w:r>
        <w:rPr>
          <w:spacing w:val="-43"/>
        </w:rPr>
        <w:t> </w:t>
      </w:r>
      <w:r>
        <w:rPr>
          <w:rFonts w:ascii="Times New Roman" w:hAnsi="Times New Roman" w:cs="Times New Roman" w:eastAsia="Times New Roman" w:hint="default"/>
          <w:spacing w:val="-4"/>
        </w:rPr>
        <w:t>24.53%</w:t>
      </w:r>
      <w:r>
        <w:rPr>
          <w:spacing w:val="-4"/>
        </w:rPr>
        <w:t>，实现历史性突破。全年扣非净利润同比增长</w:t>
      </w:r>
      <w:r>
        <w:rPr>
          <w:spacing w:val="-40"/>
        </w:rPr>
        <w:t> </w:t>
      </w:r>
      <w:r>
        <w:rPr>
          <w:rFonts w:ascii="Times New Roman" w:hAnsi="Times New Roman" w:cs="Times New Roman" w:eastAsia="Times New Roman" w:hint="default"/>
        </w:rPr>
        <w:t>30.21%</w:t>
      </w:r>
      <w:r>
        <w:rPr/>
        <w:t>， 有望迎来利润上升拐点。公司以“领先的行业人工智能解决方案提供商”作为新时期战略方向，以行业应用场景为突破口、</w:t>
      </w:r>
      <w:r>
        <w:rPr>
          <w:spacing w:val="-83"/>
        </w:rPr>
        <w:t> </w:t>
      </w:r>
      <w:r>
        <w:rPr>
          <w:spacing w:val="-83"/>
        </w:rPr>
      </w:r>
      <w:r>
        <w:rPr>
          <w:spacing w:val="-2"/>
        </w:rPr>
        <w:t>用技术研发构筑“护城河”。随着国家深化供给侧结构性改革和创新发展战略的强力推动，粤港澳大湾区智慧城市群建设的</w:t>
      </w:r>
      <w:r>
        <w:rPr>
          <w:spacing w:val="-65"/>
        </w:rPr>
        <w:t> </w:t>
      </w:r>
      <w:r>
        <w:rPr>
          <w:spacing w:val="-65"/>
        </w:rPr>
      </w:r>
      <w:r>
        <w:rPr/>
        <w:t>不断加速，以及</w:t>
      </w:r>
      <w:r>
        <w:rPr>
          <w:spacing w:val="-52"/>
        </w:rPr>
        <w:t> </w:t>
      </w:r>
      <w:r>
        <w:rPr>
          <w:rFonts w:ascii="Times New Roman" w:hAnsi="Times New Roman" w:cs="Times New Roman" w:eastAsia="Times New Roman" w:hint="default"/>
        </w:rPr>
        <w:t>5G</w:t>
      </w:r>
      <w:r>
        <w:rPr>
          <w:rFonts w:ascii="Times New Roman" w:hAnsi="Times New Roman" w:cs="Times New Roman" w:eastAsia="Times New Roman" w:hint="default"/>
          <w:spacing w:val="-11"/>
        </w:rPr>
        <w:t> </w:t>
      </w:r>
      <w:r>
        <w:rPr/>
        <w:t>商用步伐的快速推进，以人工智能、物联网、大数据、云计算等新一代信息技术支撑的数字经济将迎来 爆发式增长。广电运通的发展战略充分符合时代发展要求，公司的事业将驶入高质量发展的快车道。</w:t>
      </w:r>
    </w:p>
    <w:p>
      <w:pPr>
        <w:pStyle w:val="BodyText"/>
        <w:spacing w:line="309" w:lineRule="auto" w:before="65"/>
        <w:ind w:right="1131" w:firstLine="36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年，公司在互动易回答、机构投资者交流、主动信息披露等方面比往年都有进步，公司董事会比以往任何时候都 </w:t>
      </w:r>
      <w:r>
        <w:rPr>
          <w:spacing w:val="-2"/>
        </w:rPr>
        <w:t>更注重投资者关系管理，更注重股东利益。在经济不确定性因素增加、股市低迷之际，公司董事会基于对未来发展的坚强信</w:t>
      </w:r>
      <w:r>
        <w:rPr>
          <w:spacing w:val="-64"/>
        </w:rPr>
        <w:t> </w:t>
      </w:r>
      <w:r>
        <w:rPr>
          <w:spacing w:val="-64"/>
        </w:rPr>
      </w:r>
      <w:r>
        <w:rPr/>
        <w:t>心，在广州国有上市公司中第一个实行股份回购，及时稳定投资者信心，获得广州市国资委及广大股民的充分肯定。</w:t>
      </w:r>
    </w:p>
    <w:p>
      <w:pPr>
        <w:pStyle w:val="BodyText"/>
        <w:spacing w:line="309" w:lineRule="auto" w:before="65"/>
        <w:ind w:right="1133" w:firstLine="36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年，公司以自有资金收购了信义科技和中科江南两家优秀企业，从此迈开了人工智能和大数据外延扩张的步伐。 </w:t>
      </w:r>
      <w:r>
        <w:rPr>
          <w:spacing w:val="-2"/>
        </w:rPr>
        <w:t>今年公司会更加敏锐地观察市场动向、丰富行业研究、加强与专业机构的合作，采用多层次、更丰富的资本运作手段，推动</w:t>
      </w:r>
      <w:r>
        <w:rPr>
          <w:spacing w:val="-67"/>
        </w:rPr>
        <w:t> </w:t>
      </w:r>
      <w:r>
        <w:rPr>
          <w:spacing w:val="-67"/>
        </w:rPr>
      </w:r>
      <w:r>
        <w:rPr/>
        <w:t>公司的资产收益率更健康提升。</w:t>
      </w:r>
    </w:p>
    <w:p>
      <w:pPr>
        <w:pStyle w:val="BodyText"/>
        <w:spacing w:line="312" w:lineRule="auto" w:before="62"/>
        <w:ind w:right="1131" w:firstLine="360"/>
        <w:jc w:val="both"/>
      </w:pPr>
      <w:r>
        <w:rPr/>
        <w:t>各位股东，</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年是广电运通成立二十周年，也是公司迈向新征程、取得新作为、实现新跨越的关键之年。广电运通 </w:t>
      </w:r>
      <w:r>
        <w:rPr>
          <w:spacing w:val="-2"/>
        </w:rPr>
        <w:t>将利用好控股股东无线电集团入选国企改革“双百行动”企业、并改组成为广州市首家国有资本投资公司试点企业的良好契</w:t>
      </w:r>
      <w:r>
        <w:rPr>
          <w:spacing w:val="-64"/>
        </w:rPr>
        <w:t> </w:t>
      </w:r>
      <w:r>
        <w:rPr>
          <w:spacing w:val="-64"/>
        </w:rPr>
      </w:r>
      <w:r>
        <w:rPr>
          <w:spacing w:val="-5"/>
        </w:rPr>
        <w:t>机，加快推进公司体制机制创新，充分探索子公司员工持股、优质资产分拆上市等改革措施，高质量推动公司行稳致远发展，</w:t>
      </w:r>
      <w:r>
        <w:rPr>
          <w:spacing w:val="-78"/>
        </w:rPr>
        <w:t> </w:t>
      </w:r>
      <w:r>
        <w:rPr>
          <w:spacing w:val="-78"/>
        </w:rPr>
      </w:r>
      <w:r>
        <w:rPr/>
        <w:t>全面提升公司综合竞争力，长期持续回报各位股东。</w:t>
      </w:r>
    </w:p>
    <w:p>
      <w:pPr>
        <w:pStyle w:val="BodyText"/>
        <w:spacing w:line="240" w:lineRule="auto" w:before="63"/>
        <w:ind w:left="513" w:right="1034"/>
        <w:jc w:val="left"/>
      </w:pPr>
      <w:r>
        <w:rPr/>
        <w:t>再次感谢大家的一路同行与坚守！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BodyText"/>
        <w:spacing w:line="240" w:lineRule="auto"/>
        <w:ind w:left="0" w:right="1491"/>
        <w:jc w:val="right"/>
      </w:pPr>
      <w:r>
        <w:rPr/>
        <w:t>广电运通董事会</w:t>
      </w:r>
    </w:p>
    <w:p>
      <w:pPr>
        <w:pStyle w:val="BodyText"/>
        <w:spacing w:line="240" w:lineRule="auto" w:before="117"/>
        <w:ind w:left="0" w:right="1488"/>
        <w:jc w:val="righ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4 </w:t>
      </w:r>
      <w:r>
        <w:rPr/>
        <w:t>月</w:t>
      </w:r>
      <w:r>
        <w:rPr>
          <w:spacing w:val="-48"/>
        </w:rPr>
        <w:t> </w:t>
      </w:r>
      <w:r>
        <w:rPr>
          <w:rFonts w:ascii="Times New Roman" w:hAnsi="Times New Roman" w:cs="Times New Roman" w:eastAsia="Times New Roman" w:hint="default"/>
        </w:rPr>
        <w:t>25 </w:t>
      </w:r>
      <w:r>
        <w:rPr/>
        <w:t>日</w:t>
      </w:r>
    </w:p>
    <w:p>
      <w:pPr>
        <w:spacing w:after="0" w:line="240" w:lineRule="auto"/>
        <w:jc w:val="righ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pStyle w:val="Heading1"/>
        <w:spacing w:line="240" w:lineRule="auto" w:before="173"/>
        <w:ind w:left="2802" w:right="1034"/>
        <w:jc w:val="left"/>
        <w:rPr>
          <w:b w:val="0"/>
          <w:bCs w:val="0"/>
        </w:rPr>
      </w:pPr>
      <w:bookmarkStart w:name="_bookmark0" w:id="1"/>
      <w:bookmarkEnd w:id="1"/>
      <w:r>
        <w:rPr>
          <w:b w:val="0"/>
          <w:bCs w:val="0"/>
        </w:rPr>
      </w: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7"/>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408" w:lineRule="auto" w:before="160"/>
        <w:ind w:left="152" w:right="1129"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公司负责人黄跃珍、主管会计工作负责人蒋春晨及会计机构负责人（会计</w:t>
      </w:r>
      <w:r>
        <w:rPr>
          <w:rFonts w:ascii="宋体" w:hAnsi="宋体" w:cs="宋体" w:eastAsia="宋体" w:hint="default"/>
          <w:b/>
          <w:bCs/>
          <w:w w:val="99"/>
          <w:sz w:val="28"/>
          <w:szCs w:val="28"/>
        </w:rPr>
        <w:t> </w:t>
      </w:r>
      <w:r>
        <w:rPr>
          <w:rFonts w:ascii="宋体" w:hAnsi="宋体" w:cs="宋体" w:eastAsia="宋体" w:hint="default"/>
          <w:b/>
          <w:bCs/>
          <w:sz w:val="28"/>
          <w:szCs w:val="28"/>
        </w:rPr>
        <w:t>主管人员）惠小绒声明：保证年度报告中财务报告的真实、准确、完整。</w:t>
      </w:r>
      <w:r>
        <w:rPr>
          <w:rFonts w:ascii="宋体" w:hAnsi="宋体" w:cs="宋体" w:eastAsia="宋体" w:hint="default"/>
          <w:sz w:val="28"/>
          <w:szCs w:val="28"/>
        </w:rPr>
      </w:r>
    </w:p>
    <w:p>
      <w:pPr>
        <w:spacing w:line="475" w:lineRule="auto" w:before="162"/>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本年度报告涉及未来发展规划和经营目标的相关陈述，属于公司计划性事</w:t>
      </w:r>
      <w:r>
        <w:rPr>
          <w:rFonts w:ascii="宋体" w:hAnsi="宋体" w:cs="宋体" w:eastAsia="宋体" w:hint="default"/>
          <w:spacing w:val="2"/>
          <w:sz w:val="28"/>
          <w:szCs w:val="28"/>
        </w:rPr>
      </w:r>
    </w:p>
    <w:p>
      <w:pPr>
        <w:spacing w:line="350" w:lineRule="exact" w:before="0"/>
        <w:ind w:left="152" w:right="1034" w:firstLine="0"/>
        <w:jc w:val="left"/>
        <w:rPr>
          <w:rFonts w:ascii="宋体" w:hAnsi="宋体" w:cs="宋体" w:eastAsia="宋体" w:hint="default"/>
          <w:sz w:val="28"/>
          <w:szCs w:val="28"/>
        </w:rPr>
      </w:pPr>
      <w:r>
        <w:rPr>
          <w:rFonts w:ascii="宋体" w:hAnsi="宋体" w:cs="宋体" w:eastAsia="宋体" w:hint="default"/>
          <w:b/>
          <w:bCs/>
          <w:sz w:val="28"/>
          <w:szCs w:val="28"/>
        </w:rPr>
        <w:t>务，不构成公司对投资者的实质承诺，请投资者注意投资风险。</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line="408" w:lineRule="auto" w:before="0"/>
        <w:ind w:left="152" w:right="1131"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公司主要存在市场风险、投资风险、经营规模迅速扩张导致的管理风险、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商誉减值风险及汇率波动风险等，敬请广大投资者注意投资风险。详细内容见</w:t>
      </w:r>
      <w:r>
        <w:rPr>
          <w:rFonts w:ascii="宋体" w:hAnsi="宋体" w:cs="宋体" w:eastAsia="宋体" w:hint="default"/>
          <w:b/>
          <w:bCs/>
          <w:spacing w:val="-137"/>
          <w:sz w:val="28"/>
          <w:szCs w:val="28"/>
        </w:rPr>
        <w:t> </w:t>
      </w:r>
      <w:r>
        <w:rPr>
          <w:rFonts w:ascii="宋体" w:hAnsi="宋体" w:cs="宋体" w:eastAsia="宋体" w:hint="default"/>
          <w:b/>
          <w:bCs/>
          <w:spacing w:val="-137"/>
          <w:sz w:val="28"/>
          <w:szCs w:val="28"/>
        </w:rPr>
      </w:r>
      <w:r>
        <w:rPr>
          <w:rFonts w:ascii="宋体" w:hAnsi="宋体" w:cs="宋体" w:eastAsia="宋体" w:hint="default"/>
          <w:b/>
          <w:bCs/>
          <w:sz w:val="28"/>
          <w:szCs w:val="28"/>
        </w:rPr>
        <w:t>本报告</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第四节九（五）公司面临的风险及应对措施</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w:t>
      </w:r>
      <w:r>
        <w:rPr>
          <w:rFonts w:ascii="宋体" w:hAnsi="宋体" w:cs="宋体" w:eastAsia="宋体" w:hint="default"/>
          <w:sz w:val="28"/>
          <w:szCs w:val="28"/>
        </w:rPr>
      </w:r>
    </w:p>
    <w:p>
      <w:pPr>
        <w:spacing w:before="120"/>
        <w:ind w:left="714" w:right="0" w:firstLine="0"/>
        <w:jc w:val="left"/>
        <w:rPr>
          <w:rFonts w:ascii="宋体" w:hAnsi="宋体" w:cs="宋体" w:eastAsia="宋体" w:hint="default"/>
          <w:sz w:val="28"/>
          <w:szCs w:val="28"/>
        </w:rPr>
      </w:pPr>
      <w:r>
        <w:rPr>
          <w:rFonts w:ascii="宋体" w:hAnsi="宋体" w:cs="宋体" w:eastAsia="宋体" w:hint="default"/>
          <w:b/>
          <w:bCs/>
          <w:w w:val="99"/>
          <w:sz w:val="28"/>
          <w:szCs w:val="28"/>
        </w:rPr>
        <w:t>公司</w:t>
      </w:r>
      <w:r>
        <w:rPr>
          <w:rFonts w:ascii="宋体" w:hAnsi="宋体" w:cs="宋体" w:eastAsia="宋体" w:hint="default"/>
          <w:b/>
          <w:bCs/>
          <w:spacing w:val="2"/>
          <w:w w:val="99"/>
          <w:sz w:val="28"/>
          <w:szCs w:val="28"/>
        </w:rPr>
        <w:t>经</w:t>
      </w:r>
      <w:r>
        <w:rPr>
          <w:rFonts w:ascii="宋体" w:hAnsi="宋体" w:cs="宋体" w:eastAsia="宋体" w:hint="default"/>
          <w:b/>
          <w:bCs/>
          <w:w w:val="99"/>
          <w:sz w:val="28"/>
          <w:szCs w:val="28"/>
        </w:rPr>
        <w:t>本次董事会审议</w:t>
      </w:r>
      <w:r>
        <w:rPr>
          <w:rFonts w:ascii="宋体" w:hAnsi="宋体" w:cs="宋体" w:eastAsia="宋体" w:hint="default"/>
          <w:b/>
          <w:bCs/>
          <w:spacing w:val="2"/>
          <w:w w:val="99"/>
          <w:sz w:val="28"/>
          <w:szCs w:val="28"/>
        </w:rPr>
        <w:t>通</w:t>
      </w:r>
      <w:r>
        <w:rPr>
          <w:rFonts w:ascii="宋体" w:hAnsi="宋体" w:cs="宋体" w:eastAsia="宋体" w:hint="default"/>
          <w:b/>
          <w:bCs/>
          <w:w w:val="99"/>
          <w:sz w:val="28"/>
          <w:szCs w:val="28"/>
        </w:rPr>
        <w:t>过的利润分配预</w:t>
      </w:r>
      <w:r>
        <w:rPr>
          <w:rFonts w:ascii="宋体" w:hAnsi="宋体" w:cs="宋体" w:eastAsia="宋体" w:hint="default"/>
          <w:b/>
          <w:bCs/>
          <w:spacing w:val="2"/>
          <w:w w:val="99"/>
          <w:sz w:val="28"/>
          <w:szCs w:val="28"/>
        </w:rPr>
        <w:t>案</w:t>
      </w:r>
      <w:r>
        <w:rPr>
          <w:rFonts w:ascii="宋体" w:hAnsi="宋体" w:cs="宋体" w:eastAsia="宋体" w:hint="default"/>
          <w:b/>
          <w:bCs/>
          <w:w w:val="99"/>
          <w:sz w:val="28"/>
          <w:szCs w:val="28"/>
        </w:rPr>
        <w:t>为</w:t>
      </w:r>
      <w:r>
        <w:rPr>
          <w:rFonts w:ascii="宋体" w:hAnsi="宋体" w:cs="宋体" w:eastAsia="宋体" w:hint="default"/>
          <w:b/>
          <w:bCs/>
          <w:spacing w:val="-123"/>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2</w:t>
      </w:r>
      <w:r>
        <w:rPr>
          <w:rFonts w:ascii="Times New Roman" w:hAnsi="Times New Roman" w:cs="Times New Roman" w:eastAsia="Times New Roman" w:hint="default"/>
          <w:b/>
          <w:bCs/>
          <w:spacing w:val="-4"/>
          <w:w w:val="100"/>
          <w:sz w:val="28"/>
          <w:szCs w:val="28"/>
        </w:rPr>
        <w:t>,</w:t>
      </w:r>
      <w:r>
        <w:rPr>
          <w:rFonts w:ascii="Times New Roman" w:hAnsi="Times New Roman" w:cs="Times New Roman" w:eastAsia="Times New Roman" w:hint="default"/>
          <w:b/>
          <w:bCs/>
          <w:w w:val="100"/>
          <w:sz w:val="28"/>
          <w:szCs w:val="28"/>
        </w:rPr>
        <w:t>4</w:t>
      </w:r>
      <w:r>
        <w:rPr>
          <w:rFonts w:ascii="Times New Roman" w:hAnsi="Times New Roman" w:cs="Times New Roman" w:eastAsia="Times New Roman" w:hint="default"/>
          <w:b/>
          <w:bCs/>
          <w:spacing w:val="-2"/>
          <w:w w:val="100"/>
          <w:sz w:val="28"/>
          <w:szCs w:val="28"/>
        </w:rPr>
        <w:t>0</w:t>
      </w:r>
      <w:r>
        <w:rPr>
          <w:rFonts w:ascii="Times New Roman" w:hAnsi="Times New Roman" w:cs="Times New Roman" w:eastAsia="Times New Roman" w:hint="default"/>
          <w:b/>
          <w:bCs/>
          <w:w w:val="100"/>
          <w:sz w:val="28"/>
          <w:szCs w:val="28"/>
        </w:rPr>
        <w:t>8</w:t>
      </w:r>
      <w:r>
        <w:rPr>
          <w:rFonts w:ascii="Times New Roman" w:hAnsi="Times New Roman" w:cs="Times New Roman" w:eastAsia="Times New Roman" w:hint="default"/>
          <w:b/>
          <w:bCs/>
          <w:spacing w:val="-4"/>
          <w:w w:val="100"/>
          <w:sz w:val="28"/>
          <w:szCs w:val="28"/>
        </w:rPr>
        <w:t>,</w:t>
      </w:r>
      <w:r>
        <w:rPr>
          <w:rFonts w:ascii="Times New Roman" w:hAnsi="Times New Roman" w:cs="Times New Roman" w:eastAsia="Times New Roman" w:hint="default"/>
          <w:b/>
          <w:bCs/>
          <w:w w:val="100"/>
          <w:sz w:val="28"/>
          <w:szCs w:val="28"/>
        </w:rPr>
        <w:t>9</w:t>
      </w:r>
      <w:r>
        <w:rPr>
          <w:rFonts w:ascii="Times New Roman" w:hAnsi="Times New Roman" w:cs="Times New Roman" w:eastAsia="Times New Roman" w:hint="default"/>
          <w:b/>
          <w:bCs/>
          <w:spacing w:val="-2"/>
          <w:w w:val="100"/>
          <w:sz w:val="28"/>
          <w:szCs w:val="28"/>
        </w:rPr>
        <w:t>9</w:t>
      </w:r>
      <w:r>
        <w:rPr>
          <w:rFonts w:ascii="Times New Roman" w:hAnsi="Times New Roman" w:cs="Times New Roman" w:eastAsia="Times New Roman" w:hint="default"/>
          <w:b/>
          <w:bCs/>
          <w:w w:val="100"/>
          <w:sz w:val="28"/>
          <w:szCs w:val="28"/>
        </w:rPr>
        <w:t>3,</w:t>
      </w:r>
      <w:r>
        <w:rPr>
          <w:rFonts w:ascii="Times New Roman" w:hAnsi="Times New Roman" w:cs="Times New Roman" w:eastAsia="Times New Roman" w:hint="default"/>
          <w:b/>
          <w:bCs/>
          <w:spacing w:val="-2"/>
          <w:w w:val="100"/>
          <w:sz w:val="28"/>
          <w:szCs w:val="28"/>
        </w:rPr>
        <w:t>95</w:t>
      </w:r>
      <w:r>
        <w:rPr>
          <w:rFonts w:ascii="Times New Roman" w:hAnsi="Times New Roman" w:cs="Times New Roman" w:eastAsia="Times New Roman" w:hint="default"/>
          <w:b/>
          <w:bCs/>
          <w:w w:val="100"/>
          <w:sz w:val="28"/>
          <w:szCs w:val="28"/>
        </w:rPr>
        <w:t>1</w:t>
      </w:r>
      <w:r>
        <w:rPr>
          <w:rFonts w:ascii="Times New Roman" w:hAnsi="Times New Roman" w:cs="Times New Roman" w:eastAsia="Times New Roman" w:hint="default"/>
          <w:b/>
          <w:bCs/>
          <w:spacing w:val="3"/>
          <w:sz w:val="28"/>
          <w:szCs w:val="28"/>
        </w:rPr>
        <w:t> </w:t>
      </w:r>
      <w:r>
        <w:rPr>
          <w:rFonts w:ascii="宋体" w:hAnsi="宋体" w:cs="宋体" w:eastAsia="宋体" w:hint="default"/>
          <w:b/>
          <w:bCs/>
          <w:w w:val="99"/>
          <w:sz w:val="28"/>
          <w:szCs w:val="28"/>
        </w:rPr>
        <w:t>股为基</w:t>
      </w:r>
      <w:r>
        <w:rPr>
          <w:rFonts w:ascii="宋体" w:hAnsi="宋体" w:cs="宋体" w:eastAsia="宋体" w:hint="default"/>
          <w:b/>
          <w:bCs/>
          <w:spacing w:val="2"/>
          <w:w w:val="99"/>
          <w:sz w:val="28"/>
          <w:szCs w:val="28"/>
        </w:rPr>
        <w:t>数</w:t>
      </w:r>
      <w:r>
        <w:rPr>
          <w:rFonts w:ascii="宋体" w:hAnsi="宋体" w:cs="宋体" w:eastAsia="宋体" w:hint="default"/>
          <w:b/>
          <w:bCs/>
          <w:w w:val="99"/>
          <w:sz w:val="28"/>
          <w:szCs w:val="28"/>
        </w:rPr>
        <w:t>，</w:t>
      </w:r>
      <w:r>
        <w:rPr>
          <w:rFonts w:ascii="宋体" w:hAnsi="宋体" w:cs="宋体" w:eastAsia="宋体" w:hint="default"/>
          <w:sz w:val="28"/>
          <w:szCs w:val="28"/>
        </w:rPr>
      </w:r>
    </w:p>
    <w:p>
      <w:pPr>
        <w:spacing w:line="386" w:lineRule="auto" w:before="236"/>
        <w:ind w:left="152" w:right="1124" w:firstLine="0"/>
        <w:jc w:val="left"/>
        <w:rPr>
          <w:rFonts w:ascii="宋体" w:hAnsi="宋体" w:cs="宋体" w:eastAsia="宋体" w:hint="default"/>
          <w:sz w:val="28"/>
          <w:szCs w:val="28"/>
        </w:rPr>
      </w:pPr>
      <w:r>
        <w:rPr>
          <w:rFonts w:ascii="宋体" w:hAnsi="宋体" w:cs="宋体" w:eastAsia="宋体" w:hint="default"/>
          <w:b/>
          <w:bCs/>
          <w:sz w:val="28"/>
          <w:szCs w:val="28"/>
        </w:rPr>
        <w:t>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股派发现金红利</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1.20 </w:t>
      </w:r>
      <w:r>
        <w:rPr>
          <w:rFonts w:ascii="宋体" w:hAnsi="宋体" w:cs="宋体" w:eastAsia="宋体" w:hint="default"/>
          <w:b/>
          <w:bCs/>
          <w:spacing w:val="-7"/>
          <w:sz w:val="28"/>
          <w:szCs w:val="28"/>
        </w:rPr>
        <w:t>元（含税），送红股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9"/>
          <w:sz w:val="28"/>
          <w:szCs w:val="28"/>
        </w:rPr>
        <w:t>股（含税），不以</w:t>
      </w:r>
      <w:r>
        <w:rPr>
          <w:rFonts w:ascii="宋体" w:hAnsi="宋体" w:cs="宋体" w:eastAsia="宋体" w:hint="default"/>
          <w:b/>
          <w:bCs/>
          <w:w w:val="99"/>
          <w:sz w:val="28"/>
          <w:szCs w:val="28"/>
        </w:rPr>
        <w:t> </w:t>
      </w:r>
      <w:r>
        <w:rPr>
          <w:rFonts w:ascii="宋体" w:hAnsi="宋体" w:cs="宋体" w:eastAsia="宋体" w:hint="default"/>
          <w:b/>
          <w:bCs/>
          <w:sz w:val="28"/>
          <w:szCs w:val="28"/>
        </w:rPr>
        <w:t>公积金转增股本。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pgSz w:w="11910" w:h="16840"/>
          <w:pgMar w:header="877" w:footer="979" w:top="110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spacing w:line="460" w:lineRule="exact" w:before="0"/>
        <w:ind w:left="0" w:right="97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宋体" w:hAnsi="宋体" w:cs="宋体" w:eastAsia="宋体"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宋体" w:hAnsi="宋体" w:cs="宋体" w:eastAsia="宋体" w:hint="default"/>
              </w:rPr>
              <w:tab/>
              <w:t>3</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1">
            <w:r>
              <w:rPr/>
              <w:t>第二节</w:t>
            </w:r>
            <w:r>
              <w:rPr>
                <w:spacing w:val="1"/>
              </w:rPr>
              <w:t> </w:t>
            </w:r>
            <w:r>
              <w:rPr/>
              <w:t>公司简介和主要财务指标</w:t>
            </w:r>
            <w:r>
              <w:rPr>
                <w:rFonts w:ascii="宋体" w:hAnsi="宋体" w:cs="宋体" w:eastAsia="宋体" w:hint="default"/>
              </w:rPr>
              <w:tab/>
              <w:t>7</w:t>
            </w:r>
            <w:r>
              <w:rPr>
                <w:rFonts w:ascii="宋体" w:hAnsi="宋体" w:cs="宋体" w:eastAsia="宋体" w:hint="default"/>
                <w:b w:val="0"/>
                <w:bCs w:val="0"/>
              </w:rPr>
            </w:r>
          </w:hyperlink>
        </w:p>
        <w:p>
          <w:pPr>
            <w:pStyle w:val="TOC1"/>
            <w:tabs>
              <w:tab w:pos="9785" w:val="right" w:leader="dot"/>
            </w:tabs>
            <w:spacing w:line="240" w:lineRule="auto" w:before="192"/>
            <w:ind w:right="0"/>
            <w:jc w:val="left"/>
            <w:rPr>
              <w:rFonts w:ascii="宋体" w:hAnsi="宋体" w:cs="宋体" w:eastAsia="宋体" w:hint="default"/>
              <w:b w:val="0"/>
              <w:bCs w:val="0"/>
            </w:rPr>
          </w:pPr>
          <w:hyperlink w:history="true" w:anchor="_bookmark2">
            <w:r>
              <w:rPr/>
              <w:t>第三节</w:t>
            </w:r>
            <w:r>
              <w:rPr>
                <w:spacing w:val="2"/>
              </w:rPr>
              <w:t> </w:t>
            </w:r>
            <w:r>
              <w:rPr/>
              <w:t>公司业务概要</w:t>
            </w:r>
            <w:r>
              <w:rPr>
                <w:rFonts w:ascii="宋体" w:hAnsi="宋体" w:cs="宋体" w:eastAsia="宋体" w:hint="default"/>
              </w:rPr>
              <w:tab/>
              <w:t>11</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3">
            <w:r>
              <w:rPr/>
              <w:t>第四节</w:t>
            </w:r>
            <w:r>
              <w:rPr>
                <w:spacing w:val="1"/>
              </w:rPr>
              <w:t> </w:t>
            </w:r>
            <w:r>
              <w:rPr/>
              <w:t>经营情况讨论与分析</w:t>
            </w:r>
            <w:r>
              <w:rPr>
                <w:rFonts w:ascii="宋体" w:hAnsi="宋体" w:cs="宋体" w:eastAsia="宋体" w:hint="default"/>
              </w:rPr>
              <w:tab/>
              <w:t>16</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4">
            <w:r>
              <w:rPr/>
              <w:t>第五节</w:t>
            </w:r>
            <w:r>
              <w:rPr>
                <w:spacing w:val="2"/>
              </w:rPr>
              <w:t> </w:t>
            </w:r>
            <w:r>
              <w:rPr/>
              <w:t>重要事项</w:t>
            </w:r>
            <w:r>
              <w:rPr>
                <w:rFonts w:ascii="宋体" w:hAnsi="宋体" w:cs="宋体" w:eastAsia="宋体" w:hint="default"/>
              </w:rPr>
              <w:tab/>
              <w:t>44</w:t>
            </w:r>
            <w:r>
              <w:rPr>
                <w:rFonts w:ascii="宋体" w:hAnsi="宋体" w:cs="宋体" w:eastAsia="宋体" w:hint="default"/>
                <w:b w:val="0"/>
                <w:bCs w:val="0"/>
              </w:rPr>
            </w:r>
          </w:hyperlink>
        </w:p>
        <w:p>
          <w:pPr>
            <w:pStyle w:val="TOC1"/>
            <w:tabs>
              <w:tab w:pos="9785" w:val="right" w:leader="dot"/>
            </w:tabs>
            <w:spacing w:line="240" w:lineRule="auto" w:before="192"/>
            <w:ind w:right="0"/>
            <w:jc w:val="left"/>
            <w:rPr>
              <w:rFonts w:ascii="宋体" w:hAnsi="宋体" w:cs="宋体" w:eastAsia="宋体" w:hint="default"/>
              <w:b w:val="0"/>
              <w:bCs w:val="0"/>
            </w:rPr>
          </w:pPr>
          <w:hyperlink w:history="true" w:anchor="_bookmark5">
            <w:r>
              <w:rPr/>
              <w:t>第六节</w:t>
            </w:r>
            <w:r>
              <w:rPr>
                <w:spacing w:val="1"/>
              </w:rPr>
              <w:t> </w:t>
            </w:r>
            <w:r>
              <w:rPr/>
              <w:t>股份变动及股东情况</w:t>
            </w:r>
            <w:r>
              <w:rPr>
                <w:rFonts w:ascii="宋体" w:hAnsi="宋体" w:cs="宋体" w:eastAsia="宋体" w:hint="default"/>
              </w:rPr>
              <w:tab/>
              <w:t>69</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6">
            <w:r>
              <w:rPr/>
              <w:t>第七节</w:t>
            </w:r>
            <w:r>
              <w:rPr>
                <w:spacing w:val="1"/>
              </w:rPr>
              <w:t> </w:t>
            </w:r>
            <w:r>
              <w:rPr/>
              <w:t>优先股相关情况</w:t>
            </w:r>
            <w:r>
              <w:rPr>
                <w:rFonts w:ascii="宋体" w:hAnsi="宋体" w:cs="宋体" w:eastAsia="宋体" w:hint="default"/>
              </w:rPr>
              <w:tab/>
              <w:t>75</w:t>
            </w:r>
            <w:r>
              <w:rPr>
                <w:rFonts w:ascii="宋体" w:hAnsi="宋体" w:cs="宋体" w:eastAsia="宋体" w:hint="default"/>
                <w:b w:val="0"/>
                <w:bCs w:val="0"/>
              </w:rPr>
            </w:r>
          </w:hyperlink>
        </w:p>
        <w:p>
          <w:pPr>
            <w:pStyle w:val="TOC1"/>
            <w:tabs>
              <w:tab w:pos="9785" w:val="right" w:leader="dot"/>
            </w:tabs>
            <w:spacing w:line="240" w:lineRule="auto" w:before="195"/>
            <w:ind w:right="0"/>
            <w:jc w:val="left"/>
            <w:rPr>
              <w:rFonts w:ascii="宋体" w:hAnsi="宋体" w:cs="宋体" w:eastAsia="宋体" w:hint="default"/>
              <w:b w:val="0"/>
              <w:bCs w:val="0"/>
            </w:rPr>
          </w:pPr>
          <w:hyperlink w:history="true" w:anchor="_bookmark7">
            <w:r>
              <w:rPr/>
              <w:t>第八节</w:t>
            </w:r>
            <w:r>
              <w:rPr>
                <w:spacing w:val="1"/>
              </w:rPr>
              <w:t> </w:t>
            </w:r>
            <w:r>
              <w:rPr/>
              <w:t>董事、监事、高级管理人员和员工情况</w:t>
            </w:r>
            <w:r>
              <w:rPr>
                <w:rFonts w:ascii="宋体" w:hAnsi="宋体" w:cs="宋体" w:eastAsia="宋体" w:hint="default"/>
              </w:rPr>
              <w:tab/>
              <w:t>76</w:t>
            </w:r>
            <w:r>
              <w:rPr>
                <w:rFonts w:ascii="宋体" w:hAnsi="宋体" w:cs="宋体" w:eastAsia="宋体" w:hint="default"/>
                <w:b w:val="0"/>
                <w:bCs w:val="0"/>
              </w:rPr>
            </w:r>
          </w:hyperlink>
        </w:p>
        <w:p>
          <w:pPr>
            <w:pStyle w:val="TOC1"/>
            <w:tabs>
              <w:tab w:pos="9785" w:val="right" w:leader="dot"/>
            </w:tabs>
            <w:spacing w:line="240" w:lineRule="auto" w:before="192"/>
            <w:ind w:right="0"/>
            <w:jc w:val="left"/>
            <w:rPr>
              <w:rFonts w:ascii="宋体" w:hAnsi="宋体" w:cs="宋体" w:eastAsia="宋体" w:hint="default"/>
              <w:b w:val="0"/>
              <w:bCs w:val="0"/>
            </w:rPr>
          </w:pPr>
          <w:hyperlink w:history="true" w:anchor="_bookmark8">
            <w:r>
              <w:rPr/>
              <w:t>第九节</w:t>
            </w:r>
            <w:r>
              <w:rPr>
                <w:spacing w:val="2"/>
              </w:rPr>
              <w:t> </w:t>
            </w:r>
            <w:r>
              <w:rPr/>
              <w:t>公司治理</w:t>
            </w:r>
            <w:r>
              <w:rPr>
                <w:rFonts w:ascii="宋体" w:hAnsi="宋体" w:cs="宋体" w:eastAsia="宋体" w:hint="default"/>
              </w:rPr>
              <w:tab/>
              <w:t>87</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9">
            <w:r>
              <w:rPr/>
              <w:t>第十节</w:t>
            </w:r>
            <w:r>
              <w:rPr>
                <w:spacing w:val="2"/>
              </w:rPr>
              <w:t> </w:t>
            </w:r>
            <w:r>
              <w:rPr/>
              <w:t>公司债券相关情况</w:t>
            </w:r>
            <w:r>
              <w:rPr>
                <w:rFonts w:ascii="宋体" w:hAnsi="宋体" w:cs="宋体" w:eastAsia="宋体" w:hint="default"/>
              </w:rPr>
              <w:tab/>
              <w:t>93</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bookmark10">
            <w:r>
              <w:rPr/>
              <w:t>第十一节</w:t>
            </w:r>
            <w:r>
              <w:rPr>
                <w:spacing w:val="-1"/>
              </w:rPr>
              <w:t> </w:t>
            </w:r>
            <w:r>
              <w:rPr/>
              <w:t>财务报告</w:t>
            </w:r>
            <w:r>
              <w:rPr>
                <w:rFonts w:ascii="宋体" w:hAnsi="宋体" w:cs="宋体" w:eastAsia="宋体" w:hint="default"/>
              </w:rPr>
              <w:tab/>
              <w:t>94</w:t>
            </w:r>
            <w:r>
              <w:rPr>
                <w:rFonts w:ascii="宋体" w:hAnsi="宋体" w:cs="宋体" w:eastAsia="宋体" w:hint="default"/>
                <w:b w:val="0"/>
                <w:bCs w:val="0"/>
              </w:rPr>
            </w:r>
          </w:hyperlink>
        </w:p>
        <w:p>
          <w:pPr>
            <w:pStyle w:val="TOC1"/>
            <w:tabs>
              <w:tab w:pos="9783" w:val="right" w:leader="dot"/>
            </w:tabs>
            <w:spacing w:line="240" w:lineRule="auto" w:before="192"/>
            <w:ind w:right="0"/>
            <w:jc w:val="left"/>
            <w:rPr>
              <w:rFonts w:ascii="宋体" w:hAnsi="宋体" w:cs="宋体" w:eastAsia="宋体" w:hint="default"/>
              <w:b w:val="0"/>
              <w:bCs w:val="0"/>
            </w:rPr>
          </w:pPr>
          <w:hyperlink w:history="true" w:anchor="_bookmark11">
            <w:r>
              <w:rPr/>
              <w:t>第十二节</w:t>
            </w:r>
            <w:r>
              <w:rPr>
                <w:spacing w:val="-2"/>
              </w:rPr>
              <w:t> </w:t>
            </w:r>
            <w:r>
              <w:rPr/>
              <w:t>备查文件目录</w:t>
            </w:r>
            <w:r>
              <w:rPr>
                <w:rFonts w:ascii="宋体" w:hAnsi="宋体" w:cs="宋体" w:eastAsia="宋体" w:hint="default"/>
              </w:rPr>
              <w:tab/>
              <w:t>193</w:t>
            </w:r>
            <w:r>
              <w:rPr>
                <w:rFonts w:ascii="宋体" w:hAnsi="宋体" w:cs="宋体" w:eastAsia="宋体" w:hint="default"/>
                <w:b w:val="0"/>
                <w:bCs w:val="0"/>
              </w:rPr>
            </w:r>
          </w:hyperlink>
        </w:p>
        <w:p>
          <w:pPr/>
          <w:r>
            <w:fldChar w:fldCharType="end"/>
          </w:r>
        </w:p>
      </w:sdtContent>
    </w:sdt>
    <w:p>
      <w:pPr>
        <w:spacing w:after="0"/>
        <w:sectPr>
          <w:pgSz w:w="11910" w:h="16840"/>
          <w:pgMar w:header="877" w:footer="979" w:top="1100" w:bottom="1160" w:left="980" w:right="0"/>
        </w:sectPr>
      </w:pPr>
    </w:p>
    <w:p>
      <w:pPr>
        <w:spacing w:before="894"/>
        <w:ind w:left="0" w:right="97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广电运通</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无线电集团</w:t>
            </w:r>
            <w:r>
              <w:rPr>
                <w:rFonts w:ascii="Times New Roman" w:hAnsi="Times New Roman" w:cs="Times New Roman" w:eastAsia="Times New Roman" w:hint="default"/>
                <w:sz w:val="18"/>
                <w:szCs w:val="18"/>
              </w:rPr>
              <w:t>/</w:t>
            </w:r>
            <w:r>
              <w:rPr>
                <w:rFonts w:ascii="宋体" w:hAnsi="宋体" w:cs="宋体" w:eastAsia="宋体" w:hint="default"/>
                <w:sz w:val="18"/>
                <w:szCs w:val="18"/>
              </w:rPr>
              <w:t>控股股东</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广州市国资委</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广州市人民政府国有资产监督管理委员会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AI+</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人工智能</w:t>
            </w:r>
            <w:r>
              <w:rPr>
                <w:rFonts w:ascii="Times New Roman" w:hAnsi="Times New Roman" w:cs="Times New Roman" w:eastAsia="Times New Roman" w:hint="default"/>
                <w:sz w:val="18"/>
                <w:szCs w:val="18"/>
              </w:rPr>
              <w:t>+</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广州银通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广州广电银通金融电子科技有限公司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运通智能</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广州广电运通智能科技有限公司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运通信息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广州广电运通信息科技有限公司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运通国际</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GRG Banking Equipment (HK)</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Co.,Limited</w:t>
            </w:r>
            <w:r>
              <w:rPr>
                <w:rFonts w:ascii="宋体" w:hAnsi="宋体" w:cs="宋体" w:eastAsia="宋体" w:hint="default"/>
                <w:sz w:val="18"/>
                <w:szCs w:val="18"/>
              </w:rPr>
              <w:t>（广电运通国际有限公司）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支点创投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广州支点创业投资有限公司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中智融通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广电汇通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广州广电汇通金融服务有限公司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广州穗通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广州穗通金融服务有限公司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创自技术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深圳市创自技术有限公司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龙源环保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广州市龙源环保科技有限公司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汇通金融</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江苏汇通金融数据股份有限公司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中科江南</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北京中科江南信息技术股份有限公司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深圳银通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深圳广电银通金融电子科技有限公司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广电安保投资公司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广州广电银通安保投资有限公司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信义科技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深圳市信义科技有限公司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平云小匠</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广州平云小匠科技有限公司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广电卓识</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广州广电卓识智能科技有限公司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链达金服</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20"/>
              <w:jc w:val="left"/>
              <w:rPr>
                <w:rFonts w:ascii="宋体" w:hAnsi="宋体" w:cs="宋体" w:eastAsia="宋体" w:hint="default"/>
                <w:sz w:val="18"/>
                <w:szCs w:val="18"/>
              </w:rPr>
            </w:pPr>
            <w:r>
              <w:rPr>
                <w:rFonts w:ascii="宋体" w:hAnsi="宋体" w:cs="宋体" w:eastAsia="宋体" w:hint="default"/>
                <w:spacing w:val="-2"/>
                <w:sz w:val="18"/>
                <w:szCs w:val="18"/>
              </w:rPr>
              <w:t>广州运通链达金服科技有限公司（原“广州广电运通区块链科技有限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内蒙古安保投资公司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内蒙古广电银通安保投资有限公司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湖北银通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湖北银通卓越科技服务有限公司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邵阳保安</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邵阳市保安服务有限责任公司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湖北融信</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湖北融信押运保安服务有限公司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益阳保安</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益阳市保安服务有限责任公司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安化保安</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安化县锦鑫保安服务有限责任公司</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南县保安</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南县保安服务有限责任公司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锡林郭勒盟保安</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锡林郭勒盟金盾保安服务有限公司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国信运通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深圳市国信运通基金管理有限公司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珠海国信运通基金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珠海国信运通股权投资基金（有限合伙）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中联环保</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赣州中联环保科技开发有限公司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广百小额贷</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广州市广百小额贷款有限公司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神州控股</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神州数码控股有限公司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广电计量</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广州广电计量检测股份有限公司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美电贝尔</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广东美电贝尔科技集团股份有限公司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广电智能</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广州广电智能科技有限公司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运通购快</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广州运通购快科技有限公司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广州辉远</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广州辉远电子技术有限公司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平云资本</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广州广电平云资本管理有限公司总经理</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广电国际商贸</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广州广电国际商贸有限公司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广电研究院</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广州广电研究院有限公司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海格通信</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广电城市服务</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广州广电城市服务集团股份有限公司（原“广州广电物业管理有限公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ATM</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银行自动柜员机（</w:t>
            </w:r>
            <w:r>
              <w:rPr>
                <w:rFonts w:ascii="Times New Roman" w:hAnsi="Times New Roman" w:cs="Times New Roman" w:eastAsia="Times New Roman" w:hint="default"/>
                <w:sz w:val="18"/>
                <w:szCs w:val="18"/>
              </w:rPr>
              <w:t>Automatic Teller</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Machine</w:t>
            </w:r>
            <w:r>
              <w:rPr>
                <w:rFonts w:ascii="宋体" w:hAnsi="宋体" w:cs="宋体" w:eastAsia="宋体" w:hint="default"/>
                <w:sz w:val="18"/>
                <w:szCs w:val="18"/>
              </w:rPr>
              <w:t>）</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AFC</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22"/>
              <w:jc w:val="left"/>
              <w:rPr>
                <w:rFonts w:ascii="宋体" w:hAnsi="宋体" w:cs="宋体" w:eastAsia="宋体" w:hint="default"/>
                <w:sz w:val="18"/>
                <w:szCs w:val="18"/>
              </w:rPr>
            </w:pPr>
            <w:r>
              <w:rPr>
                <w:rFonts w:ascii="宋体" w:hAnsi="宋体" w:cs="宋体" w:eastAsia="宋体" w:hint="default"/>
                <w:sz w:val="18"/>
                <w:szCs w:val="18"/>
              </w:rPr>
              <w:t>地铁、轻轨、铁道、高铁等轨道交通票卡处理设备（</w:t>
            </w:r>
            <w:r>
              <w:rPr>
                <w:rFonts w:ascii="Times New Roman" w:hAnsi="Times New Roman" w:cs="Times New Roman" w:eastAsia="Times New Roman" w:hint="default"/>
                <w:sz w:val="18"/>
                <w:szCs w:val="18"/>
              </w:rPr>
              <w:t>Automatic</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Fare</w:t>
            </w:r>
            <w:r>
              <w:rPr>
                <w:rFonts w:ascii="Times New Roman" w:hAnsi="Times New Roman" w:cs="Times New Roman" w:eastAsia="Times New Roman" w:hint="default"/>
                <w:sz w:val="18"/>
                <w:szCs w:val="18"/>
              </w:rPr>
              <w:t> Collection</w:t>
            </w:r>
            <w:r>
              <w:rPr>
                <w:rFonts w:ascii="宋体" w:hAnsi="宋体" w:cs="宋体" w:eastAsia="宋体" w:hint="default"/>
                <w:sz w:val="18"/>
                <w:szCs w:val="18"/>
              </w:rPr>
              <w:t>），主要包括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TVM</w:t>
            </w:r>
            <w:r>
              <w:rPr>
                <w:rFonts w:ascii="宋体" w:hAnsi="宋体" w:cs="宋体" w:eastAsia="宋体" w:hint="default"/>
                <w:sz w:val="18"/>
                <w:szCs w:val="18"/>
              </w:rPr>
              <w:t>、自动检票机、自动验票机等设备</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VTM</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远程视频柜员机</w:t>
            </w:r>
            <w:r>
              <w:rPr>
                <w:rFonts w:ascii="Times New Roman" w:hAnsi="Times New Roman" w:cs="Times New Roman" w:eastAsia="Times New Roman" w:hint="default"/>
                <w:sz w:val="18"/>
                <w:szCs w:val="18"/>
              </w:rPr>
              <w:t>(Virtual Teller</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Machine)</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pStyle w:val="Heading1"/>
        <w:spacing w:line="240" w:lineRule="auto"/>
        <w:ind w:left="2642" w:right="1034"/>
        <w:jc w:val="left"/>
        <w:rPr>
          <w:b w:val="0"/>
          <w:bCs w:val="0"/>
        </w:rPr>
      </w:pPr>
      <w:bookmarkStart w:name="_bookmark1" w:id="2"/>
      <w:bookmarkEnd w:id="2"/>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034"/>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77"/>
        <w:gridCol w:w="2132"/>
        <w:gridCol w:w="2188"/>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广电运通</w:t>
            </w:r>
          </w:p>
        </w:tc>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002152</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广电运通</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GRG Banking Equipment</w:t>
            </w:r>
            <w:r>
              <w:rPr>
                <w:rFonts w:ascii="Times New Roman"/>
                <w:spacing w:val="-9"/>
                <w:sz w:val="18"/>
              </w:rPr>
              <w:t> </w:t>
            </w:r>
            <w:r>
              <w:rPr>
                <w:rFonts w:ascii="Times New Roman"/>
                <w:sz w:val="18"/>
              </w:rPr>
              <w:t>Co.,Ltd.</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GRG</w:t>
            </w:r>
            <w:r>
              <w:rPr>
                <w:rFonts w:ascii="Times New Roman"/>
                <w:spacing w:val="-6"/>
                <w:sz w:val="18"/>
              </w:rPr>
              <w:t> </w:t>
            </w:r>
            <w:r>
              <w:rPr>
                <w:rFonts w:ascii="Times New Roman"/>
                <w:sz w:val="18"/>
              </w:rPr>
              <w:t>Banking</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黄跃珍</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广州市高新技术产业开发区科学城科林路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11 </w:t>
            </w:r>
            <w:r>
              <w:rPr>
                <w:rFonts w:ascii="宋体" w:hAnsi="宋体" w:cs="宋体" w:eastAsia="宋体" w:hint="default"/>
                <w:sz w:val="18"/>
                <w:szCs w:val="18"/>
              </w:rPr>
              <w:t>号</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510663</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广州市高新技术产业开发区科学城科林路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11 </w:t>
            </w:r>
            <w:r>
              <w:rPr>
                <w:rFonts w:ascii="宋体" w:hAnsi="宋体" w:cs="宋体" w:eastAsia="宋体" w:hint="default"/>
                <w:sz w:val="18"/>
                <w:szCs w:val="18"/>
              </w:rPr>
              <w:t>号</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510663</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8">
              <w:r>
                <w:rPr>
                  <w:rFonts w:ascii="Times New Roman"/>
                  <w:sz w:val="18"/>
                </w:rPr>
                <w:t>www.grgbanking.com</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securities@grgbanking.com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034"/>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253"/>
        <w:gridCol w:w="4124"/>
        <w:gridCol w:w="4181"/>
      </w:tblGrid>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4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41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钟勇</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王英</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41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广州市高新技术产业开发区科学城科林路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11 </w:t>
            </w:r>
            <w:r>
              <w:rPr>
                <w:rFonts w:ascii="宋体" w:hAnsi="宋体" w:cs="宋体" w:eastAsia="宋体" w:hint="default"/>
                <w:sz w:val="18"/>
                <w:szCs w:val="18"/>
              </w:rPr>
              <w:t>号</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广州市高新技术产业开发区科学城科林路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11 </w:t>
            </w:r>
            <w:r>
              <w:rPr>
                <w:rFonts w:ascii="宋体" w:hAnsi="宋体" w:cs="宋体" w:eastAsia="宋体" w:hint="default"/>
                <w:sz w:val="18"/>
                <w:szCs w:val="18"/>
              </w:rPr>
              <w:t>号</w:t>
            </w: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41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020-62878517</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020-62878900</w:t>
            </w:r>
          </w:p>
        </w:tc>
      </w:tr>
      <w:tr>
        <w:trPr>
          <w:trHeight w:val="40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41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020-62878517</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020-62878517</w:t>
            </w: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41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securities@grgbanking.com</w:t>
              </w:r>
            </w:hyperlink>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securities@grgbanking.com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034"/>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b/>
          <w:bCs/>
          <w:sz w:val="19"/>
          <w:szCs w:val="19"/>
        </w:rPr>
      </w:pPr>
    </w:p>
    <w:p>
      <w:pPr>
        <w:pStyle w:val="Heading2"/>
        <w:spacing w:line="240" w:lineRule="auto" w:before="26"/>
        <w:ind w:right="1034"/>
        <w:jc w:val="left"/>
        <w:rPr>
          <w:b w:val="0"/>
          <w:bCs w:val="0"/>
        </w:rPr>
      </w:pP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pStyle w:val="BodyText"/>
        <w:spacing w:line="240" w:lineRule="auto" w:before="44"/>
        <w:ind w:left="0" w:right="1139"/>
        <w:jc w:val="right"/>
      </w:pPr>
      <w:r>
        <w:rPr/>
        <w:pict>
          <v:shape style="position:absolute;margin-left:56.459999pt;margin-top:-85.208275pt;width:479.2pt;height:281.2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统一社会信用代码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914401017163404737</w:t>
                        </w:r>
                      </w:p>
                    </w:tc>
                  </w:tr>
                  <w:tr>
                    <w:trPr>
                      <w:trHeight w:val="481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月在广州市工商行政管理局变更登记，公司经营范围增加了 “对自动柜员机提供日常维护与管理服务；对现金及有价证券提供清分处理服 务。”</w:t>
                        </w:r>
                      </w:p>
                      <w:p>
                        <w:pPr>
                          <w:pStyle w:val="TableParagraph"/>
                          <w:spacing w:line="316" w:lineRule="auto" w:before="65"/>
                          <w:ind w:left="23"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日在广州市工商行政管理局变更登记，根据《广州市商 </w:t>
                        </w:r>
                        <w:r>
                          <w:rPr>
                            <w:rFonts w:ascii="宋体" w:hAnsi="宋体" w:cs="宋体" w:eastAsia="宋体" w:hint="default"/>
                            <w:spacing w:val="-2"/>
                            <w:sz w:val="18"/>
                            <w:szCs w:val="18"/>
                          </w:rPr>
                          <w:t>事登记制度改革实施办法（试行）》规定，商事主体登记事项包括主营项目类别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记载于营业执照，而经营范围改为申报事项，由广州市商事主体信息公示平台公 示。此次执照换发后，公司营业执照中记载事项的内容也进行了调整，现公司营 业执照登记的经营范围为：计算机、通信和其他电子设备制造业（具体经营项目 请登录广州市商事主体信息公示平台查询。依法须经批准的项目，经相关部门批 准后方可开展经营活动）。同时，根据最新的工商行政管理局系统目录，广州市 商事主体信息公示平台登记的公司经营范围与原营业执照登记的经营范围进行了 调整，具体内容为：计算机应用电子设备制造；自动售货机、售票机、柜员机及 零配件的批发；技术进出口；货物进出口（专营专控商品除外）；计算器及货币 专用设备制造；信息系统集成服务；信息技术咨询服务；软件开发；计算机技术 开发、技术服务；计算机和辅助设备修理。公司经营范围并未有实质性变化。</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2"/>
        <w:spacing w:line="240" w:lineRule="auto" w:before="26"/>
        <w:ind w:right="1034"/>
        <w:jc w:val="left"/>
        <w:rPr>
          <w:b w:val="0"/>
          <w:bCs w:val="0"/>
        </w:rPr>
      </w:pPr>
      <w:r>
        <w:rPr/>
        <w:t>五、其他有关资料</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034"/>
        <w:jc w:val="left"/>
      </w:pPr>
      <w:r>
        <w:rPr/>
        <w:t>公司聘请的会计师事务所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上海市黄浦区南京东路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王建民、滕海军</w:t>
            </w:r>
          </w:p>
        </w:tc>
      </w:tr>
    </w:tbl>
    <w:p>
      <w:pPr>
        <w:pStyle w:val="BodyText"/>
        <w:spacing w:line="240" w:lineRule="auto" w:before="49"/>
        <w:ind w:right="1034"/>
        <w:jc w:val="left"/>
      </w:pPr>
      <w:r>
        <w:rPr/>
        <w:t>公司聘请的报告期内履行持续督导职责的保荐机构</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40"/>
        <w:ind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034"/>
        <w:jc w:val="left"/>
        <w:rPr>
          <w:b w:val="0"/>
          <w:bCs w:val="0"/>
        </w:rPr>
      </w:pPr>
      <w:r>
        <w:rPr/>
        <w:t>六、主要会计数据和财务指标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034"/>
        <w:jc w:val="left"/>
      </w:pPr>
      <w:r>
        <w:rPr/>
        <w:t>公司是否需追溯调整或重述以前年度会计数据</w:t>
      </w:r>
    </w:p>
    <w:p>
      <w:pPr>
        <w:pStyle w:val="BodyText"/>
        <w:spacing w:line="240" w:lineRule="auto" w:before="117"/>
        <w:ind w:right="10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13"/>
        <w:gridCol w:w="315"/>
        <w:gridCol w:w="1397"/>
        <w:gridCol w:w="1702"/>
        <w:gridCol w:w="1702"/>
        <w:gridCol w:w="1630"/>
      </w:tblGrid>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11" w:right="0"/>
              <w:jc w:val="left"/>
              <w:rPr>
                <w:rFonts w:ascii="Times New Roman" w:hAnsi="Times New Roman" w:cs="Times New Roman" w:eastAsia="Times New Roman" w:hint="default"/>
                <w:sz w:val="18"/>
                <w:szCs w:val="18"/>
              </w:rPr>
            </w:pPr>
            <w:r>
              <w:rPr>
                <w:rFonts w:ascii="Times New Roman"/>
                <w:sz w:val="18"/>
              </w:rPr>
              <w:t>5,458,981,768.73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4,383,577,016.09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4,423,649,958.72</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315"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3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242" w:right="0"/>
              <w:jc w:val="left"/>
              <w:rPr>
                <w:rFonts w:ascii="Times New Roman" w:hAnsi="Times New Roman" w:cs="Times New Roman" w:eastAsia="Times New Roman" w:hint="default"/>
                <w:sz w:val="18"/>
                <w:szCs w:val="18"/>
              </w:rPr>
            </w:pPr>
            <w:r>
              <w:rPr>
                <w:rFonts w:ascii="Times New Roman"/>
                <w:sz w:val="18"/>
              </w:rPr>
              <w:t>670,297,043.52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899,485,037.43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843,972,144.65</w:t>
            </w:r>
          </w:p>
        </w:tc>
      </w:tr>
      <w:tr>
        <w:trPr>
          <w:trHeight w:val="71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7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6" w:right="0"/>
              <w:jc w:val="left"/>
              <w:rPr>
                <w:rFonts w:ascii="Times New Roman" w:hAnsi="Times New Roman" w:cs="Times New Roman" w:eastAsia="Times New Roman" w:hint="default"/>
                <w:sz w:val="18"/>
                <w:szCs w:val="18"/>
              </w:rPr>
            </w:pPr>
            <w:r>
              <w:rPr>
                <w:rFonts w:ascii="Times New Roman"/>
                <w:sz w:val="18"/>
              </w:rPr>
              <w:t>537,323,464.18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412,661,955.05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30.21%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731,522,102.29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813"/>
        <w:gridCol w:w="248"/>
        <w:gridCol w:w="1465"/>
        <w:gridCol w:w="1702"/>
        <w:gridCol w:w="1702"/>
        <w:gridCol w:w="1630"/>
      </w:tblGrid>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248"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4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966,933,808.21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672,450,133.35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1,111,840,827.75</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-24.32%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0.36</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0.36</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-2.81%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11.82%</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4"/>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320" w:right="0"/>
              <w:jc w:val="left"/>
              <w:rPr>
                <w:rFonts w:ascii="Times New Roman" w:hAnsi="Times New Roman" w:cs="Times New Roman" w:eastAsia="Times New Roman" w:hint="default"/>
                <w:sz w:val="18"/>
                <w:szCs w:val="18"/>
              </w:rPr>
            </w:pPr>
            <w:r>
              <w:rPr>
                <w:rFonts w:ascii="Times New Roman"/>
                <w:sz w:val="18"/>
              </w:rPr>
              <w:t>13,440,218,513.35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12,691,220,013.16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5.90%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11,906,552,263.09</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248"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4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8,686,989,440.52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8,890,909,285.90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-2.29%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8,375,556,541.14</w:t>
            </w:r>
          </w:p>
        </w:tc>
      </w:tr>
    </w:tbl>
    <w:p>
      <w:pPr>
        <w:pStyle w:val="BodyText"/>
        <w:spacing w:line="240" w:lineRule="auto" w:before="49"/>
        <w:ind w:right="1034"/>
        <w:jc w:val="left"/>
      </w:pPr>
      <w:r>
        <w:rPr/>
        <w:t>截止披露前一交易日的公司总股本：</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4"/>
        <w:gridCol w:w="5046"/>
      </w:tblGrid>
      <w:tr>
        <w:trPr>
          <w:trHeight w:val="403"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2,408,993,951</w:t>
            </w:r>
          </w:p>
        </w:tc>
      </w:tr>
      <w:tr>
        <w:trPr>
          <w:trHeight w:val="402"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0.2782</w:t>
            </w:r>
          </w:p>
        </w:tc>
      </w:tr>
    </w:tbl>
    <w:p>
      <w:pPr>
        <w:pStyle w:val="BodyText"/>
        <w:spacing w:line="240" w:lineRule="auto" w:before="49"/>
        <w:ind w:right="1034"/>
        <w:jc w:val="left"/>
      </w:pPr>
      <w:r>
        <w:rPr>
          <w:spacing w:val="-7"/>
        </w:rPr>
        <w:t>注：公司已于</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日在中国证券登记结算有限责任公司深圳分公司办理完毕</w:t>
      </w:r>
      <w:r>
        <w:rPr>
          <w:spacing w:val="-44"/>
        </w:rPr>
        <w:t> </w:t>
      </w:r>
      <w:r>
        <w:rPr>
          <w:rFonts w:ascii="Times New Roman" w:hAnsi="Times New Roman" w:cs="Times New Roman" w:eastAsia="Times New Roman" w:hint="default"/>
        </w:rPr>
        <w:t>19,891,774</w:t>
      </w:r>
      <w:r>
        <w:rPr>
          <w:rFonts w:ascii="Times New Roman" w:hAnsi="Times New Roman" w:cs="Times New Roman" w:eastAsia="Times New Roman" w:hint="default"/>
          <w:spacing w:val="2"/>
        </w:rPr>
        <w:t> </w:t>
      </w:r>
      <w:r>
        <w:rPr>
          <w:spacing w:val="-5"/>
        </w:rPr>
        <w:t>股回购股份注销手续，注</w:t>
      </w:r>
    </w:p>
    <w:p>
      <w:pPr>
        <w:pStyle w:val="BodyText"/>
        <w:spacing w:line="240" w:lineRule="auto" w:before="63"/>
        <w:ind w:right="1034"/>
        <w:jc w:val="left"/>
      </w:pPr>
      <w:r>
        <w:rPr/>
        <w:t>销后公司总股本由</w:t>
      </w:r>
      <w:r>
        <w:rPr>
          <w:spacing w:val="-47"/>
        </w:rPr>
        <w:t> </w:t>
      </w:r>
      <w:r>
        <w:rPr>
          <w:rFonts w:ascii="Times New Roman" w:hAnsi="Times New Roman" w:cs="Times New Roman" w:eastAsia="Times New Roman" w:hint="default"/>
        </w:rPr>
        <w:t>2,428,885,725</w:t>
      </w:r>
      <w:r>
        <w:rPr>
          <w:rFonts w:ascii="Times New Roman" w:hAnsi="Times New Roman" w:cs="Times New Roman" w:eastAsia="Times New Roman" w:hint="default"/>
          <w:spacing w:val="-1"/>
        </w:rPr>
        <w:t> </w:t>
      </w:r>
      <w:r>
        <w:rPr/>
        <w:t>股减少至</w:t>
      </w:r>
      <w:r>
        <w:rPr>
          <w:spacing w:val="-47"/>
        </w:rPr>
        <w:t> </w:t>
      </w:r>
      <w:r>
        <w:rPr>
          <w:rFonts w:ascii="Times New Roman" w:hAnsi="Times New Roman" w:cs="Times New Roman" w:eastAsia="Times New Roman" w:hint="default"/>
        </w:rPr>
        <w:t>2,408,993,951</w:t>
      </w:r>
      <w:r>
        <w:rPr>
          <w:rFonts w:ascii="Times New Roman" w:hAnsi="Times New Roman" w:cs="Times New Roman" w:eastAsia="Times New Roman" w:hint="default"/>
          <w:spacing w:val="-1"/>
        </w:rPr>
        <w:t> </w:t>
      </w:r>
      <w:r>
        <w:rPr/>
        <w:t>股。</w:t>
      </w:r>
    </w:p>
    <w:p>
      <w:pPr>
        <w:spacing w:line="240" w:lineRule="auto" w:before="0"/>
        <w:rPr>
          <w:rFonts w:ascii="宋体" w:hAnsi="宋体" w:cs="宋体" w:eastAsia="宋体" w:hint="default"/>
          <w:sz w:val="24"/>
          <w:szCs w:val="24"/>
        </w:rPr>
      </w:pPr>
    </w:p>
    <w:p>
      <w:pPr>
        <w:pStyle w:val="Heading2"/>
        <w:spacing w:line="240" w:lineRule="auto"/>
        <w:ind w:right="1034"/>
        <w:jc w:val="left"/>
        <w:rPr>
          <w:b w:val="0"/>
          <w:bCs w:val="0"/>
        </w:rPr>
      </w:pPr>
      <w:r>
        <w:rPr/>
        <w:t>七、境内外会计准则下会计数据差异</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right="1034"/>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11"/>
        <w:rPr>
          <w:rFonts w:ascii="宋体" w:hAnsi="宋体" w:cs="宋体" w:eastAsia="宋体" w:hint="default"/>
          <w:b/>
          <w:bCs/>
          <w:sz w:val="26"/>
          <w:szCs w:val="26"/>
        </w:rPr>
      </w:pPr>
    </w:p>
    <w:p>
      <w:pPr>
        <w:pStyle w:val="BodyText"/>
        <w:spacing w:line="340"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10"/>
        <w:rPr>
          <w:rFonts w:ascii="宋体" w:hAnsi="宋体" w:cs="宋体" w:eastAsia="宋体" w:hint="default"/>
          <w:sz w:val="21"/>
          <w:szCs w:val="21"/>
        </w:rPr>
      </w:pPr>
    </w:p>
    <w:p>
      <w:pPr>
        <w:pStyle w:val="Heading4"/>
        <w:spacing w:line="240" w:lineRule="auto"/>
        <w:ind w:right="1034"/>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11"/>
        <w:rPr>
          <w:rFonts w:ascii="宋体" w:hAnsi="宋体" w:cs="宋体" w:eastAsia="宋体" w:hint="default"/>
          <w:b/>
          <w:bCs/>
          <w:sz w:val="26"/>
          <w:szCs w:val="26"/>
        </w:rPr>
      </w:pPr>
    </w:p>
    <w:p>
      <w:pPr>
        <w:pStyle w:val="BodyText"/>
        <w:spacing w:line="340"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1034"/>
        <w:jc w:val="left"/>
        <w:rPr>
          <w:b w:val="0"/>
          <w:bCs w:val="0"/>
        </w:rPr>
      </w:pPr>
      <w:r>
        <w:rPr/>
        <w:t>八、分季度主要财务指标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1,026,640,356.01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1,092,439,806.84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1,136,840,217.57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2,203,061,388.31</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189,332,139.16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154,669,992.54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103,173,465.07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223,121,446.75</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159,481,151.12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125,927,349.92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88,271,046.55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163,643,916.59</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-426,671,471.80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-23,072,014.27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214,218,574.24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1,202,458,720.04</w:t>
            </w:r>
          </w:p>
        </w:tc>
      </w:tr>
    </w:tbl>
    <w:p>
      <w:pPr>
        <w:pStyle w:val="BodyText"/>
        <w:spacing w:line="240" w:lineRule="auto" w:before="49"/>
        <w:ind w:right="1034"/>
        <w:jc w:val="left"/>
      </w:pPr>
      <w:r>
        <w:rPr/>
        <w:t>上述财务指标或其加总数是否与公司已披露季度报告、半年度报告相关财务指标存在重大差异</w:t>
      </w:r>
    </w:p>
    <w:p>
      <w:pPr>
        <w:pStyle w:val="BodyText"/>
        <w:spacing w:line="240" w:lineRule="auto" w:before="115"/>
        <w:ind w:right="10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1034"/>
        <w:jc w:val="left"/>
        <w:rPr>
          <w:b w:val="0"/>
          <w:bCs w:val="0"/>
        </w:rPr>
      </w:pPr>
      <w:r>
        <w:rPr/>
        <w:t>九、非经常性损益项目及金额</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4" w:type="dxa"/>
        <w:tblLayout w:type="fixed"/>
        <w:tblCellMar>
          <w:top w:w="0" w:type="dxa"/>
          <w:left w:w="0" w:type="dxa"/>
          <w:bottom w:w="0" w:type="dxa"/>
          <w:right w:w="0" w:type="dxa"/>
        </w:tblCellMar>
        <w:tblLook w:val="01E0"/>
      </w:tblPr>
      <w:tblGrid>
        <w:gridCol w:w="3375"/>
        <w:gridCol w:w="1853"/>
        <w:gridCol w:w="1560"/>
        <w:gridCol w:w="1702"/>
        <w:gridCol w:w="1128"/>
      </w:tblGrid>
      <w:tr>
        <w:trPr>
          <w:trHeight w:val="401" w:hRule="exact"/>
        </w:trPr>
        <w:tc>
          <w:tcPr>
            <w:tcW w:w="3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5"/>
                <w:sz w:val="18"/>
                <w:szCs w:val="18"/>
              </w:rPr>
              <w:t>非流动资产处置损益（包括已计提资产减值</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准备的冲销部分）</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-262,481.68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1,742,447.72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359,982.53</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jc w:val="both"/>
              <w:rPr>
                <w:rFonts w:ascii="宋体" w:hAnsi="宋体" w:cs="宋体" w:eastAsia="宋体" w:hint="default"/>
                <w:sz w:val="18"/>
                <w:szCs w:val="18"/>
              </w:rPr>
            </w:pPr>
            <w:r>
              <w:rPr>
                <w:rFonts w:ascii="宋体" w:hAnsi="宋体" w:cs="宋体" w:eastAsia="宋体" w:hint="default"/>
                <w:spacing w:val="-5"/>
                <w:sz w:val="18"/>
                <w:szCs w:val="18"/>
              </w:rPr>
              <w:t>计入当期损益的政府补助（与企业业务密切</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5"/>
                <w:sz w:val="18"/>
                <w:szCs w:val="18"/>
              </w:rPr>
              <w:t>相关，按照国家统一标准定额或定量享受的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政府补助除外）</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93,234,712.92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102,228,372.64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76,609,950.20</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88,641,684.75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90,705,909.66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49,993,895.43</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3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w:t>
            </w:r>
            <w:r>
              <w:rPr>
                <w:rFonts w:ascii="宋体" w:hAnsi="宋体" w:cs="宋体" w:eastAsia="宋体" w:hint="default"/>
                <w:spacing w:val="-5"/>
                <w:sz w:val="18"/>
                <w:szCs w:val="18"/>
              </w:rPr>
              <w:t>值业务外，持有交易性金融资产、交易性金</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5"/>
                <w:sz w:val="18"/>
                <w:szCs w:val="18"/>
              </w:rPr>
              <w:t>融负债产生的公允价值变动损益，以及处置</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交易性金融资产、交易性金融负债和可供出</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售金融资产取得的投资收益</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-1,450,342.88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404,564,689.22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-6,229,219.93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-9,259,434.96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11,187,754.75</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2,551,770.28</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28,592,026.72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89,481,299.30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21,508,344.81</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14,920,517.40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13,677,602.60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4,193,195.74</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132,973,579.34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486,823,082.38</w:t>
            </w:r>
          </w:p>
        </w:tc>
        <w:tc>
          <w:tcPr>
            <w:tcW w:w="1702"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112,450,042.36</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034"/>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64"/>
        <w:gridCol w:w="2127"/>
        <w:gridCol w:w="5180"/>
      </w:tblGrid>
      <w:tr>
        <w:trPr>
          <w:trHeight w:val="401"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0"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政府补助中的增值税返还</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1" w:right="0"/>
              <w:jc w:val="left"/>
              <w:rPr>
                <w:rFonts w:ascii="Times New Roman" w:hAnsi="Times New Roman" w:cs="Times New Roman" w:eastAsia="Times New Roman" w:hint="default"/>
                <w:sz w:val="18"/>
                <w:szCs w:val="18"/>
              </w:rPr>
            </w:pPr>
            <w:r>
              <w:rPr>
                <w:rFonts w:ascii="Times New Roman"/>
                <w:sz w:val="18"/>
              </w:rPr>
              <w:t>54,269,518.89</w:t>
            </w:r>
          </w:p>
        </w:tc>
        <w:tc>
          <w:tcPr>
            <w:tcW w:w="51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根据</w:t>
            </w:r>
            <w:r>
              <w:rPr>
                <w:rFonts w:ascii="Times New Roman" w:hAnsi="Times New Roman" w:cs="Times New Roman" w:eastAsia="Times New Roman" w:hint="default"/>
                <w:sz w:val="18"/>
                <w:szCs w:val="18"/>
              </w:rPr>
              <w:t>“</w:t>
            </w:r>
            <w:r>
              <w:rPr>
                <w:rFonts w:ascii="宋体" w:hAnsi="宋体" w:cs="宋体" w:eastAsia="宋体" w:hint="default"/>
                <w:sz w:val="18"/>
                <w:szCs w:val="18"/>
              </w:rPr>
              <w:t>财税【</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100</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文《关于软件产品增值税政策的通知》 的规定，享受软件产品增值税即征即退税收优惠。</w:t>
            </w:r>
          </w:p>
        </w:tc>
      </w:tr>
    </w:tbl>
    <w:p>
      <w:pPr>
        <w:spacing w:after="0" w:line="30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446" w:right="1034"/>
        <w:jc w:val="left"/>
        <w:rPr>
          <w:b w:val="0"/>
          <w:bCs w:val="0"/>
        </w:rPr>
      </w:pPr>
      <w:bookmarkStart w:name="_bookmark2" w:id="3"/>
      <w:bookmarkEnd w:id="3"/>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否</w:t>
      </w:r>
    </w:p>
    <w:p>
      <w:pPr>
        <w:pStyle w:val="BodyText"/>
        <w:spacing w:line="319" w:lineRule="auto" w:before="142"/>
        <w:ind w:right="1130" w:firstLine="360"/>
        <w:jc w:val="both"/>
      </w:pPr>
      <w:r>
        <w:rPr>
          <w:spacing w:val="-2"/>
        </w:rPr>
        <w:t>广电运通是一家国有控股的高科技上市公司，主营业务覆盖金融科技、公共安全、交通出行以及文娱旅游、零售便民等</w:t>
      </w:r>
      <w:r>
        <w:rPr/>
        <w:t> </w:t>
      </w:r>
      <w:r>
        <w:rPr>
          <w:spacing w:val="-2"/>
        </w:rPr>
        <w:t>领域，为全球客户提供具有竞争力的智能终端、运营服务及大数据解决方案，致力于成为领先的行业人工智能解决方案提供</w:t>
      </w:r>
      <w:r>
        <w:rPr>
          <w:spacing w:val="-63"/>
        </w:rPr>
        <w:t> </w:t>
      </w:r>
      <w:r>
        <w:rPr>
          <w:spacing w:val="-63"/>
        </w:rPr>
      </w:r>
      <w:r>
        <w:rPr/>
        <w:t>商。</w:t>
      </w:r>
    </w:p>
    <w:p>
      <w:pPr>
        <w:pStyle w:val="BodyText"/>
        <w:spacing w:line="470" w:lineRule="exact" w:before="5"/>
        <w:ind w:left="513" w:right="1034"/>
        <w:jc w:val="left"/>
      </w:pPr>
      <w:r>
        <w:rPr>
          <w:rFonts w:ascii="宋体" w:hAnsi="宋体" w:cs="宋体" w:eastAsia="宋体" w:hint="default"/>
          <w:b/>
          <w:bCs/>
        </w:rPr>
        <w:t>公司发展战略</w:t>
      </w:r>
      <w:r>
        <w:rPr>
          <w:rFonts w:ascii="宋体" w:hAnsi="宋体" w:cs="宋体" w:eastAsia="宋体" w:hint="default"/>
          <w:b/>
          <w:bCs/>
          <w:w w:val="99"/>
        </w:rPr>
        <w:t> </w:t>
      </w:r>
      <w:r>
        <w:rPr>
          <w:spacing w:val="-2"/>
        </w:rPr>
        <w:t>经过</w:t>
      </w:r>
      <w:r>
        <w:rPr>
          <w:rFonts w:ascii="Times New Roman" w:hAnsi="Times New Roman" w:cs="Times New Roman" w:eastAsia="Times New Roman" w:hint="default"/>
          <w:spacing w:val="-2"/>
        </w:rPr>
        <w:t>60</w:t>
      </w:r>
      <w:r>
        <w:rPr>
          <w:spacing w:val="-2"/>
        </w:rPr>
        <w:t>多年的演进，人工智能发展进入新阶段，已经成为推动新一轮科技和产业革命的核心力量，引领社会各行业从数</w:t>
      </w:r>
    </w:p>
    <w:p>
      <w:pPr>
        <w:pStyle w:val="BodyText"/>
        <w:spacing w:line="316" w:lineRule="auto" w:before="7"/>
        <w:ind w:right="1130"/>
        <w:jc w:val="both"/>
      </w:pPr>
      <w:r>
        <w:rPr>
          <w:spacing w:val="-5"/>
        </w:rPr>
        <w:t>字化、网络化向智能化加速跃升。与此同时，智能终端作为人工智能实现载体和数据的重要入口，呈现快速迭代、跨界融合、</w:t>
      </w:r>
      <w:r>
        <w:rPr>
          <w:spacing w:val="-80"/>
        </w:rPr>
        <w:t> </w:t>
      </w:r>
      <w:r>
        <w:rPr>
          <w:spacing w:val="-80"/>
        </w:rPr>
      </w:r>
      <w:r>
        <w:rPr>
          <w:spacing w:val="-2"/>
        </w:rPr>
        <w:t>人机协同等发展特点，而数据作为驱动业务创新的核心要素，已成为各企业竞相争夺的战略资源，对各行业数据的挖掘和运</w:t>
      </w:r>
      <w:r>
        <w:rPr>
          <w:spacing w:val="-63"/>
        </w:rPr>
        <w:t> </w:t>
      </w:r>
      <w:r>
        <w:rPr>
          <w:spacing w:val="-63"/>
        </w:rPr>
      </w:r>
      <w:r>
        <w:rPr/>
        <w:t>用，是推动国家经济发展的关键形式和重要方向。</w:t>
      </w:r>
    </w:p>
    <w:p>
      <w:pPr>
        <w:spacing w:line="240" w:lineRule="auto" w:before="5"/>
        <w:rPr>
          <w:rFonts w:ascii="宋体" w:hAnsi="宋体" w:cs="宋体" w:eastAsia="宋体" w:hint="default"/>
          <w:sz w:val="13"/>
          <w:szCs w:val="13"/>
        </w:rPr>
      </w:pPr>
    </w:p>
    <w:p>
      <w:pPr>
        <w:pStyle w:val="BodyText"/>
        <w:spacing w:line="309" w:lineRule="auto"/>
        <w:ind w:right="1034" w:firstLine="360"/>
        <w:jc w:val="left"/>
      </w:pPr>
      <w:r>
        <w:rPr>
          <w:spacing w:val="-2"/>
        </w:rPr>
        <w:t>自</w:t>
      </w:r>
      <w:r>
        <w:rPr>
          <w:rFonts w:ascii="Times New Roman" w:hAnsi="Times New Roman" w:cs="Times New Roman" w:eastAsia="Times New Roman" w:hint="default"/>
          <w:spacing w:val="-2"/>
        </w:rPr>
        <w:t>1999</w:t>
      </w:r>
      <w:r>
        <w:rPr>
          <w:spacing w:val="-2"/>
        </w:rPr>
        <w:t>年成立以来，广电运通始终坚持自主科技创新驱动战略，践行“以创新的科技便利人类生活”的企业使命。公司</w:t>
      </w:r>
      <w:r>
        <w:rPr/>
        <w:t> 依托在智能金融领域沉淀了二十年的研发和智造经验，掌握了货币识别、出钞控制、现金循环、传感控制、人机交互等以 </w:t>
      </w:r>
      <w:r>
        <w:rPr>
          <w:rFonts w:ascii="Times New Roman" w:hAnsi="Times New Roman" w:cs="Times New Roman" w:eastAsia="Times New Roman" w:hint="default"/>
        </w:rPr>
        <w:t>ATM</w:t>
      </w:r>
      <w:r>
        <w:rPr/>
        <w:t>为代表的智能终端相关核心技术。这些核心技术的成熟批量应用，使广电运通拥有了研发智能传感、生物识别、算法 </w:t>
      </w:r>
      <w:r>
        <w:rPr>
          <w:spacing w:val="-2"/>
        </w:rPr>
        <w:t>等人工智能底层技术的底蕴，在公司战略部署下，迅速在指静脉、掌静脉、虹膜、人脸等生物特征识别技术领域占有一席之</w:t>
      </w:r>
      <w:r>
        <w:rPr>
          <w:spacing w:val="-64"/>
        </w:rPr>
        <w:t> </w:t>
      </w:r>
      <w:r>
        <w:rPr>
          <w:spacing w:val="-64"/>
        </w:rPr>
      </w:r>
      <w:r>
        <w:rPr/>
        <w:t>地，并且在智能视频、物联网、大数据等方面积累了技术开发经验和大量场景应用案例。</w:t>
      </w:r>
    </w:p>
    <w:p>
      <w:pPr>
        <w:spacing w:line="240" w:lineRule="auto" w:before="10"/>
        <w:rPr>
          <w:rFonts w:ascii="宋体" w:hAnsi="宋体" w:cs="宋体" w:eastAsia="宋体" w:hint="default"/>
          <w:sz w:val="13"/>
          <w:szCs w:val="13"/>
        </w:rPr>
      </w:pPr>
    </w:p>
    <w:p>
      <w:pPr>
        <w:pStyle w:val="BodyText"/>
        <w:spacing w:line="302" w:lineRule="auto"/>
        <w:ind w:right="1034" w:firstLine="360"/>
        <w:jc w:val="left"/>
      </w:pPr>
      <w:r>
        <w:rPr>
          <w:rFonts w:ascii="Times New Roman" w:hAnsi="Times New Roman" w:cs="Times New Roman" w:eastAsia="Times New Roman" w:hint="default"/>
        </w:rPr>
        <w:t>2018</w:t>
      </w:r>
      <w:r>
        <w:rPr/>
        <w:t>年，广电运通开启了</w:t>
      </w:r>
      <w:r>
        <w:rPr>
          <w:rFonts w:ascii="Times New Roman" w:hAnsi="Times New Roman" w:cs="Times New Roman" w:eastAsia="Times New Roman" w:hint="default"/>
        </w:rPr>
        <w:t>AI+</w:t>
      </w:r>
      <w:r>
        <w:rPr/>
        <w:t>战略升级之路，以“领先的行业人工智能解决方案提供商”作为新时期的战略方向，着力</w:t>
      </w:r>
      <w:r>
        <w:rPr>
          <w:w w:val="99"/>
        </w:rPr>
        <w:t> </w:t>
      </w:r>
      <w:r>
        <w:rPr/>
        <w:t>打造“智能终端</w:t>
      </w:r>
      <w:r>
        <w:rPr>
          <w:rFonts w:ascii="Times New Roman" w:hAnsi="Times New Roman" w:cs="Times New Roman" w:eastAsia="Times New Roman" w:hint="default"/>
        </w:rPr>
        <w:t>+</w:t>
      </w:r>
      <w:r>
        <w:rPr/>
        <w:t>大数据”的产业布局，推动企业进入新一轮快速增长。短期内，公司将快速抢占金融、公共安全、交通、</w:t>
      </w:r>
      <w:r>
        <w:rPr>
          <w:spacing w:val="-22"/>
        </w:rPr>
        <w:t> </w:t>
      </w:r>
      <w:r>
        <w:rPr>
          <w:spacing w:val="-22"/>
        </w:rPr>
      </w:r>
      <w:r>
        <w:rPr/>
        <w:t>文旅、政务、零售等领域</w:t>
      </w:r>
      <w:r>
        <w:rPr>
          <w:rFonts w:ascii="Times New Roman" w:hAnsi="Times New Roman" w:cs="Times New Roman" w:eastAsia="Times New Roman" w:hint="default"/>
        </w:rPr>
        <w:t>AI</w:t>
      </w:r>
      <w:r>
        <w:rPr/>
        <w:t>应用场景，并深入开展生物特征识别、智能视频、大数据等</w:t>
      </w:r>
      <w:r>
        <w:rPr>
          <w:rFonts w:ascii="Times New Roman" w:hAnsi="Times New Roman" w:cs="Times New Roman" w:eastAsia="Times New Roman" w:hint="default"/>
        </w:rPr>
        <w:t>AI</w:t>
      </w:r>
      <w:r>
        <w:rPr/>
        <w:t>基础技术攻关，沉淀一批具有核 心竞争力的智能终端产品及解决方案，目标是成为金融、安全、交通、便民等行业领先的人工智能场景服务商。中长期内，</w:t>
      </w:r>
      <w:r>
        <w:rPr>
          <w:spacing w:val="-85"/>
        </w:rPr>
        <w:t> </w:t>
      </w:r>
      <w:r>
        <w:rPr>
          <w:spacing w:val="-85"/>
        </w:rPr>
      </w:r>
      <w:r>
        <w:rPr>
          <w:spacing w:val="-2"/>
        </w:rPr>
        <w:t>公司将深入探索敏感器件、</w:t>
      </w:r>
      <w:r>
        <w:rPr>
          <w:rFonts w:ascii="Times New Roman" w:hAnsi="Times New Roman" w:cs="Times New Roman" w:eastAsia="Times New Roman" w:hint="default"/>
          <w:spacing w:val="-2"/>
        </w:rPr>
        <w:t>IC</w:t>
      </w:r>
      <w:r>
        <w:rPr>
          <w:spacing w:val="-2"/>
        </w:rPr>
        <w:t>、自然语言处理、计算机视觉等垂直纵深领域核心技术研发，构建广电运通核心技术优势，并</w:t>
      </w:r>
      <w:r>
        <w:rPr>
          <w:spacing w:val="-66"/>
        </w:rPr>
        <w:t> </w:t>
      </w:r>
      <w:r>
        <w:rPr>
          <w:spacing w:val="-66"/>
        </w:rPr>
      </w:r>
      <w:r>
        <w:rPr/>
        <w:t>以部署在各行业的智能终端作为数据入口，“应用场景、算力、算法、大数据”全方位发力，依托</w:t>
      </w:r>
      <w:r>
        <w:rPr>
          <w:rFonts w:ascii="Times New Roman" w:hAnsi="Times New Roman" w:cs="Times New Roman" w:eastAsia="Times New Roman" w:hint="default"/>
        </w:rPr>
        <w:t>5G</w:t>
      </w:r>
      <w:r>
        <w:rPr/>
        <w:t>等新一代通信技术， 携手生态产业合作伙伴，为客户提供全栈式服务，打造成为“领先的人工智能全栈式服务商”。</w:t>
      </w:r>
    </w:p>
    <w:p>
      <w:pPr>
        <w:spacing w:line="240" w:lineRule="auto" w:before="3"/>
        <w:rPr>
          <w:rFonts w:ascii="宋体" w:hAnsi="宋体" w:cs="宋体" w:eastAsia="宋体" w:hint="default"/>
          <w:sz w:val="14"/>
          <w:szCs w:val="14"/>
        </w:rPr>
      </w:pPr>
    </w:p>
    <w:p>
      <w:pPr>
        <w:pStyle w:val="BodyText"/>
        <w:spacing w:line="300" w:lineRule="auto"/>
        <w:ind w:right="1118" w:firstLine="360"/>
        <w:jc w:val="left"/>
      </w:pPr>
      <w:r>
        <w:rPr>
          <w:rFonts w:ascii="Times New Roman" w:hAnsi="Times New Roman" w:cs="Times New Roman" w:eastAsia="Times New Roman" w:hint="default"/>
          <w:b/>
          <w:bCs/>
        </w:rPr>
        <w:t>1</w:t>
      </w:r>
      <w:r>
        <w:rPr>
          <w:rFonts w:ascii="宋体" w:hAnsi="宋体" w:cs="宋体" w:eastAsia="宋体" w:hint="default"/>
          <w:b/>
          <w:bCs/>
        </w:rPr>
        <w:t>、业务发展战略：</w:t>
      </w:r>
      <w:r>
        <w:rPr/>
        <w:t>以解决方案为切入口，紧贴用户需求，紧抓各行业应用场景，通过智能终端产品和解决方案把握数 据入口，打造各行业大数据平台，为相关客户提供大数据应用服务。其中：</w:t>
      </w:r>
    </w:p>
    <w:p>
      <w:pPr>
        <w:spacing w:after="0" w:line="30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line="5325" w:lineRule="exact"/>
        <w:ind w:left="184" w:right="0" w:firstLine="0"/>
        <w:rPr>
          <w:rFonts w:ascii="宋体" w:hAnsi="宋体" w:cs="宋体" w:eastAsia="宋体" w:hint="default"/>
          <w:sz w:val="20"/>
          <w:szCs w:val="20"/>
        </w:rPr>
      </w:pPr>
      <w:r>
        <w:rPr>
          <w:rFonts w:ascii="宋体" w:hAnsi="宋体" w:cs="宋体" w:eastAsia="宋体" w:hint="default"/>
          <w:position w:val="-106"/>
          <w:sz w:val="20"/>
          <w:szCs w:val="20"/>
        </w:rPr>
        <w:drawing>
          <wp:inline distT="0" distB="0" distL="0" distR="0">
            <wp:extent cx="6091005" cy="338137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1" cstate="print"/>
                    <a:stretch>
                      <a:fillRect/>
                    </a:stretch>
                  </pic:blipFill>
                  <pic:spPr>
                    <a:xfrm>
                      <a:off x="0" y="0"/>
                      <a:ext cx="6091005" cy="3381375"/>
                    </a:xfrm>
                    <a:prstGeom prst="rect">
                      <a:avLst/>
                    </a:prstGeom>
                  </pic:spPr>
                </pic:pic>
              </a:graphicData>
            </a:graphic>
          </wp:inline>
        </w:drawing>
      </w:r>
      <w:r>
        <w:rPr>
          <w:rFonts w:ascii="宋体" w:hAnsi="宋体" w:cs="宋体" w:eastAsia="宋体" w:hint="default"/>
          <w:position w:val="-106"/>
          <w:sz w:val="20"/>
          <w:szCs w:val="20"/>
        </w:rPr>
      </w:r>
    </w:p>
    <w:p>
      <w:pPr>
        <w:spacing w:line="240" w:lineRule="auto" w:before="1"/>
        <w:rPr>
          <w:rFonts w:ascii="宋体" w:hAnsi="宋体" w:cs="宋体" w:eastAsia="宋体" w:hint="default"/>
          <w:sz w:val="12"/>
          <w:szCs w:val="12"/>
        </w:rPr>
      </w:pPr>
    </w:p>
    <w:p>
      <w:pPr>
        <w:pStyle w:val="BodyText"/>
        <w:spacing w:line="240" w:lineRule="auto" w:before="44"/>
        <w:ind w:left="0" w:right="618"/>
        <w:jc w:val="center"/>
      </w:pPr>
      <w:r>
        <w:rPr/>
        <w:t>图</w:t>
      </w:r>
      <w:r>
        <w:rPr>
          <w:spacing w:val="-44"/>
        </w:rPr>
        <w:t> </w:t>
      </w:r>
      <w:r>
        <w:rPr>
          <w:rFonts w:ascii="Times New Roman" w:hAnsi="Times New Roman" w:cs="Times New Roman" w:eastAsia="Times New Roman" w:hint="default"/>
        </w:rPr>
        <w:t>1-</w:t>
      </w:r>
      <w:r>
        <w:rPr/>
        <w:t>广电运通业务发展逻辑图</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before="44"/>
        <w:ind w:left="513" w:right="1034"/>
        <w:jc w:val="left"/>
      </w:pPr>
      <w:r>
        <w:rPr/>
        <w:t>（</w:t>
      </w:r>
      <w:r>
        <w:rPr>
          <w:rFonts w:ascii="Times New Roman" w:hAnsi="Times New Roman" w:cs="Times New Roman" w:eastAsia="Times New Roman" w:hint="default"/>
        </w:rPr>
        <w:t>1</w:t>
      </w:r>
      <w:r>
        <w:rPr/>
        <w:t>）智能金融事业群：</w:t>
      </w:r>
    </w:p>
    <w:p>
      <w:pPr>
        <w:spacing w:line="240" w:lineRule="auto" w:before="12"/>
        <w:rPr>
          <w:rFonts w:ascii="宋体" w:hAnsi="宋体" w:cs="宋体" w:eastAsia="宋体" w:hint="default"/>
          <w:sz w:val="16"/>
          <w:szCs w:val="16"/>
        </w:rPr>
      </w:pPr>
    </w:p>
    <w:p>
      <w:pPr>
        <w:pStyle w:val="BodyText"/>
        <w:spacing w:line="304" w:lineRule="auto"/>
        <w:ind w:right="1129" w:firstLine="360"/>
        <w:jc w:val="both"/>
      </w:pPr>
      <w:r>
        <w:rPr>
          <w:spacing w:val="-1"/>
        </w:rPr>
        <w:t>公司是国内金融智能终端行业领导厂商，各类金融智能终端设备累计布放量超过</w:t>
      </w:r>
      <w:r>
        <w:rPr>
          <w:rFonts w:ascii="Times New Roman" w:hAnsi="Times New Roman" w:cs="Times New Roman" w:eastAsia="Times New Roman" w:hint="default"/>
          <w:spacing w:val="-1"/>
        </w:rPr>
        <w:t>30</w:t>
      </w:r>
      <w:r>
        <w:rPr>
          <w:spacing w:val="-1"/>
        </w:rPr>
        <w:t>万台，并为我国政府</w:t>
      </w:r>
      <w:r>
        <w:rPr>
          <w:rFonts w:ascii="Times New Roman" w:hAnsi="Times New Roman" w:cs="Times New Roman" w:eastAsia="Times New Roman" w:hint="default"/>
          <w:spacing w:val="-1"/>
        </w:rPr>
        <w:t>60%</w:t>
      </w:r>
      <w:r>
        <w:rPr>
          <w:spacing w:val="-1"/>
        </w:rPr>
        <w:t>的财政性资</w:t>
      </w:r>
      <w:r>
        <w:rPr/>
        <w:t> </w:t>
      </w:r>
      <w:r>
        <w:rPr>
          <w:spacing w:val="-1"/>
        </w:rPr>
        <w:t>金提供了国库支付电子化方案，财政支付电子化应用市场占有率达</w:t>
      </w:r>
      <w:r>
        <w:rPr>
          <w:rFonts w:ascii="Times New Roman" w:hAnsi="Times New Roman" w:cs="Times New Roman" w:eastAsia="Times New Roman" w:hint="default"/>
          <w:spacing w:val="-1"/>
        </w:rPr>
        <w:t>98%</w:t>
      </w:r>
      <w:r>
        <w:rPr>
          <w:spacing w:val="-1"/>
        </w:rPr>
        <w:t>。当前，公司积极推进生物特征识别、智能视频、人</w:t>
      </w:r>
      <w:r>
        <w:rPr>
          <w:spacing w:val="-87"/>
        </w:rPr>
        <w:t> </w:t>
      </w:r>
      <w:r>
        <w:rPr>
          <w:spacing w:val="-87"/>
        </w:rPr>
      </w:r>
      <w:r>
        <w:rPr>
          <w:spacing w:val="-2"/>
        </w:rPr>
        <w:t>机交互等核心技术在银行、财政等金融行业应用，已形成智慧银行网点、大数据审计平台、智能财政平台等多个综合解决方</w:t>
      </w:r>
      <w:r>
        <w:rPr>
          <w:spacing w:val="-65"/>
        </w:rPr>
        <w:t> </w:t>
      </w:r>
      <w:r>
        <w:rPr>
          <w:spacing w:val="-65"/>
        </w:rPr>
      </w:r>
      <w:r>
        <w:rPr/>
        <w:t>案。</w:t>
      </w:r>
    </w:p>
    <w:p>
      <w:pPr>
        <w:spacing w:line="240" w:lineRule="auto" w:before="3"/>
        <w:rPr>
          <w:rFonts w:ascii="宋体" w:hAnsi="宋体" w:cs="宋体" w:eastAsia="宋体" w:hint="default"/>
          <w:sz w:val="14"/>
          <w:szCs w:val="14"/>
        </w:rPr>
      </w:pPr>
    </w:p>
    <w:p>
      <w:pPr>
        <w:pStyle w:val="BodyText"/>
        <w:spacing w:line="316" w:lineRule="auto"/>
        <w:ind w:right="1130" w:firstLine="360"/>
        <w:jc w:val="both"/>
      </w:pPr>
      <w:r>
        <w:rPr>
          <w:spacing w:val="-2"/>
        </w:rPr>
        <w:t>公司将以国家深化金融改革、发展科技金融为契机，依托国内金融市场既有优势，从产品思维转向用户思维，从销售终</w:t>
      </w:r>
      <w:r>
        <w:rPr/>
        <w:t> </w:t>
      </w:r>
      <w:r>
        <w:rPr>
          <w:spacing w:val="-2"/>
        </w:rPr>
        <w:t>端设备及服务转向提供全套解决方案，从银行延伸至财政、证券保险等领域，以推动新一代人工智能技术应用构筑差异化竞</w:t>
      </w:r>
      <w:r>
        <w:rPr>
          <w:spacing w:val="-65"/>
        </w:rPr>
        <w:t> </w:t>
      </w:r>
      <w:r>
        <w:rPr>
          <w:spacing w:val="-65"/>
        </w:rPr>
      </w:r>
      <w:r>
        <w:rPr>
          <w:spacing w:val="-2"/>
        </w:rPr>
        <w:t>争优势。短期内，公司将抓住金融行业（重点是银行业）网点转型及业务升级需求，利用积累多年的在位优势及雄厚的研发</w:t>
      </w:r>
      <w:r>
        <w:rPr>
          <w:spacing w:val="-67"/>
        </w:rPr>
        <w:t> </w:t>
      </w:r>
      <w:r>
        <w:rPr>
          <w:spacing w:val="-67"/>
        </w:rPr>
      </w:r>
      <w:r>
        <w:rPr>
          <w:spacing w:val="-2"/>
        </w:rPr>
        <w:t>实力，深入拓展智能终端产品业务，并通过整合公司资源、采取有效策略，着力构建具有核心竞争优势的网点转型综合解决</w:t>
      </w:r>
      <w:r>
        <w:rPr>
          <w:spacing w:val="-63"/>
        </w:rPr>
        <w:t> </w:t>
      </w:r>
      <w:r>
        <w:rPr>
          <w:spacing w:val="-63"/>
        </w:rPr>
      </w:r>
      <w:r>
        <w:rPr>
          <w:spacing w:val="-2"/>
        </w:rPr>
        <w:t>方案，成为国内领先的智能金融解决方案提供商。未来，公司将协同客户挖掘金融行业数据信息，打造形成金融服务大数据</w:t>
      </w:r>
      <w:r>
        <w:rPr>
          <w:spacing w:val="-64"/>
        </w:rPr>
        <w:t> </w:t>
      </w:r>
      <w:r>
        <w:rPr>
          <w:spacing w:val="-64"/>
        </w:rPr>
      </w:r>
      <w:r>
        <w:rPr/>
        <w:t>平台，为客户提供大数据应用服务。</w:t>
      </w:r>
    </w:p>
    <w:p>
      <w:pPr>
        <w:pStyle w:val="BodyText"/>
        <w:spacing w:line="470" w:lineRule="exact" w:before="9"/>
        <w:ind w:left="513" w:right="1034"/>
        <w:jc w:val="left"/>
      </w:pPr>
      <w:r>
        <w:rPr/>
        <w:t>（</w:t>
      </w:r>
      <w:r>
        <w:rPr>
          <w:rFonts w:ascii="Times New Roman" w:hAnsi="Times New Roman" w:cs="Times New Roman" w:eastAsia="Times New Roman" w:hint="default"/>
        </w:rPr>
        <w:t>2</w:t>
      </w:r>
      <w:r>
        <w:rPr/>
        <w:t>）智能安全事业群： </w:t>
      </w:r>
      <w:r>
        <w:rPr>
          <w:spacing w:val="-2"/>
        </w:rPr>
        <w:t>公司已在全国范围内布局</w:t>
      </w:r>
      <w:r>
        <w:rPr>
          <w:rFonts w:ascii="Times New Roman" w:hAnsi="Times New Roman" w:cs="Times New Roman" w:eastAsia="Times New Roman" w:hint="default"/>
          <w:spacing w:val="-2"/>
        </w:rPr>
        <w:t>13</w:t>
      </w:r>
      <w:r>
        <w:rPr>
          <w:spacing w:val="-2"/>
        </w:rPr>
        <w:t>家现金外包子公司和</w:t>
      </w:r>
      <w:r>
        <w:rPr>
          <w:rFonts w:ascii="Times New Roman" w:hAnsi="Times New Roman" w:cs="Times New Roman" w:eastAsia="Times New Roman" w:hint="default"/>
          <w:spacing w:val="-2"/>
        </w:rPr>
        <w:t>24</w:t>
      </w:r>
      <w:r>
        <w:rPr>
          <w:spacing w:val="-2"/>
        </w:rPr>
        <w:t>家武装押运子公司，形成现金安全服务全产业链，业务已覆盖国有五</w:t>
      </w:r>
    </w:p>
    <w:p>
      <w:pPr>
        <w:pStyle w:val="BodyText"/>
        <w:spacing w:line="316" w:lineRule="auto" w:before="5"/>
        <w:ind w:right="1131"/>
        <w:jc w:val="both"/>
      </w:pPr>
      <w:r>
        <w:rPr>
          <w:spacing w:val="-2"/>
        </w:rPr>
        <w:t>大行及所有股份制银行，并利用全国各地子公司现有客户资源，积极拓展联网报警运营、智慧园区、贵重品安全押运等创新</w:t>
      </w:r>
      <w:r>
        <w:rPr>
          <w:spacing w:val="-64"/>
        </w:rPr>
        <w:t> </w:t>
      </w:r>
      <w:r>
        <w:rPr>
          <w:spacing w:val="-64"/>
        </w:rPr>
      </w:r>
      <w:r>
        <w:rPr>
          <w:spacing w:val="-2"/>
        </w:rPr>
        <w:t>业务。同时，公司通过收购信义科技切入公共安全领域，并成立智能安全研究院，携手华为等知名企业共建智慧城市（公共</w:t>
      </w:r>
      <w:r>
        <w:rPr>
          <w:spacing w:val="-67"/>
        </w:rPr>
        <w:t> </w:t>
      </w:r>
      <w:r>
        <w:rPr>
          <w:spacing w:val="-67"/>
        </w:rPr>
      </w:r>
      <w:r>
        <w:rPr>
          <w:spacing w:val="-2"/>
        </w:rPr>
        <w:t>安全）解决方案，打造了深圳市交委视频管理平台、南山区平安城市、龙岗区雪亮工程、光明区视频门禁、福州公安人脸识</w:t>
      </w:r>
      <w:r>
        <w:rPr>
          <w:spacing w:val="-68"/>
        </w:rPr>
        <w:t> </w:t>
      </w:r>
      <w:r>
        <w:rPr>
          <w:spacing w:val="-68"/>
        </w:rPr>
      </w:r>
      <w:r>
        <w:rPr/>
        <w:t>别大数据平台等多个行业标杆项目，智能安全业务范围至今已覆盖</w:t>
      </w:r>
      <w:r>
        <w:rPr>
          <w:rFonts w:ascii="Times New Roman" w:hAnsi="Times New Roman" w:cs="Times New Roman" w:eastAsia="Times New Roman" w:hint="default"/>
        </w:rPr>
        <w:t>29</w:t>
      </w:r>
      <w:r>
        <w:rPr/>
        <w:t>个省市自治区。</w:t>
      </w:r>
    </w:p>
    <w:p>
      <w:pPr>
        <w:pStyle w:val="BodyText"/>
        <w:spacing w:line="316" w:lineRule="auto" w:before="157"/>
        <w:ind w:right="1130" w:firstLine="360"/>
        <w:jc w:val="both"/>
      </w:pPr>
      <w:r>
        <w:rPr>
          <w:spacing w:val="-2"/>
        </w:rPr>
        <w:t>公司发展智能安全业务，将依托既有的公安、政府等客户资源，叠加智能视频、大数据、物联网等创新技术，以智能安</w:t>
      </w:r>
      <w:r>
        <w:rPr/>
        <w:t> </w:t>
      </w:r>
      <w:r>
        <w:rPr>
          <w:spacing w:val="-5"/>
        </w:rPr>
        <w:t>全研究院为技术支撑平台，信义科技为实施主体，武装押运公司为各地业务拓展平台，形成以安防整体解决方案为核心业务，</w:t>
      </w:r>
      <w:r>
        <w:rPr>
          <w:spacing w:val="-76"/>
        </w:rPr>
        <w:t> </w:t>
      </w:r>
      <w:r>
        <w:rPr>
          <w:spacing w:val="-76"/>
        </w:rPr>
      </w:r>
      <w:r>
        <w:rPr>
          <w:spacing w:val="-2"/>
        </w:rPr>
        <w:t>覆盖全国的城市公共安全服务业务版图。短期内，公司将利用深圳南山平安城市、龙岗雪亮工程等样板项目的示范效应，充</w:t>
      </w:r>
      <w:r>
        <w:rPr>
          <w:spacing w:val="-65"/>
        </w:rPr>
        <w:t> </w:t>
      </w:r>
      <w:r>
        <w:rPr>
          <w:spacing w:val="-65"/>
        </w:rPr>
      </w:r>
      <w:r>
        <w:rPr>
          <w:spacing w:val="-2"/>
        </w:rPr>
        <w:t>分发挥全国各地子公司的桥头堡作用，大规模参与城市级智能公共安全建设与运营项目，深入推进人工智能技术在安全运营</w:t>
      </w:r>
    </w:p>
    <w:p>
      <w:pPr>
        <w:spacing w:after="0" w:line="316" w:lineRule="auto"/>
        <w:jc w:val="both"/>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right="1034"/>
        <w:jc w:val="left"/>
      </w:pPr>
      <w:r>
        <w:rPr>
          <w:spacing w:val="-2"/>
        </w:rPr>
        <w:t>领域应用，成为公共安全服务骨干提供商。未来，公司将挖掘智能安全行业内部及跨界融合的新机会、新业态，推动行业优</w:t>
      </w:r>
      <w:r>
        <w:rPr>
          <w:spacing w:val="-67"/>
        </w:rPr>
        <w:t> </w:t>
      </w:r>
      <w:r>
        <w:rPr>
          <w:spacing w:val="-67"/>
        </w:rPr>
      </w:r>
      <w:r>
        <w:rPr/>
        <w:t>秀企业合作，打造智能安全行业整体解决方案提供商，构建城市安全共建共享合作生态。</w:t>
      </w:r>
    </w:p>
    <w:p>
      <w:pPr>
        <w:pStyle w:val="BodyText"/>
        <w:spacing w:line="470" w:lineRule="exact" w:before="9"/>
        <w:ind w:left="513" w:right="1034"/>
        <w:jc w:val="left"/>
      </w:pPr>
      <w:r>
        <w:rPr/>
        <w:t>（</w:t>
      </w:r>
      <w:r>
        <w:rPr>
          <w:rFonts w:ascii="Times New Roman" w:hAnsi="Times New Roman" w:cs="Times New Roman" w:eastAsia="Times New Roman" w:hint="default"/>
        </w:rPr>
        <w:t>3</w:t>
      </w:r>
      <w:r>
        <w:rPr/>
        <w:t>）智能交通事业群： </w:t>
      </w:r>
      <w:r>
        <w:rPr>
          <w:spacing w:val="-2"/>
        </w:rPr>
        <w:t>公司是交通行业极具竞争力的智能终端及系统解决方案提供商，自主研发的智能终端产品及系统软件平台已广泛应用于</w:t>
      </w:r>
    </w:p>
    <w:p>
      <w:pPr>
        <w:pStyle w:val="BodyText"/>
        <w:spacing w:line="304" w:lineRule="auto" w:before="5"/>
        <w:ind w:right="1034"/>
        <w:jc w:val="left"/>
      </w:pPr>
      <w:r>
        <w:rPr/>
        <w:t>中国超过</w:t>
      </w:r>
      <w:r>
        <w:rPr>
          <w:rFonts w:ascii="Times New Roman" w:hAnsi="Times New Roman" w:cs="Times New Roman" w:eastAsia="Times New Roman" w:hint="default"/>
        </w:rPr>
        <w:t>30</w:t>
      </w:r>
      <w:r>
        <w:rPr/>
        <w:t>个城市的</w:t>
      </w:r>
      <w:r>
        <w:rPr>
          <w:rFonts w:ascii="Times New Roman" w:hAnsi="Times New Roman" w:cs="Times New Roman" w:eastAsia="Times New Roman" w:hint="default"/>
        </w:rPr>
        <w:t>100</w:t>
      </w:r>
      <w:r>
        <w:rPr/>
        <w:t>多条地铁、高铁和机场航班线路，根据中国信息产业商会自动收费系统专业委员会发布的《</w:t>
      </w:r>
      <w:r>
        <w:rPr>
          <w:rFonts w:ascii="Times New Roman" w:hAnsi="Times New Roman" w:cs="Times New Roman" w:eastAsia="Times New Roman" w:hint="default"/>
        </w:rPr>
        <w:t>2018</w:t>
      </w:r>
      <w:r>
        <w:rPr/>
        <w:t>年 轨道交通</w:t>
      </w:r>
      <w:r>
        <w:rPr>
          <w:rFonts w:ascii="Times New Roman" w:hAnsi="Times New Roman" w:cs="Times New Roman" w:eastAsia="Times New Roman" w:hint="default"/>
        </w:rPr>
        <w:t>AFC</w:t>
      </w:r>
      <w:r>
        <w:rPr/>
        <w:t>市场调查报告》，公司在轨道交通自助售票机和自助检票机领域分别以</w:t>
      </w:r>
      <w:r>
        <w:rPr>
          <w:rFonts w:ascii="Times New Roman" w:hAnsi="Times New Roman" w:cs="Times New Roman" w:eastAsia="Times New Roman" w:hint="default"/>
        </w:rPr>
        <w:t>26.64%</w:t>
      </w:r>
      <w:r>
        <w:rPr/>
        <w:t>和</w:t>
      </w:r>
      <w:r>
        <w:rPr>
          <w:rFonts w:ascii="Times New Roman" w:hAnsi="Times New Roman" w:cs="Times New Roman" w:eastAsia="Times New Roman" w:hint="default"/>
        </w:rPr>
        <w:t>22.12%</w:t>
      </w:r>
      <w:r>
        <w:rPr/>
        <w:t>的市场占有率排行第 一。同时，公司积极探索“互联网</w:t>
      </w:r>
      <w:r>
        <w:rPr>
          <w:rFonts w:ascii="Times New Roman" w:hAnsi="Times New Roman" w:cs="Times New Roman" w:eastAsia="Times New Roman" w:hint="default"/>
        </w:rPr>
        <w:t>+</w:t>
      </w:r>
      <w:r>
        <w:rPr/>
        <w:t>”及生物特征识别、大数据等</w:t>
      </w:r>
      <w:r>
        <w:rPr>
          <w:rFonts w:ascii="Times New Roman" w:hAnsi="Times New Roman" w:cs="Times New Roman" w:eastAsia="Times New Roman" w:hint="default"/>
        </w:rPr>
        <w:t>AI</w:t>
      </w:r>
      <w:r>
        <w:rPr/>
        <w:t>技术在轨道交通行业应用，开发了互联网售取票机、人 脸识别闸机等一批创新智能终端，并携手百度、腾讯等合作伙伴推进应用场景创新，构建了“二维码乘车”、“刷脸过闸”</w:t>
      </w:r>
      <w:r>
        <w:rPr>
          <w:spacing w:val="-86"/>
        </w:rPr>
        <w:t> </w:t>
      </w:r>
      <w:r>
        <w:rPr>
          <w:spacing w:val="-86"/>
        </w:rPr>
      </w:r>
      <w:r>
        <w:rPr/>
        <w:t>等智慧出行解决方案，已在多个城市地铁实现批量应用。</w:t>
      </w:r>
    </w:p>
    <w:p>
      <w:pPr>
        <w:spacing w:line="240" w:lineRule="auto" w:before="4"/>
        <w:rPr>
          <w:rFonts w:ascii="宋体" w:hAnsi="宋体" w:cs="宋体" w:eastAsia="宋体" w:hint="default"/>
          <w:sz w:val="14"/>
          <w:szCs w:val="14"/>
        </w:rPr>
      </w:pPr>
    </w:p>
    <w:p>
      <w:pPr>
        <w:pStyle w:val="BodyText"/>
        <w:spacing w:line="314" w:lineRule="auto"/>
        <w:ind w:right="1034" w:firstLine="360"/>
        <w:jc w:val="left"/>
      </w:pPr>
      <w:r>
        <w:rPr>
          <w:spacing w:val="-2"/>
        </w:rPr>
        <w:t>公司布局智能交通业务，将以现有轨道交通客户为基础，顺应轨道交通行业“以票为中心”向“以人为中心”转变的发</w:t>
      </w:r>
      <w:r>
        <w:rPr/>
        <w:t> </w:t>
      </w:r>
      <w:r>
        <w:rPr>
          <w:spacing w:val="-2"/>
        </w:rPr>
        <w:t>展趋势，利用新一代信息技术驱动业务创新，着力构建覆盖智能售检票、智慧安检、运营服务的产业格局。短期内，公司将</w:t>
      </w:r>
      <w:r>
        <w:rPr>
          <w:spacing w:val="-68"/>
        </w:rPr>
        <w:t> </w:t>
      </w:r>
      <w:r>
        <w:rPr>
          <w:spacing w:val="-68"/>
        </w:rPr>
      </w:r>
      <w:r>
        <w:rPr>
          <w:spacing w:val="-2"/>
        </w:rPr>
        <w:t>利用好国家“十三五”期间轨道交通行业建设黄金发展期，深入拓展地铁、高铁等市场的自助终端业务，提升公司核心模块</w:t>
      </w:r>
      <w:r>
        <w:rPr>
          <w:spacing w:val="-67"/>
        </w:rPr>
        <w:t> </w:t>
      </w:r>
      <w:r>
        <w:rPr>
          <w:spacing w:val="-67"/>
        </w:rPr>
      </w:r>
      <w:r>
        <w:rPr/>
        <w:t>及整机产品的市场占有率，携手业主单位推进智能售检票、智能安检等场景创新，并利用</w:t>
      </w:r>
      <w:r>
        <w:rPr>
          <w:rFonts w:ascii="Times New Roman" w:hAnsi="Times New Roman" w:cs="Times New Roman" w:eastAsia="Times New Roman" w:hint="default"/>
        </w:rPr>
        <w:t>AI</w:t>
      </w:r>
      <w:r>
        <w:rPr/>
        <w:t>技术和资本手段，纵向拓展交 </w:t>
      </w:r>
      <w:r>
        <w:rPr>
          <w:spacing w:val="-2"/>
        </w:rPr>
        <w:t>通行业的系统集成、弱电、安检等专业领域，横向拓展客运、航空、港口等领域，成为智能交通行业主流系统解决方案提供</w:t>
      </w:r>
      <w:r>
        <w:rPr>
          <w:spacing w:val="-68"/>
        </w:rPr>
        <w:t> </w:t>
      </w:r>
      <w:r>
        <w:rPr>
          <w:spacing w:val="-68"/>
        </w:rPr>
      </w:r>
      <w:r>
        <w:rPr/>
        <w:t>商。未来，公司将整合交通行业数据信息，构建智慧出行大数据服务平台，为便利人们交通出行提供一揽子解决方案。</w:t>
      </w:r>
    </w:p>
    <w:p>
      <w:pPr>
        <w:pStyle w:val="BodyText"/>
        <w:spacing w:line="470" w:lineRule="exact" w:before="11"/>
        <w:ind w:left="513" w:right="1034"/>
        <w:jc w:val="left"/>
      </w:pPr>
      <w:r>
        <w:rPr/>
        <w:t>（</w:t>
      </w:r>
      <w:r>
        <w:rPr>
          <w:rFonts w:ascii="Times New Roman" w:hAnsi="Times New Roman" w:cs="Times New Roman" w:eastAsia="Times New Roman" w:hint="default"/>
        </w:rPr>
        <w:t>4</w:t>
      </w:r>
      <w:r>
        <w:rPr/>
        <w:t>）智能便民事业群： </w:t>
      </w:r>
      <w:r>
        <w:rPr>
          <w:spacing w:val="-2"/>
        </w:rPr>
        <w:t>在智能终端维护服务领域，公司已在全国范围内建立起</w:t>
      </w:r>
      <w:r>
        <w:rPr>
          <w:rFonts w:ascii="Times New Roman" w:hAnsi="Times New Roman" w:cs="Times New Roman" w:eastAsia="Times New Roman" w:hint="default"/>
          <w:spacing w:val="-2"/>
        </w:rPr>
        <w:t>10</w:t>
      </w:r>
      <w:r>
        <w:rPr>
          <w:spacing w:val="-2"/>
        </w:rPr>
        <w:t>个智能监控调度指挥中心、近千个服务站的线下服务网络，以</w:t>
      </w:r>
    </w:p>
    <w:p>
      <w:pPr>
        <w:pStyle w:val="BodyText"/>
        <w:spacing w:line="314" w:lineRule="auto" w:before="5"/>
        <w:ind w:right="1129"/>
        <w:jc w:val="both"/>
      </w:pPr>
      <w:r>
        <w:rPr/>
        <w:t>及拥有超</w:t>
      </w:r>
      <w:r>
        <w:rPr>
          <w:rFonts w:ascii="Times New Roman" w:hAnsi="Times New Roman" w:cs="Times New Roman" w:eastAsia="Times New Roman" w:hint="default"/>
        </w:rPr>
        <w:t>6</w:t>
      </w:r>
      <w:r>
        <w:rPr/>
        <w:t>万人的网络认证工程师队伍的线上服务平台，是国内极具影响力的服务厂商。公司不仅为</w:t>
      </w:r>
      <w:r>
        <w:rPr>
          <w:rFonts w:ascii="Times New Roman" w:hAnsi="Times New Roman" w:cs="Times New Roman" w:eastAsia="Times New Roman" w:hint="default"/>
        </w:rPr>
        <w:t>22</w:t>
      </w:r>
      <w:r>
        <w:rPr/>
        <w:t>万台在用智能设备提 </w:t>
      </w:r>
      <w:r>
        <w:rPr>
          <w:spacing w:val="-2"/>
        </w:rPr>
        <w:t>供维保服务，同时利用服务网络布局不断延伸扩张，快速切入新零售行业，目前已完成队伍组建磨合、业务流程打造，初步</w:t>
      </w:r>
      <w:r>
        <w:rPr>
          <w:spacing w:val="-67"/>
        </w:rPr>
        <w:t> </w:t>
      </w:r>
      <w:r>
        <w:rPr>
          <w:spacing w:val="-67"/>
        </w:rPr>
      </w:r>
      <w:r>
        <w:rPr>
          <w:spacing w:val="-2"/>
        </w:rPr>
        <w:t>探索出适合业务健康长远发展的运营模式，正积极推进技术平台开发等工作，不断提升经营规模和品牌影响力。在政务便民</w:t>
      </w:r>
      <w:r>
        <w:rPr>
          <w:spacing w:val="-62"/>
        </w:rPr>
        <w:t> </w:t>
      </w:r>
      <w:r>
        <w:rPr>
          <w:spacing w:val="-62"/>
        </w:rPr>
      </w:r>
      <w:r>
        <w:rPr>
          <w:spacing w:val="-2"/>
        </w:rPr>
        <w:t>领域，公司自主研发的智能政务无人柜台及智能政务中台系统已经在广州市及各区政务中心上线使用，成为便民服务样板案</w:t>
      </w:r>
      <w:r>
        <w:rPr>
          <w:spacing w:val="-64"/>
        </w:rPr>
        <w:t> </w:t>
      </w:r>
      <w:r>
        <w:rPr>
          <w:spacing w:val="-64"/>
        </w:rPr>
      </w:r>
      <w:r>
        <w:rPr>
          <w:spacing w:val="-2"/>
        </w:rPr>
        <w:t>例。在大文旅领域，公司自主研发的终端产品以及智能票务系统软件平台已广泛应用于景区、影院等文化旅游等行业，并打</w:t>
      </w:r>
      <w:r>
        <w:rPr>
          <w:spacing w:val="-66"/>
        </w:rPr>
        <w:t> </w:t>
      </w:r>
      <w:r>
        <w:rPr>
          <w:spacing w:val="-66"/>
        </w:rPr>
      </w:r>
      <w:r>
        <w:rPr/>
        <w:t>造了长隆集团、贵州茅台古镇、金逸院线、保利剧院等一批标杆项目。</w:t>
      </w:r>
    </w:p>
    <w:p>
      <w:pPr>
        <w:spacing w:line="240" w:lineRule="auto" w:before="9"/>
        <w:rPr>
          <w:rFonts w:ascii="宋体" w:hAnsi="宋体" w:cs="宋体" w:eastAsia="宋体" w:hint="default"/>
          <w:sz w:val="13"/>
          <w:szCs w:val="13"/>
        </w:rPr>
      </w:pPr>
    </w:p>
    <w:p>
      <w:pPr>
        <w:pStyle w:val="BodyText"/>
        <w:spacing w:line="307" w:lineRule="auto"/>
        <w:ind w:right="1034" w:firstLine="360"/>
        <w:jc w:val="left"/>
      </w:pPr>
      <w:r>
        <w:rPr>
          <w:spacing w:val="-4"/>
        </w:rPr>
        <w:t>公司拓展智能便民领域，主要依托自助终端设备、设备维护网络等既有优势，以解决方案为切入口，布局互联网</w:t>
      </w:r>
      <w:r>
        <w:rPr>
          <w:rFonts w:ascii="Times New Roman" w:hAnsi="Times New Roman" w:cs="Times New Roman" w:eastAsia="Times New Roman" w:hint="default"/>
          <w:spacing w:val="-4"/>
        </w:rPr>
        <w:t>+</w:t>
      </w:r>
      <w:r>
        <w:rPr>
          <w:spacing w:val="-4"/>
        </w:rPr>
        <w:t>维保、</w:t>
      </w:r>
      <w:r>
        <w:rPr/>
        <w:t> 新零售、智慧文旅、智能政务等便民业务，联合各行业便民服务单位（含通信运营商等）共建智能便民生态系统。短期内，</w:t>
      </w:r>
      <w:r>
        <w:rPr>
          <w:spacing w:val="-85"/>
        </w:rPr>
        <w:t> </w:t>
      </w:r>
      <w:r>
        <w:rPr>
          <w:spacing w:val="-85"/>
        </w:rPr>
      </w:r>
      <w:r>
        <w:rPr/>
        <w:t>公司将一方面持续提升智能终端维护服务业务核心竞争力，不断拓展其他行业（如电信、医疗、</w:t>
      </w:r>
      <w:r>
        <w:rPr>
          <w:rFonts w:ascii="Times New Roman" w:hAnsi="Times New Roman" w:cs="Times New Roman" w:eastAsia="Times New Roman" w:hint="default"/>
        </w:rPr>
        <w:t>IT</w:t>
      </w:r>
      <w:r>
        <w:rPr/>
        <w:t>等）智能终端维保业务，</w:t>
      </w:r>
      <w:r>
        <w:rPr>
          <w:spacing w:val="-78"/>
        </w:rPr>
        <w:t> </w:t>
      </w:r>
      <w:r>
        <w:rPr>
          <w:spacing w:val="-78"/>
        </w:rPr>
      </w:r>
      <w:r>
        <w:rPr>
          <w:spacing w:val="-2"/>
        </w:rPr>
        <w:t>扩大市场业务规模，并挖掘</w:t>
      </w:r>
      <w:r>
        <w:rPr>
          <w:rFonts w:ascii="Times New Roman" w:hAnsi="Times New Roman" w:cs="Times New Roman" w:eastAsia="Times New Roman" w:hint="default"/>
          <w:spacing w:val="-2"/>
        </w:rPr>
        <w:t>AOC</w:t>
      </w:r>
      <w:r>
        <w:rPr>
          <w:spacing w:val="-2"/>
        </w:rPr>
        <w:t>平台商业价值，打造智能设备行业有影响力的运维平台；另一方面，精准定位政务、零售、</w:t>
      </w:r>
      <w:r>
        <w:rPr>
          <w:spacing w:val="-85"/>
        </w:rPr>
        <w:t> </w:t>
      </w:r>
      <w:r>
        <w:rPr>
          <w:spacing w:val="-85"/>
        </w:rPr>
      </w:r>
      <w:r>
        <w:rPr/>
        <w:t>旅游、文娱等服务行业痛点，着力构建具有竞争优势的</w:t>
      </w:r>
      <w:r>
        <w:rPr>
          <w:rFonts w:ascii="Times New Roman" w:hAnsi="Times New Roman" w:cs="Times New Roman" w:eastAsia="Times New Roman" w:hint="default"/>
        </w:rPr>
        <w:t>AI+</w:t>
      </w:r>
      <w:r>
        <w:rPr/>
        <w:t>解决方案，打造全域旅游、智能酒店一批具备品牌影响力的标杆</w:t>
      </w:r>
      <w:r>
        <w:rPr>
          <w:w w:val="99"/>
        </w:rPr>
        <w:t> </w:t>
      </w:r>
      <w:r>
        <w:rPr>
          <w:spacing w:val="-2"/>
        </w:rPr>
        <w:t>项目，并探索出成熟的商业模式。未来，公司将挖掘并分析政务、零售、旅游、文娱等便民服务环节的数据信息，着力打造</w:t>
      </w:r>
      <w:r>
        <w:rPr>
          <w:spacing w:val="-74"/>
        </w:rPr>
        <w:t> </w:t>
      </w:r>
      <w:r>
        <w:rPr>
          <w:spacing w:val="-74"/>
        </w:rPr>
      </w:r>
      <w:r>
        <w:rPr/>
        <w:t>各细分行业的线上便民服务云平台和线下便民服务生态圈，为人们提供更加便利的生活消费体验。</w:t>
      </w:r>
    </w:p>
    <w:p>
      <w:pPr>
        <w:pStyle w:val="BodyText"/>
        <w:spacing w:line="470" w:lineRule="exact" w:before="16"/>
        <w:ind w:left="513" w:right="1034"/>
        <w:jc w:val="left"/>
      </w:pPr>
      <w:r>
        <w:rPr/>
        <w:t>（</w:t>
      </w:r>
      <w:r>
        <w:rPr>
          <w:rFonts w:ascii="Times New Roman" w:hAnsi="Times New Roman" w:cs="Times New Roman" w:eastAsia="Times New Roman" w:hint="default"/>
        </w:rPr>
        <w:t>5</w:t>
      </w:r>
      <w:r>
        <w:rPr/>
        <w:t>）海外事业群： </w:t>
      </w:r>
      <w:r>
        <w:rPr>
          <w:spacing w:val="-2"/>
        </w:rPr>
        <w:t>近几年，公司深化“精耕本地化，整合本地资源”的经营策略，加大全球市场销售与服务网络布局，已在全球各地建立</w:t>
      </w:r>
    </w:p>
    <w:p>
      <w:pPr>
        <w:pStyle w:val="BodyText"/>
        <w:spacing w:line="309" w:lineRule="auto" w:before="5"/>
        <w:ind w:right="1034"/>
        <w:jc w:val="left"/>
      </w:pPr>
      <w:r>
        <w:rPr/>
        <w:t>起九大分支机构，驻外本地员工占比近</w:t>
      </w:r>
      <w:r>
        <w:rPr>
          <w:rFonts w:ascii="Times New Roman" w:hAnsi="Times New Roman" w:cs="Times New Roman" w:eastAsia="Times New Roman" w:hint="default"/>
        </w:rPr>
        <w:t>40%</w:t>
      </w:r>
      <w:r>
        <w:rPr/>
        <w:t>，海外市场业绩呈现多点并进、快速增长的态势，不仅传统的金融自助终端业务 稳健增长，在智慧网点建设领域的业务拓展也卓有成效，已助力越南、俄罗斯、土耳其、新加坡、泰国、阿根廷、墨西哥、</w:t>
      </w:r>
      <w:r>
        <w:rPr>
          <w:spacing w:val="-86"/>
        </w:rPr>
        <w:t> </w:t>
      </w:r>
      <w:r>
        <w:rPr>
          <w:spacing w:val="-86"/>
        </w:rPr>
      </w:r>
      <w:r>
        <w:rPr/>
        <w:t>香港等国家和地区的智能金融服务快速升级和转型。</w:t>
      </w:r>
    </w:p>
    <w:p>
      <w:pPr>
        <w:spacing w:line="240" w:lineRule="auto" w:before="13"/>
        <w:rPr>
          <w:rFonts w:ascii="宋体" w:hAnsi="宋体" w:cs="宋体" w:eastAsia="宋体" w:hint="default"/>
          <w:sz w:val="13"/>
          <w:szCs w:val="13"/>
        </w:rPr>
      </w:pPr>
    </w:p>
    <w:p>
      <w:pPr>
        <w:pStyle w:val="BodyText"/>
        <w:spacing w:line="316" w:lineRule="auto"/>
        <w:ind w:right="1034" w:firstLine="360"/>
        <w:jc w:val="left"/>
      </w:pPr>
      <w:r>
        <w:rPr>
          <w:spacing w:val="-2"/>
        </w:rPr>
        <w:t>公司采取本土化战略开拓国际化业务，从贸易思维转向深度经营思维，致力于建设具有国际化竞争优势的本地化营销网</w:t>
      </w:r>
      <w:r>
        <w:rPr/>
        <w:t> </w:t>
      </w:r>
      <w:r>
        <w:rPr>
          <w:spacing w:val="-2"/>
        </w:rPr>
        <w:t>络和服务网络，将标准化的产品和解决方案推向全球市场。短期内，公司将围绕海外本地化精耕细作，持续完善本地化经营</w:t>
      </w:r>
      <w:r>
        <w:rPr>
          <w:spacing w:val="-65"/>
        </w:rPr>
        <w:t> </w:t>
      </w:r>
      <w:r>
        <w:rPr>
          <w:spacing w:val="-65"/>
        </w:rPr>
      </w:r>
      <w:r>
        <w:rPr>
          <w:spacing w:val="-2"/>
        </w:rPr>
        <w:t>模式及信息化支撑平台，落实重点市场营销策略，不断提升金融自助终端在海外市场占有率，并积极参与智慧网点建设，扩</w:t>
      </w:r>
      <w:r>
        <w:rPr>
          <w:spacing w:val="-64"/>
        </w:rPr>
        <w:t> </w:t>
      </w:r>
      <w:r>
        <w:rPr>
          <w:spacing w:val="-64"/>
        </w:rPr>
      </w:r>
      <w:r>
        <w:rPr/>
        <w:t>大品牌影响力。未来，公司将打造成为具有系统集成能力的综合解决方案提供商，充分把握共建“一带一路”等政策机遇，</w:t>
      </w:r>
      <w:r>
        <w:rPr>
          <w:spacing w:val="-86"/>
        </w:rPr>
        <w:t> </w:t>
      </w:r>
      <w:r>
        <w:rPr>
          <w:spacing w:val="-86"/>
        </w:rPr>
      </w:r>
      <w:r>
        <w:rPr/>
        <w:t>将国内优秀的</w:t>
      </w:r>
      <w:r>
        <w:rPr>
          <w:rFonts w:ascii="Times New Roman" w:hAnsi="Times New Roman" w:cs="Times New Roman" w:eastAsia="Times New Roman" w:hint="default"/>
        </w:rPr>
        <w:t>AI+</w:t>
      </w:r>
      <w:r>
        <w:rPr/>
        <w:t>解决方案推广至全球市场。</w:t>
      </w:r>
    </w:p>
    <w:p>
      <w:pPr>
        <w:spacing w:after="0" w:line="316" w:lineRule="auto"/>
        <w:jc w:val="left"/>
        <w:sectPr>
          <w:pgSz w:w="11910" w:h="16840"/>
          <w:pgMar w:header="877" w:footer="979" w:top="1100" w:bottom="1160" w:left="980" w:right="0"/>
        </w:sectPr>
      </w:pPr>
    </w:p>
    <w:p>
      <w:pPr>
        <w:spacing w:line="240" w:lineRule="auto" w:before="0"/>
        <w:rPr>
          <w:rFonts w:ascii="宋体" w:hAnsi="宋体" w:cs="宋体" w:eastAsia="宋体" w:hint="default"/>
          <w:sz w:val="22"/>
          <w:szCs w:val="22"/>
        </w:rPr>
      </w:pPr>
    </w:p>
    <w:p>
      <w:pPr>
        <w:pStyle w:val="BodyText"/>
        <w:spacing w:line="297" w:lineRule="auto" w:before="44"/>
        <w:ind w:right="1118" w:firstLine="360"/>
        <w:jc w:val="left"/>
      </w:pPr>
      <w:r>
        <w:rPr>
          <w:rFonts w:ascii="Times New Roman" w:hAnsi="Times New Roman" w:cs="Times New Roman" w:eastAsia="Times New Roman" w:hint="default"/>
          <w:b/>
          <w:bCs/>
        </w:rPr>
        <w:t>2</w:t>
      </w:r>
      <w:r>
        <w:rPr>
          <w:rFonts w:ascii="宋体" w:hAnsi="宋体" w:cs="宋体" w:eastAsia="宋体" w:hint="default"/>
          <w:b/>
          <w:bCs/>
        </w:rPr>
        <w:t>、技术研发战略：</w:t>
      </w:r>
      <w:r>
        <w:rPr/>
        <w:t>坚持自主科技创新，以人工智能技术统领全局，抢占技术制高点，完善面向四大业务领域“智能终 端</w:t>
      </w:r>
      <w:r>
        <w:rPr>
          <w:rFonts w:ascii="Times New Roman" w:hAnsi="Times New Roman" w:cs="Times New Roman" w:eastAsia="Times New Roman" w:hint="default"/>
        </w:rPr>
        <w:t>+</w:t>
      </w:r>
      <w:r>
        <w:rPr/>
        <w:t>大数据”产业布局的技术研发体系，构筑新时期下的公司技术核心竞争力。</w:t>
      </w:r>
    </w:p>
    <w:p>
      <w:pPr>
        <w:spacing w:line="240" w:lineRule="auto" w:before="1"/>
        <w:rPr>
          <w:rFonts w:ascii="宋体" w:hAnsi="宋体" w:cs="宋体" w:eastAsia="宋体" w:hint="default"/>
          <w:sz w:val="13"/>
          <w:szCs w:val="13"/>
        </w:rPr>
      </w:pPr>
    </w:p>
    <w:p>
      <w:pPr>
        <w:pStyle w:val="BodyText"/>
        <w:spacing w:line="240" w:lineRule="auto"/>
        <w:ind w:left="513" w:right="1034"/>
        <w:jc w:val="left"/>
      </w:pPr>
      <w:r>
        <w:rPr/>
        <w:t>（</w:t>
      </w:r>
      <w:r>
        <w:rPr>
          <w:rFonts w:ascii="Times New Roman" w:hAnsi="Times New Roman" w:cs="Times New Roman" w:eastAsia="Times New Roman" w:hint="default"/>
        </w:rPr>
        <w:t>1</w:t>
      </w:r>
      <w:r>
        <w:rPr/>
        <w:t>）公司将持续完善“总院</w:t>
      </w:r>
      <w:r>
        <w:rPr>
          <w:rFonts w:ascii="Times New Roman" w:hAnsi="Times New Roman" w:cs="Times New Roman" w:eastAsia="Times New Roman" w:hint="default"/>
        </w:rPr>
        <w:t>+</w:t>
      </w:r>
      <w:r>
        <w:rPr/>
        <w:t>分院”的研发组织体系，推动创新技术应用及新业务孵化。</w:t>
      </w:r>
    </w:p>
    <w:p>
      <w:pPr>
        <w:spacing w:line="240" w:lineRule="auto" w:before="12"/>
        <w:rPr>
          <w:rFonts w:ascii="宋体" w:hAnsi="宋体" w:cs="宋体" w:eastAsia="宋体" w:hint="default"/>
          <w:sz w:val="16"/>
          <w:szCs w:val="16"/>
        </w:rPr>
      </w:pPr>
    </w:p>
    <w:p>
      <w:pPr>
        <w:pStyle w:val="BodyText"/>
        <w:spacing w:line="300" w:lineRule="auto"/>
        <w:ind w:right="1114" w:firstLine="360"/>
        <w:jc w:val="left"/>
      </w:pPr>
      <w:r>
        <w:rPr/>
        <w:t>（</w:t>
      </w:r>
      <w:r>
        <w:rPr>
          <w:rFonts w:ascii="Times New Roman" w:hAnsi="Times New Roman" w:cs="Times New Roman" w:eastAsia="Times New Roman" w:hint="default"/>
        </w:rPr>
        <w:t>2</w:t>
      </w:r>
      <w:r>
        <w:rPr/>
        <w:t>）公司将进一步巩固在智能终端领域竞争优势，并深入开展生物特征识别、智能视频等</w:t>
      </w:r>
      <w:r>
        <w:rPr>
          <w:rFonts w:ascii="Times New Roman" w:hAnsi="Times New Roman" w:cs="Times New Roman" w:eastAsia="Times New Roman" w:hint="default"/>
        </w:rPr>
        <w:t>AI</w:t>
      </w:r>
      <w:r>
        <w:rPr/>
        <w:t>基础技术攻关，沉淀一批 具有核心竞争力的智能终端产品及系统解决方案。同时，公司将开发</w:t>
      </w:r>
      <w:r>
        <w:rPr>
          <w:rFonts w:ascii="Times New Roman" w:hAnsi="Times New Roman" w:cs="Times New Roman" w:eastAsia="Times New Roman" w:hint="default"/>
        </w:rPr>
        <w:t>AI</w:t>
      </w:r>
      <w:r>
        <w:rPr/>
        <w:t>技术平台，构建包含数据平台、算法、算力、通信 的核心技术生态系统。</w:t>
      </w:r>
    </w:p>
    <w:p>
      <w:pPr>
        <w:spacing w:line="240" w:lineRule="auto" w:before="7"/>
        <w:rPr>
          <w:rFonts w:ascii="宋体" w:hAnsi="宋体" w:cs="宋体" w:eastAsia="宋体" w:hint="default"/>
          <w:sz w:val="14"/>
          <w:szCs w:val="14"/>
        </w:rPr>
      </w:pPr>
    </w:p>
    <w:p>
      <w:pPr>
        <w:pStyle w:val="BodyText"/>
        <w:spacing w:line="297" w:lineRule="auto"/>
        <w:ind w:right="1124" w:firstLine="360"/>
        <w:jc w:val="left"/>
      </w:pPr>
      <w:r>
        <w:rPr/>
        <w:t>（</w:t>
      </w:r>
      <w:r>
        <w:rPr>
          <w:rFonts w:ascii="Times New Roman" w:hAnsi="Times New Roman" w:cs="Times New Roman" w:eastAsia="Times New Roman" w:hint="default"/>
        </w:rPr>
        <w:t>3</w:t>
      </w:r>
      <w:r>
        <w:rPr/>
        <w:t>）未来公司将通过与全球知名研发机构、生态伙伴紧密合作，打造国内领先的人工智能产学研平台，探索垂直纵深 领域核心技术研发，包括敏感器件、</w:t>
      </w:r>
      <w:r>
        <w:rPr>
          <w:rFonts w:ascii="Times New Roman" w:hAnsi="Times New Roman" w:cs="Times New Roman" w:eastAsia="Times New Roman" w:hint="default"/>
        </w:rPr>
        <w:t>IC</w:t>
      </w:r>
      <w:r>
        <w:rPr/>
        <w:t>、关键模块、边缘计算、嵌入式操作系统等。</w:t>
      </w:r>
    </w:p>
    <w:p>
      <w:pPr>
        <w:spacing w:line="240" w:lineRule="auto" w:before="3"/>
        <w:rPr>
          <w:rFonts w:ascii="宋体" w:hAnsi="宋体" w:cs="宋体" w:eastAsia="宋体" w:hint="default"/>
          <w:sz w:val="13"/>
          <w:szCs w:val="13"/>
        </w:rPr>
      </w:pPr>
    </w:p>
    <w:p>
      <w:pPr>
        <w:pStyle w:val="BodyText"/>
        <w:spacing w:line="297" w:lineRule="auto"/>
        <w:ind w:right="1119" w:firstLine="360"/>
        <w:jc w:val="left"/>
      </w:pPr>
      <w:r>
        <w:rPr>
          <w:rFonts w:ascii="Times New Roman" w:hAnsi="Times New Roman" w:cs="Times New Roman" w:eastAsia="Times New Roman" w:hint="default"/>
          <w:b/>
          <w:bCs/>
        </w:rPr>
        <w:t>3</w:t>
      </w:r>
      <w:r>
        <w:rPr>
          <w:rFonts w:ascii="宋体" w:hAnsi="宋体" w:cs="宋体" w:eastAsia="宋体" w:hint="default"/>
          <w:b/>
          <w:bCs/>
        </w:rPr>
        <w:t>、投融资战略：</w:t>
      </w:r>
      <w:r>
        <w:rPr/>
        <w:t>打造“融投管退”一体的投资体系，围绕场景、算力、算法、大数据、通信等人工智能核心要素，搭 建广电运通的技术生态圈，推动公司产业做强做优做大。</w:t>
      </w:r>
    </w:p>
    <w:p>
      <w:pPr>
        <w:spacing w:line="240" w:lineRule="auto" w:before="6"/>
        <w:rPr>
          <w:rFonts w:ascii="宋体" w:hAnsi="宋体" w:cs="宋体" w:eastAsia="宋体" w:hint="default"/>
          <w:sz w:val="14"/>
          <w:szCs w:val="14"/>
        </w:rPr>
      </w:pPr>
    </w:p>
    <w:p>
      <w:pPr>
        <w:pStyle w:val="BodyText"/>
        <w:spacing w:line="240" w:lineRule="auto"/>
        <w:ind w:left="513" w:right="1034"/>
        <w:jc w:val="left"/>
      </w:pPr>
      <w:r>
        <w:rPr>
          <w:spacing w:val="-4"/>
        </w:rPr>
        <w:t>（</w:t>
      </w:r>
      <w:r>
        <w:rPr>
          <w:rFonts w:ascii="Times New Roman" w:hAnsi="Times New Roman" w:cs="Times New Roman" w:eastAsia="Times New Roman" w:hint="default"/>
          <w:spacing w:val="-4"/>
        </w:rPr>
        <w:t>1</w:t>
      </w:r>
      <w:r>
        <w:rPr>
          <w:spacing w:val="-4"/>
        </w:rPr>
        <w:t>）围绕行业人工智能的战略升级方向，在金融、安全、交通、便民四个领域开展产业并购，推动各事业群快速发展。</w:t>
      </w:r>
    </w:p>
    <w:p>
      <w:pPr>
        <w:spacing w:line="240" w:lineRule="auto" w:before="7"/>
        <w:rPr>
          <w:rFonts w:ascii="宋体" w:hAnsi="宋体" w:cs="宋体" w:eastAsia="宋体" w:hint="default"/>
          <w:sz w:val="13"/>
          <w:szCs w:val="13"/>
        </w:rPr>
      </w:pPr>
    </w:p>
    <w:p>
      <w:pPr>
        <w:pStyle w:val="BodyText"/>
        <w:spacing w:line="240" w:lineRule="auto" w:before="44"/>
        <w:ind w:left="513" w:right="1034"/>
        <w:jc w:val="left"/>
      </w:pPr>
      <w:r>
        <w:rPr/>
        <w:t>（</w:t>
      </w:r>
      <w:r>
        <w:rPr>
          <w:rFonts w:ascii="Times New Roman" w:hAnsi="Times New Roman" w:cs="Times New Roman" w:eastAsia="Times New Roman" w:hint="default"/>
        </w:rPr>
        <w:t>2</w:t>
      </w:r>
      <w:r>
        <w:rPr/>
        <w:t>）开展人工智能五大要素前沿技术的早期投资，如敏感器件、核心算法、数据处理等，为公司长远发展储备核心技</w:t>
      </w:r>
    </w:p>
    <w:p>
      <w:pPr>
        <w:pStyle w:val="BodyText"/>
        <w:spacing w:line="240" w:lineRule="auto" w:before="60"/>
        <w:ind w:right="1034"/>
        <w:jc w:val="left"/>
      </w:pPr>
      <w:r>
        <w:rPr/>
        <w:t>术。</w:t>
      </w:r>
    </w:p>
    <w:p>
      <w:pPr>
        <w:spacing w:line="240" w:lineRule="auto" w:before="7"/>
        <w:rPr>
          <w:rFonts w:ascii="宋体" w:hAnsi="宋体" w:cs="宋体" w:eastAsia="宋体" w:hint="default"/>
          <w:sz w:val="14"/>
          <w:szCs w:val="14"/>
        </w:rPr>
      </w:pPr>
    </w:p>
    <w:p>
      <w:pPr>
        <w:pStyle w:val="BodyText"/>
        <w:spacing w:line="297" w:lineRule="auto" w:before="44"/>
        <w:ind w:right="1124" w:firstLine="360"/>
        <w:jc w:val="left"/>
      </w:pPr>
      <w:r>
        <w:rPr/>
        <w:t>（</w:t>
      </w:r>
      <w:r>
        <w:rPr>
          <w:rFonts w:ascii="Times New Roman" w:hAnsi="Times New Roman" w:cs="Times New Roman" w:eastAsia="Times New Roman" w:hint="default"/>
        </w:rPr>
        <w:t>3</w:t>
      </w:r>
      <w:r>
        <w:rPr/>
        <w:t>）探索多途径融资渠道，比如开展运通购快、平云小匠、广电卓识等自主孵化的初创企业融资，探索将下属子公司 分拆到科创板上市的可行性，或者联合其它有经验的投资机构设立人工智能创新投资基金。</w:t>
      </w:r>
    </w:p>
    <w:p>
      <w:pPr>
        <w:spacing w:line="240" w:lineRule="auto" w:before="8"/>
        <w:rPr>
          <w:rFonts w:ascii="宋体" w:hAnsi="宋体" w:cs="宋体" w:eastAsia="宋体" w:hint="default"/>
          <w:sz w:val="14"/>
          <w:szCs w:val="14"/>
        </w:rPr>
      </w:pPr>
    </w:p>
    <w:p>
      <w:pPr>
        <w:pStyle w:val="BodyText"/>
        <w:spacing w:line="297" w:lineRule="auto"/>
        <w:ind w:right="1118" w:firstLine="360"/>
        <w:jc w:val="left"/>
      </w:pPr>
      <w:r>
        <w:rPr>
          <w:rFonts w:ascii="Times New Roman" w:hAnsi="Times New Roman" w:cs="Times New Roman" w:eastAsia="Times New Roman" w:hint="default"/>
          <w:b/>
          <w:bCs/>
        </w:rPr>
        <w:t>4</w:t>
      </w:r>
      <w:r>
        <w:rPr>
          <w:rFonts w:ascii="宋体" w:hAnsi="宋体" w:cs="宋体" w:eastAsia="宋体" w:hint="default"/>
          <w:b/>
          <w:bCs/>
        </w:rPr>
        <w:t>、管理保障战略：</w:t>
      </w:r>
      <w:r>
        <w:rPr/>
        <w:t>打造形成具有自我完善、自我进化能力的组织体系，合理利用和调配公司资源，保障各领域业务战 略有效落地。</w:t>
      </w:r>
    </w:p>
    <w:p>
      <w:pPr>
        <w:spacing w:line="240" w:lineRule="auto" w:before="9"/>
        <w:rPr>
          <w:rFonts w:ascii="宋体" w:hAnsi="宋体" w:cs="宋体" w:eastAsia="宋体" w:hint="default"/>
          <w:sz w:val="14"/>
          <w:szCs w:val="14"/>
        </w:rPr>
      </w:pPr>
    </w:p>
    <w:p>
      <w:pPr>
        <w:pStyle w:val="BodyText"/>
        <w:spacing w:line="297" w:lineRule="auto"/>
        <w:ind w:right="1124" w:firstLine="360"/>
        <w:jc w:val="left"/>
      </w:pPr>
      <w:r>
        <w:rPr/>
        <w:t>（</w:t>
      </w:r>
      <w:r>
        <w:rPr>
          <w:rFonts w:ascii="Times New Roman" w:hAnsi="Times New Roman" w:cs="Times New Roman" w:eastAsia="Times New Roman" w:hint="default"/>
        </w:rPr>
        <w:t>1</w:t>
      </w:r>
      <w:r>
        <w:rPr/>
        <w:t>）体制机制建设：利用无线电集团入选国企改革“双百行动”企业，并改组成为广州市首家国有资本投资公司试点 企业的良好契机，推动公司及下属单位体制机制创新，释放并激发组织活力。</w:t>
      </w:r>
    </w:p>
    <w:p>
      <w:pPr>
        <w:spacing w:line="240" w:lineRule="auto" w:before="8"/>
        <w:rPr>
          <w:rFonts w:ascii="宋体" w:hAnsi="宋体" w:cs="宋体" w:eastAsia="宋体" w:hint="default"/>
          <w:sz w:val="14"/>
          <w:szCs w:val="14"/>
        </w:rPr>
      </w:pPr>
    </w:p>
    <w:p>
      <w:pPr>
        <w:pStyle w:val="BodyText"/>
        <w:spacing w:line="297" w:lineRule="auto"/>
        <w:ind w:right="1124" w:firstLine="360"/>
        <w:jc w:val="left"/>
      </w:pPr>
      <w:r>
        <w:rPr/>
        <w:t>（</w:t>
      </w:r>
      <w:r>
        <w:rPr>
          <w:rFonts w:ascii="Times New Roman" w:hAnsi="Times New Roman" w:cs="Times New Roman" w:eastAsia="Times New Roman" w:hint="default"/>
        </w:rPr>
        <w:t>2</w:t>
      </w:r>
      <w:r>
        <w:rPr/>
        <w:t>）人才战略：不断优化公司人才结构、改善人才发展环境，发挥高层次人才在企业发展过程中的引领作用，重点挖 掘、培养一批综合素质高、技术水平高、创新业务拓展能力突出的领军人才，为公司各事业群业务拓展提供人才保障。</w:t>
      </w:r>
    </w:p>
    <w:p>
      <w:pPr>
        <w:spacing w:line="240" w:lineRule="auto" w:before="8"/>
        <w:rPr>
          <w:rFonts w:ascii="宋体" w:hAnsi="宋体" w:cs="宋体" w:eastAsia="宋体" w:hint="default"/>
          <w:sz w:val="14"/>
          <w:szCs w:val="14"/>
        </w:rPr>
      </w:pPr>
    </w:p>
    <w:p>
      <w:pPr>
        <w:pStyle w:val="BodyText"/>
        <w:spacing w:line="297" w:lineRule="auto"/>
        <w:ind w:right="1124" w:firstLine="360"/>
        <w:jc w:val="left"/>
      </w:pPr>
      <w:r>
        <w:rPr/>
        <w:t>（</w:t>
      </w:r>
      <w:r>
        <w:rPr>
          <w:rFonts w:ascii="Times New Roman" w:hAnsi="Times New Roman" w:cs="Times New Roman" w:eastAsia="Times New Roman" w:hint="default"/>
        </w:rPr>
        <w:t>3</w:t>
      </w:r>
      <w:r>
        <w:rPr/>
        <w:t>）财务战略：构建统一的集团化财经资源配置体系，加强公司资金统筹管理，更好地发挥资金管理效率，为公司新 业务拓展提供良好的资金保障。</w:t>
      </w:r>
    </w:p>
    <w:p>
      <w:pPr>
        <w:spacing w:line="240" w:lineRule="auto" w:before="8"/>
        <w:rPr>
          <w:rFonts w:ascii="宋体" w:hAnsi="宋体" w:cs="宋体" w:eastAsia="宋体" w:hint="default"/>
          <w:sz w:val="14"/>
          <w:szCs w:val="14"/>
        </w:rPr>
      </w:pPr>
    </w:p>
    <w:p>
      <w:pPr>
        <w:pStyle w:val="BodyText"/>
        <w:spacing w:line="297" w:lineRule="auto"/>
        <w:ind w:right="1124" w:firstLine="360"/>
        <w:jc w:val="left"/>
      </w:pPr>
      <w:r>
        <w:rPr/>
        <w:t>（</w:t>
      </w:r>
      <w:r>
        <w:rPr>
          <w:rFonts w:ascii="Times New Roman" w:hAnsi="Times New Roman" w:cs="Times New Roman" w:eastAsia="Times New Roman" w:hint="default"/>
        </w:rPr>
        <w:t>4</w:t>
      </w:r>
      <w:r>
        <w:rPr/>
        <w:t>）风险管控战略：健全公司内部风险控制体系，对新时期下公司所面临的政策风险、市场风险、法律风险、廉洁风 险等进行系统梳理和提前规划，保障企业稳健运行、健康发展。</w:t>
      </w:r>
    </w:p>
    <w:p>
      <w:pPr>
        <w:spacing w:line="240" w:lineRule="auto" w:before="13"/>
        <w:rPr>
          <w:rFonts w:ascii="宋体" w:hAnsi="宋体" w:cs="宋体" w:eastAsia="宋体" w:hint="default"/>
          <w:sz w:val="21"/>
          <w:szCs w:val="21"/>
        </w:rPr>
      </w:pPr>
    </w:p>
    <w:p>
      <w:pPr>
        <w:pStyle w:val="Heading2"/>
        <w:spacing w:line="240" w:lineRule="auto"/>
        <w:ind w:right="1034"/>
        <w:jc w:val="left"/>
        <w:rPr>
          <w:b w:val="0"/>
          <w:bCs w:val="0"/>
        </w:rPr>
      </w:pPr>
      <w:r>
        <w:rPr/>
        <w:t>二、主要资产重大变化情况</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right="1034"/>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1"/>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994"/>
        <w:gridCol w:w="8577"/>
      </w:tblGrid>
      <w:tr>
        <w:trPr>
          <w:trHeight w:val="187" w:hRule="exact"/>
        </w:trPr>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7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85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7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9" w:hRule="exact"/>
        </w:trPr>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77" w:type="dxa"/>
            <w:vMerge w:val="restart"/>
            <w:tcBorders>
              <w:top w:val="single" w:sz="4" w:space="0" w:color="000000"/>
              <w:left w:val="single" w:sz="9" w:space="0" w:color="D2D2D2"/>
              <w:right w:val="single" w:sz="4"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28,726.68 </w:t>
            </w:r>
            <w:r>
              <w:rPr>
                <w:rFonts w:ascii="宋体" w:hAnsi="宋体" w:cs="宋体" w:eastAsia="宋体" w:hint="default"/>
                <w:sz w:val="18"/>
                <w:szCs w:val="18"/>
              </w:rPr>
              <w:t>万元，减少幅度为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15.78%</w:t>
            </w:r>
            <w:r>
              <w:rPr>
                <w:rFonts w:ascii="宋体" w:hAnsi="宋体" w:cs="宋体" w:eastAsia="宋体" w:hint="default"/>
                <w:sz w:val="18"/>
                <w:szCs w:val="18"/>
              </w:rPr>
              <w:t>，其中：可供出售金融资产较年初减少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22,696.14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w:t>
            </w:r>
          </w:p>
          <w:p>
            <w:pPr>
              <w:pStyle w:val="TableParagraph"/>
              <w:spacing w:line="300" w:lineRule="auto" w:before="60"/>
              <w:ind w:left="18" w:right="77"/>
              <w:jc w:val="left"/>
              <w:rPr>
                <w:rFonts w:ascii="宋体" w:hAnsi="宋体" w:cs="宋体" w:eastAsia="宋体" w:hint="default"/>
                <w:sz w:val="18"/>
                <w:szCs w:val="18"/>
              </w:rPr>
            </w:pPr>
            <w:r>
              <w:rPr>
                <w:rFonts w:ascii="宋体" w:hAnsi="宋体" w:cs="宋体" w:eastAsia="宋体" w:hint="default"/>
                <w:sz w:val="18"/>
                <w:szCs w:val="18"/>
              </w:rPr>
              <w:t>是神州控股公允价值变动所致；长期股权投资较年初减少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6,030.54 </w:t>
            </w:r>
            <w:r>
              <w:rPr>
                <w:rFonts w:ascii="宋体" w:hAnsi="宋体" w:cs="宋体" w:eastAsia="宋体" w:hint="default"/>
                <w:sz w:val="18"/>
                <w:szCs w:val="18"/>
              </w:rPr>
              <w:t>万元，主要是美电贝尔部分长期股权投资 转为持有待售资产所致。</w:t>
            </w:r>
          </w:p>
        </w:tc>
      </w:tr>
      <w:tr>
        <w:trPr>
          <w:trHeight w:val="391" w:hRule="exact"/>
        </w:trPr>
        <w:tc>
          <w:tcPr>
            <w:tcW w:w="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8577" w:type="dxa"/>
            <w:vMerge/>
            <w:tcBorders>
              <w:left w:val="single" w:sz="9" w:space="0" w:color="D2D2D2"/>
              <w:right w:val="single" w:sz="4" w:space="0" w:color="000000"/>
            </w:tcBorders>
          </w:tcPr>
          <w:p>
            <w:pPr/>
          </w:p>
        </w:tc>
      </w:tr>
      <w:tr>
        <w:trPr>
          <w:trHeight w:val="317" w:hRule="exact"/>
        </w:trPr>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77" w:type="dxa"/>
            <w:vMerge/>
            <w:tcBorders>
              <w:left w:val="single" w:sz="9" w:space="0" w:color="D2D2D2"/>
              <w:bottom w:val="single" w:sz="4" w:space="0" w:color="000000"/>
              <w:right w:val="single" w:sz="4" w:space="0" w:color="000000"/>
            </w:tcBorders>
          </w:tcPr>
          <w:p>
            <w:pP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5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5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993"/>
        <w:gridCol w:w="8577"/>
      </w:tblGrid>
      <w:tr>
        <w:trPr>
          <w:trHeight w:val="401"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8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51,128.34 </w:t>
            </w:r>
            <w:r>
              <w:rPr>
                <w:rFonts w:ascii="宋体" w:hAnsi="宋体" w:cs="宋体" w:eastAsia="宋体" w:hint="default"/>
                <w:sz w:val="18"/>
                <w:szCs w:val="18"/>
              </w:rPr>
              <w:t>万元，增长幅度为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63.89%</w:t>
            </w:r>
            <w:r>
              <w:rPr>
                <w:rFonts w:ascii="宋体" w:hAnsi="宋体" w:cs="宋体" w:eastAsia="宋体" w:hint="default"/>
                <w:sz w:val="18"/>
                <w:szCs w:val="18"/>
              </w:rPr>
              <w:t>，主要是企业合并增加所致。</w:t>
            </w:r>
          </w:p>
        </w:tc>
      </w:tr>
      <w:tr>
        <w:trPr>
          <w:trHeight w:val="403"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8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48,380.41 </w:t>
            </w:r>
            <w:r>
              <w:rPr>
                <w:rFonts w:ascii="宋体" w:hAnsi="宋体" w:cs="宋体" w:eastAsia="宋体" w:hint="default"/>
                <w:sz w:val="18"/>
                <w:szCs w:val="18"/>
              </w:rPr>
              <w:t>万元，增长幅度为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91.18%</w:t>
            </w:r>
            <w:r>
              <w:rPr>
                <w:rFonts w:ascii="宋体" w:hAnsi="宋体" w:cs="宋体" w:eastAsia="宋体" w:hint="default"/>
                <w:sz w:val="18"/>
                <w:szCs w:val="18"/>
              </w:rPr>
              <w:t>，主要是溢价收购所致。</w:t>
            </w:r>
          </w:p>
        </w:tc>
      </w:tr>
    </w:tbl>
    <w:p>
      <w:pPr>
        <w:spacing w:line="240" w:lineRule="auto" w:before="8"/>
        <w:rPr>
          <w:rFonts w:ascii="宋体" w:hAnsi="宋体" w:cs="宋体" w:eastAsia="宋体" w:hint="default"/>
          <w:b/>
          <w:bCs/>
          <w:sz w:val="19"/>
          <w:szCs w:val="19"/>
        </w:rPr>
      </w:pPr>
    </w:p>
    <w:p>
      <w:pPr>
        <w:pStyle w:val="Heading4"/>
        <w:spacing w:line="240" w:lineRule="auto" w:before="37"/>
        <w:ind w:right="1034"/>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034"/>
        <w:jc w:val="left"/>
        <w:rPr>
          <w:b w:val="0"/>
          <w:bCs w:val="0"/>
        </w:rPr>
      </w:pP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否</w:t>
      </w:r>
    </w:p>
    <w:p>
      <w:pPr>
        <w:pStyle w:val="BodyText"/>
        <w:spacing w:line="316" w:lineRule="auto" w:before="29"/>
        <w:ind w:right="1131" w:firstLine="360"/>
        <w:jc w:val="both"/>
      </w:pPr>
      <w:r>
        <w:rPr>
          <w:spacing w:val="-6"/>
        </w:rPr>
        <w:t>作为行业引领者，报告期内，公司坚持以用户需求为导向，围绕金融、安全、交通、便民等四大业务领域不断开拓创新，</w:t>
      </w:r>
      <w:r>
        <w:rPr/>
        <w:t> </w:t>
      </w:r>
      <w:r>
        <w:rPr>
          <w:spacing w:val="-2"/>
        </w:rPr>
        <w:t>持续构建公司在客户基础、研发实力、服务体系、生产能力等方面的核心竞争优势，保障了公司业务的稳定性和盈利能力的</w:t>
      </w:r>
      <w:r>
        <w:rPr>
          <w:spacing w:val="-64"/>
        </w:rPr>
        <w:t> </w:t>
      </w:r>
      <w:r>
        <w:rPr>
          <w:spacing w:val="-64"/>
        </w:rPr>
      </w:r>
      <w:r>
        <w:rPr/>
        <w:t>连续性，有效推动了公司的战略升级。</w:t>
      </w:r>
    </w:p>
    <w:p>
      <w:pPr>
        <w:spacing w:line="240" w:lineRule="auto" w:before="7"/>
        <w:rPr>
          <w:rFonts w:ascii="宋体" w:hAnsi="宋体" w:cs="宋体" w:eastAsia="宋体" w:hint="default"/>
          <w:sz w:val="13"/>
          <w:szCs w:val="13"/>
        </w:rPr>
      </w:pPr>
    </w:p>
    <w:p>
      <w:pPr>
        <w:spacing w:line="304" w:lineRule="auto" w:before="0"/>
        <w:ind w:left="152" w:right="1129" w:firstLine="360"/>
        <w:jc w:val="both"/>
        <w:rPr>
          <w:rFonts w:ascii="宋体" w:hAnsi="宋体" w:cs="宋体" w:eastAsia="宋体" w:hint="default"/>
          <w:sz w:val="18"/>
          <w:szCs w:val="18"/>
        </w:rPr>
      </w:pPr>
      <w:r>
        <w:rPr>
          <w:rFonts w:ascii="Times New Roman" w:hAnsi="Times New Roman" w:cs="Times New Roman" w:eastAsia="Times New Roman" w:hint="default"/>
          <w:b/>
          <w:bCs/>
          <w:w w:val="95"/>
          <w:sz w:val="18"/>
          <w:szCs w:val="18"/>
        </w:rPr>
        <w:t>1</w:t>
      </w:r>
      <w:r>
        <w:rPr>
          <w:rFonts w:ascii="宋体" w:hAnsi="宋体" w:cs="宋体" w:eastAsia="宋体" w:hint="default"/>
          <w:b/>
          <w:bCs/>
          <w:w w:val="95"/>
          <w:sz w:val="18"/>
          <w:szCs w:val="18"/>
        </w:rPr>
        <w:t>、在位优势：拥有覆盖四大业务领域、数量庞大、合作关系稳定的客户群体，具备拓展创新业务、扩大营收规模的市</w:t>
      </w:r>
      <w:r>
        <w:rPr>
          <w:rFonts w:ascii="宋体" w:hAnsi="宋体" w:cs="宋体" w:eastAsia="宋体" w:hint="default"/>
          <w:b/>
          <w:bCs/>
          <w:spacing w:val="-16"/>
          <w:w w:val="95"/>
          <w:sz w:val="18"/>
          <w:szCs w:val="18"/>
        </w:rPr>
        <w:t> </w:t>
      </w:r>
      <w:r>
        <w:rPr>
          <w:rFonts w:ascii="宋体" w:hAnsi="宋体" w:cs="宋体" w:eastAsia="宋体" w:hint="default"/>
          <w:b/>
          <w:bCs/>
          <w:spacing w:val="-16"/>
          <w:w w:val="95"/>
          <w:sz w:val="18"/>
          <w:szCs w:val="18"/>
        </w:rPr>
      </w:r>
      <w:r>
        <w:rPr>
          <w:rFonts w:ascii="宋体" w:hAnsi="宋体" w:cs="宋体" w:eastAsia="宋体" w:hint="default"/>
          <w:b/>
          <w:bCs/>
          <w:spacing w:val="-1"/>
          <w:sz w:val="18"/>
          <w:szCs w:val="18"/>
        </w:rPr>
        <w:t>场基础。</w:t>
      </w:r>
      <w:r>
        <w:rPr>
          <w:rFonts w:ascii="宋体" w:hAnsi="宋体" w:cs="宋体" w:eastAsia="宋体" w:hint="default"/>
          <w:spacing w:val="-1"/>
          <w:sz w:val="18"/>
          <w:szCs w:val="18"/>
        </w:rPr>
        <w:t>公司自提出“</w:t>
      </w:r>
      <w:r>
        <w:rPr>
          <w:rFonts w:ascii="Times New Roman" w:hAnsi="Times New Roman" w:cs="Times New Roman" w:eastAsia="Times New Roman" w:hint="default"/>
          <w:spacing w:val="-1"/>
          <w:sz w:val="18"/>
          <w:szCs w:val="18"/>
        </w:rPr>
        <w:t>AI+</w:t>
      </w:r>
      <w:r>
        <w:rPr>
          <w:rFonts w:ascii="宋体" w:hAnsi="宋体" w:cs="宋体" w:eastAsia="宋体" w:hint="default"/>
          <w:spacing w:val="-1"/>
          <w:sz w:val="18"/>
          <w:szCs w:val="18"/>
        </w:rPr>
        <w:t>”升级战略以来，与行业客户展开深度合作与交流，为客户开发定制符合业务发展需求的产品与</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解决方案，帮助用户创造更多价值。随着各领域创新业务的不断开拓，公司得到越来越多的客户认可，自主研发的产品和解</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决方案已进入全球</w:t>
      </w:r>
      <w:r>
        <w:rPr>
          <w:rFonts w:ascii="Times New Roman" w:hAnsi="Times New Roman" w:cs="Times New Roman" w:eastAsia="Times New Roman" w:hint="default"/>
          <w:spacing w:val="-2"/>
          <w:sz w:val="18"/>
          <w:szCs w:val="18"/>
        </w:rPr>
        <w:t>80</w:t>
      </w:r>
      <w:r>
        <w:rPr>
          <w:rFonts w:ascii="宋体" w:hAnsi="宋体" w:cs="宋体" w:eastAsia="宋体" w:hint="default"/>
          <w:spacing w:val="-2"/>
          <w:sz w:val="18"/>
          <w:szCs w:val="18"/>
        </w:rPr>
        <w:t>多个国家和地区，客户遍布银行、财税、轨道交通、公共安全、政务中心、旅游景点等领域，为全面实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施</w:t>
      </w:r>
      <w:r>
        <w:rPr>
          <w:rFonts w:ascii="Times New Roman" w:hAnsi="Times New Roman" w:cs="Times New Roman" w:eastAsia="Times New Roman" w:hint="default"/>
          <w:sz w:val="18"/>
          <w:szCs w:val="18"/>
        </w:rPr>
        <w:t>AI+</w:t>
      </w:r>
      <w:r>
        <w:rPr>
          <w:rFonts w:ascii="宋体" w:hAnsi="宋体" w:cs="宋体" w:eastAsia="宋体" w:hint="default"/>
          <w:sz w:val="18"/>
          <w:szCs w:val="18"/>
        </w:rPr>
        <w:t>战略落地、进一步扩大经营规模打下了坚实的市场基础。</w:t>
      </w:r>
    </w:p>
    <w:p>
      <w:pPr>
        <w:spacing w:line="240" w:lineRule="auto" w:before="11"/>
        <w:rPr>
          <w:rFonts w:ascii="宋体" w:hAnsi="宋体" w:cs="宋体" w:eastAsia="宋体" w:hint="default"/>
          <w:sz w:val="12"/>
          <w:szCs w:val="12"/>
        </w:rPr>
      </w:pPr>
    </w:p>
    <w:p>
      <w:pPr>
        <w:pStyle w:val="BodyText"/>
        <w:spacing w:line="307" w:lineRule="auto"/>
        <w:ind w:right="1031" w:firstLine="360"/>
        <w:jc w:val="left"/>
      </w:pPr>
      <w:r>
        <w:rPr>
          <w:rFonts w:ascii="Times New Roman" w:hAnsi="Times New Roman" w:cs="Times New Roman" w:eastAsia="Times New Roman" w:hint="default"/>
          <w:b/>
          <w:bCs/>
        </w:rPr>
        <w:t>2</w:t>
      </w:r>
      <w:r>
        <w:rPr>
          <w:rFonts w:ascii="宋体" w:hAnsi="宋体" w:cs="宋体" w:eastAsia="宋体" w:hint="default"/>
          <w:b/>
          <w:bCs/>
        </w:rPr>
        <w:t>、技术研发优势：坚持自主创新，搭建了覆盖人工智能基础层、技术层和应用层的技术平台体系，具备深厚的技术研</w:t>
      </w:r>
      <w:r>
        <w:rPr>
          <w:rFonts w:ascii="宋体" w:hAnsi="宋体" w:cs="宋体" w:eastAsia="宋体" w:hint="default"/>
          <w:b/>
          <w:bCs/>
          <w:w w:val="99"/>
        </w:rPr>
        <w:t> </w:t>
      </w:r>
      <w:r>
        <w:rPr>
          <w:rFonts w:ascii="宋体" w:hAnsi="宋体" w:cs="宋体" w:eastAsia="宋体" w:hint="default"/>
          <w:b/>
          <w:bCs/>
        </w:rPr>
        <w:t>发实力。</w:t>
      </w:r>
      <w:r>
        <w:rPr/>
        <w:t>随着国际贸易环境的显著变化，国家愈加重视与关注核心产业的自主创新，公司始终坚持自主科技创新驱动战略，</w:t>
      </w:r>
      <w:r>
        <w:rPr>
          <w:spacing w:val="-88"/>
        </w:rPr>
        <w:t> </w:t>
      </w:r>
      <w:r>
        <w:rPr>
          <w:spacing w:val="-88"/>
        </w:rPr>
      </w:r>
      <w:r>
        <w:rPr/>
        <w:t>连续多年研发投入占比营业收入均超过</w:t>
      </w:r>
      <w:r>
        <w:rPr>
          <w:rFonts w:ascii="Times New Roman" w:hAnsi="Times New Roman" w:cs="Times New Roman" w:eastAsia="Times New Roman" w:hint="default"/>
        </w:rPr>
        <w:t>8%</w:t>
      </w:r>
      <w:r>
        <w:rPr/>
        <w:t>，目前已经建立起</w:t>
      </w:r>
      <w:r>
        <w:rPr>
          <w:rFonts w:ascii="Times New Roman" w:hAnsi="Times New Roman" w:cs="Times New Roman" w:eastAsia="Times New Roman" w:hint="default"/>
        </w:rPr>
        <w:t>1</w:t>
      </w:r>
      <w:r>
        <w:rPr/>
        <w:t>个研究总院</w:t>
      </w:r>
      <w:r>
        <w:rPr>
          <w:rFonts w:ascii="Times New Roman" w:hAnsi="Times New Roman" w:cs="Times New Roman" w:eastAsia="Times New Roman" w:hint="default"/>
        </w:rPr>
        <w:t>+6</w:t>
      </w:r>
      <w:r>
        <w:rPr/>
        <w:t>大专业研究分院的研发体系，拥有由</w:t>
      </w:r>
      <w:r>
        <w:rPr>
          <w:rFonts w:ascii="Times New Roman" w:hAnsi="Times New Roman" w:cs="Times New Roman" w:eastAsia="Times New Roman" w:hint="default"/>
        </w:rPr>
        <w:t>4</w:t>
      </w:r>
      <w:r>
        <w:rPr/>
        <w:t>个院士领 </w:t>
      </w:r>
      <w:r>
        <w:rPr>
          <w:spacing w:val="-2"/>
        </w:rPr>
        <w:t>衔、一千多人的专业研发团队，设立了国家级企业技术中心和国家级工业设计中心、博士后科研工作站、国家工程实验室等</w:t>
      </w:r>
      <w:r>
        <w:rPr>
          <w:spacing w:val="-65"/>
        </w:rPr>
        <w:t> </w:t>
      </w:r>
      <w:r>
        <w:rPr>
          <w:spacing w:val="-65"/>
        </w:rPr>
      </w:r>
      <w:r>
        <w:rPr/>
        <w:t>研发机构，有效授权专利超过</w:t>
      </w:r>
      <w:r>
        <w:rPr>
          <w:rFonts w:ascii="Times New Roman" w:hAnsi="Times New Roman" w:cs="Times New Roman" w:eastAsia="Times New Roman" w:hint="default"/>
        </w:rPr>
        <w:t>1,200</w:t>
      </w:r>
      <w:r>
        <w:rPr/>
        <w:t>项，主导、参与制定或修订了二十余项国家标准，是国内首家完成全部主流生物特征识 别国家标准布局的企业。</w:t>
      </w:r>
    </w:p>
    <w:p>
      <w:pPr>
        <w:spacing w:line="240" w:lineRule="auto" w:before="1"/>
        <w:rPr>
          <w:rFonts w:ascii="宋体" w:hAnsi="宋体" w:cs="宋体" w:eastAsia="宋体" w:hint="default"/>
          <w:sz w:val="14"/>
          <w:szCs w:val="14"/>
        </w:rPr>
      </w:pPr>
    </w:p>
    <w:p>
      <w:pPr>
        <w:pStyle w:val="BodyText"/>
        <w:spacing w:line="304" w:lineRule="auto"/>
        <w:ind w:right="1034" w:firstLine="360"/>
        <w:jc w:val="left"/>
      </w:pPr>
      <w:r>
        <w:rPr>
          <w:rFonts w:ascii="Times New Roman" w:hAnsi="Times New Roman" w:cs="Times New Roman" w:eastAsia="Times New Roman" w:hint="default"/>
          <w:b/>
          <w:bCs/>
        </w:rPr>
        <w:t>3</w:t>
      </w:r>
      <w:r>
        <w:rPr>
          <w:rFonts w:ascii="宋体" w:hAnsi="宋体" w:cs="宋体" w:eastAsia="宋体" w:hint="default"/>
          <w:b/>
          <w:bCs/>
        </w:rPr>
        <w:t>、服务优势：服务体系进一步完善，在快速响应客户服务需求的同时，为创新业务延伸拓展提供了充分的资源保障。</w:t>
      </w:r>
      <w:r>
        <w:rPr>
          <w:rFonts w:ascii="宋体" w:hAnsi="宋体" w:cs="宋体" w:eastAsia="宋体" w:hint="default"/>
          <w:b/>
          <w:bCs/>
          <w:w w:val="99"/>
        </w:rPr>
        <w:t> </w:t>
      </w:r>
      <w:r>
        <w:rPr>
          <w:spacing w:val="-2"/>
        </w:rPr>
        <w:t>公司已在全国范围内建立起</w:t>
      </w:r>
      <w:r>
        <w:rPr>
          <w:rFonts w:ascii="Times New Roman" w:hAnsi="Times New Roman" w:cs="Times New Roman" w:eastAsia="Times New Roman" w:hint="default"/>
          <w:spacing w:val="-2"/>
        </w:rPr>
        <w:t>10</w:t>
      </w:r>
      <w:r>
        <w:rPr>
          <w:spacing w:val="-2"/>
        </w:rPr>
        <w:t>个智能设备监控调度指挥中心，拥有一支近六千人、近千个服务站的线下专业服务团队，以及</w:t>
      </w:r>
      <w:r>
        <w:rPr>
          <w:spacing w:val="-65"/>
        </w:rPr>
        <w:t> </w:t>
      </w:r>
      <w:r>
        <w:rPr>
          <w:spacing w:val="-65"/>
        </w:rPr>
      </w:r>
      <w:r>
        <w:rPr/>
        <w:t>超过</w:t>
      </w:r>
      <w:r>
        <w:rPr>
          <w:rFonts w:ascii="Times New Roman" w:hAnsi="Times New Roman" w:cs="Times New Roman" w:eastAsia="Times New Roman" w:hint="default"/>
        </w:rPr>
        <w:t>6</w:t>
      </w:r>
      <w:r>
        <w:rPr/>
        <w:t>万人的网络认证工程师队伍。同时，公司积极运用技术手段推进服务创新，自主开发了智能设备云管家等服务管理平 </w:t>
      </w:r>
      <w:r>
        <w:rPr>
          <w:spacing w:val="-5"/>
        </w:rPr>
        <w:t>台，人均服务效能不断提升。庞大的服务网络以及智能化的服务运营平台，不仅保障公司的智能终端维保服务收入稳定增长，</w:t>
      </w:r>
      <w:r>
        <w:rPr>
          <w:spacing w:val="-79"/>
        </w:rPr>
        <w:t> </w:t>
      </w:r>
      <w:r>
        <w:rPr>
          <w:spacing w:val="-79"/>
        </w:rPr>
      </w:r>
      <w:r>
        <w:rPr>
          <w:spacing w:val="-2"/>
        </w:rPr>
        <w:t>而且促进公司不断挖掘产业链价值、延伸拓展多领域创新业务，比如公司在</w:t>
      </w:r>
      <w:r>
        <w:rPr>
          <w:rFonts w:ascii="Times New Roman" w:hAnsi="Times New Roman" w:cs="Times New Roman" w:eastAsia="Times New Roman" w:hint="default"/>
          <w:spacing w:val="-2"/>
        </w:rPr>
        <w:t>2018</w:t>
      </w:r>
      <w:r>
        <w:rPr>
          <w:spacing w:val="-2"/>
        </w:rPr>
        <w:t>年依托服务优势成立了运通购快，切入智能</w:t>
      </w:r>
      <w:r>
        <w:rPr>
          <w:spacing w:val="-60"/>
        </w:rPr>
        <w:t> </w:t>
      </w:r>
      <w:r>
        <w:rPr>
          <w:spacing w:val="-60"/>
        </w:rPr>
      </w:r>
      <w:r>
        <w:rPr/>
        <w:t>新零售领域，目前运通购快已初步探索出可持续发展的商业模式，正加快步入快速发展通道。</w:t>
      </w:r>
    </w:p>
    <w:p>
      <w:pPr>
        <w:spacing w:line="240" w:lineRule="auto" w:before="3"/>
        <w:rPr>
          <w:rFonts w:ascii="宋体" w:hAnsi="宋体" w:cs="宋体" w:eastAsia="宋体" w:hint="default"/>
          <w:sz w:val="14"/>
          <w:szCs w:val="14"/>
        </w:rPr>
      </w:pPr>
    </w:p>
    <w:p>
      <w:pPr>
        <w:spacing w:line="300" w:lineRule="auto" w:before="0"/>
        <w:ind w:left="152" w:right="1128" w:firstLine="360"/>
        <w:jc w:val="both"/>
        <w:rPr>
          <w:rFonts w:ascii="宋体" w:hAnsi="宋体" w:cs="宋体" w:eastAsia="宋体" w:hint="default"/>
          <w:sz w:val="18"/>
          <w:szCs w:val="18"/>
        </w:rPr>
      </w:pPr>
      <w:r>
        <w:rPr>
          <w:rFonts w:ascii="Times New Roman" w:hAnsi="Times New Roman" w:cs="Times New Roman" w:eastAsia="Times New Roman" w:hint="default"/>
          <w:b/>
          <w:bCs/>
          <w:w w:val="95"/>
          <w:sz w:val="18"/>
          <w:szCs w:val="18"/>
        </w:rPr>
        <w:t>4</w:t>
      </w:r>
      <w:r>
        <w:rPr>
          <w:rFonts w:ascii="宋体" w:hAnsi="宋体" w:cs="宋体" w:eastAsia="宋体" w:hint="default"/>
          <w:b/>
          <w:bCs/>
          <w:w w:val="95"/>
          <w:sz w:val="18"/>
          <w:szCs w:val="18"/>
        </w:rPr>
        <w:t>、供应链优势：建立了成熟的供应链管理体系，具备快速响应市场需求的工业产品生产制造能力。</w:t>
      </w:r>
      <w:r>
        <w:rPr>
          <w:rFonts w:ascii="宋体" w:hAnsi="宋体" w:cs="宋体" w:eastAsia="宋体" w:hint="default"/>
          <w:w w:val="95"/>
          <w:sz w:val="18"/>
          <w:szCs w:val="18"/>
        </w:rPr>
        <w:t>公司有二十年的工</w:t>
      </w:r>
      <w:r>
        <w:rPr>
          <w:rFonts w:ascii="宋体" w:hAnsi="宋体" w:cs="宋体" w:eastAsia="宋体" w:hint="default"/>
          <w:spacing w:val="-3"/>
          <w:w w:val="95"/>
          <w:sz w:val="18"/>
          <w:szCs w:val="18"/>
        </w:rPr>
        <w:t> </w:t>
      </w:r>
      <w:r>
        <w:rPr>
          <w:rFonts w:ascii="宋体" w:hAnsi="宋体" w:cs="宋体" w:eastAsia="宋体" w:hint="default"/>
          <w:sz w:val="18"/>
          <w:szCs w:val="18"/>
        </w:rPr>
        <w:t>业化产品生产制造经验，生产基地面积近</w:t>
      </w:r>
      <w:r>
        <w:rPr>
          <w:rFonts w:ascii="Times New Roman" w:hAnsi="Times New Roman" w:cs="Times New Roman" w:eastAsia="Times New Roman" w:hint="default"/>
          <w:sz w:val="18"/>
          <w:szCs w:val="18"/>
        </w:rPr>
        <w:t>4</w:t>
      </w:r>
      <w:r>
        <w:rPr>
          <w:rFonts w:ascii="宋体" w:hAnsi="宋体" w:cs="宋体" w:eastAsia="宋体" w:hint="default"/>
          <w:sz w:val="18"/>
          <w:szCs w:val="18"/>
        </w:rPr>
        <w:t>万平方米，集中了一批经验丰富的专业工艺技术与生产管理团队，供应链管理体 </w:t>
      </w:r>
      <w:r>
        <w:rPr>
          <w:rFonts w:ascii="宋体" w:hAnsi="宋体" w:cs="宋体" w:eastAsia="宋体" w:hint="default"/>
          <w:spacing w:val="-2"/>
          <w:sz w:val="18"/>
          <w:szCs w:val="18"/>
        </w:rPr>
        <w:t>系日益成熟，产品质量保障体系不断完善，具备多个行业高科技终端产品的生产制造能力。</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年公司生产发货各类智能终</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端设备</w:t>
      </w:r>
      <w:r>
        <w:rPr>
          <w:rFonts w:ascii="Times New Roman" w:hAnsi="Times New Roman" w:cs="Times New Roman" w:eastAsia="Times New Roman" w:hint="default"/>
          <w:sz w:val="18"/>
          <w:szCs w:val="18"/>
        </w:rPr>
        <w:t>3</w:t>
      </w:r>
      <w:r>
        <w:rPr>
          <w:rFonts w:ascii="宋体" w:hAnsi="宋体" w:cs="宋体" w:eastAsia="宋体" w:hint="default"/>
          <w:sz w:val="18"/>
          <w:szCs w:val="18"/>
        </w:rPr>
        <w:t>万台（不含终端模块）。</w:t>
      </w:r>
    </w:p>
    <w:p>
      <w:pPr>
        <w:spacing w:after="0" w:line="300" w:lineRule="auto"/>
        <w:jc w:val="both"/>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2964" w:right="1034"/>
        <w:jc w:val="left"/>
        <w:rPr>
          <w:b w:val="0"/>
          <w:bCs w:val="0"/>
        </w:rPr>
      </w:pPr>
      <w:bookmarkStart w:name="_bookmark3" w:id="4"/>
      <w:bookmarkEnd w:id="4"/>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034"/>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right="1135" w:firstLine="360"/>
        <w:jc w:val="both"/>
      </w:pPr>
      <w:r>
        <w:rPr>
          <w:rFonts w:ascii="Times New Roman" w:hAnsi="Times New Roman" w:cs="Times New Roman" w:eastAsia="Times New Roman" w:hint="default"/>
        </w:rPr>
        <w:t>2018</w:t>
      </w:r>
      <w:r>
        <w:rPr/>
        <w:t>年度，公司围绕“不忘初心•做强人工智能，开启转型升级新时代”的年度发展主题，秉持“以创新的科技便利人 </w:t>
      </w:r>
      <w:r>
        <w:rPr>
          <w:spacing w:val="-2"/>
        </w:rPr>
        <w:t>类生活”的初心使命，紧跟行业、技术发展大势，深入拓展生物识别、智能视频、大数据等人工智能技术应用，以科技赋能</w:t>
      </w:r>
      <w:r>
        <w:rPr>
          <w:spacing w:val="-73"/>
        </w:rPr>
        <w:t> </w:t>
      </w:r>
      <w:r>
        <w:rPr>
          <w:spacing w:val="-73"/>
        </w:rPr>
      </w:r>
      <w:r>
        <w:rPr>
          <w:spacing w:val="-2"/>
        </w:rPr>
        <w:t>产业升级，在智能金融、智能安全、智能交通、智能便民四大战略领域已成功落地多个人工智能应用场景，固本拓新构建面</w:t>
      </w:r>
      <w:r>
        <w:rPr>
          <w:spacing w:val="-67"/>
        </w:rPr>
        <w:t> </w:t>
      </w:r>
      <w:r>
        <w:rPr>
          <w:spacing w:val="-67"/>
        </w:rPr>
      </w:r>
      <w:r>
        <w:rPr/>
        <w:t>向未来的竞争力，公司整体经营状况保持稳健发展与持续攀升态势。</w:t>
      </w:r>
    </w:p>
    <w:p>
      <w:pPr>
        <w:spacing w:line="240" w:lineRule="auto" w:before="7"/>
        <w:rPr>
          <w:rFonts w:ascii="宋体" w:hAnsi="宋体" w:cs="宋体" w:eastAsia="宋体" w:hint="default"/>
          <w:sz w:val="13"/>
          <w:szCs w:val="13"/>
        </w:rPr>
      </w:pPr>
    </w:p>
    <w:p>
      <w:pPr>
        <w:pStyle w:val="Heading5"/>
        <w:spacing w:line="240" w:lineRule="auto"/>
        <w:ind w:left="513" w:right="1034"/>
        <w:jc w:val="left"/>
        <w:rPr>
          <w:b w:val="0"/>
          <w:bCs w:val="0"/>
        </w:rPr>
      </w:pPr>
      <w:r>
        <w:rPr/>
        <w:t>（一）围绕“</w:t>
      </w:r>
      <w:r>
        <w:rPr>
          <w:rFonts w:ascii="Times New Roman" w:hAnsi="Times New Roman" w:cs="Times New Roman" w:eastAsia="Times New Roman" w:hint="default"/>
        </w:rPr>
        <w:t>AI+</w:t>
      </w:r>
      <w:r>
        <w:rPr/>
        <w:t>场景”战略方向，全面推进战略落地</w:t>
      </w:r>
      <w:r>
        <w:rPr>
          <w:b w:val="0"/>
          <w:bCs w:val="0"/>
        </w:rPr>
      </w:r>
    </w:p>
    <w:p>
      <w:pPr>
        <w:spacing w:line="240" w:lineRule="auto" w:before="12"/>
        <w:rPr>
          <w:rFonts w:ascii="宋体" w:hAnsi="宋体" w:cs="宋体" w:eastAsia="宋体" w:hint="default"/>
          <w:b/>
          <w:bCs/>
          <w:sz w:val="16"/>
          <w:szCs w:val="16"/>
        </w:rPr>
      </w:pPr>
    </w:p>
    <w:p>
      <w:pPr>
        <w:pStyle w:val="BodyText"/>
        <w:spacing w:line="300" w:lineRule="auto"/>
        <w:ind w:right="1133" w:firstLine="360"/>
        <w:jc w:val="both"/>
      </w:pPr>
      <w:r>
        <w:rPr>
          <w:rFonts w:ascii="Times New Roman" w:hAnsi="Times New Roman" w:cs="Times New Roman" w:eastAsia="Times New Roman" w:hint="default"/>
          <w:spacing w:val="-2"/>
        </w:rPr>
        <w:t>2018</w:t>
      </w:r>
      <w:r>
        <w:rPr>
          <w:spacing w:val="-2"/>
        </w:rPr>
        <w:t>年，全球政治经济环境发生深刻变化，中国不断深化各领域改革，加快推进新旧动能转换，并将发展人工智能上升</w:t>
      </w:r>
      <w:r>
        <w:rPr/>
        <w:t> </w:t>
      </w:r>
      <w:r>
        <w:rPr>
          <w:spacing w:val="-1"/>
        </w:rPr>
        <w:t>为国家战略。面对新形势下的机遇与挑战，公司快速应变，围绕“</w:t>
      </w:r>
      <w:r>
        <w:rPr>
          <w:rFonts w:ascii="Times New Roman" w:hAnsi="Times New Roman" w:cs="Times New Roman" w:eastAsia="Times New Roman" w:hint="default"/>
          <w:spacing w:val="-1"/>
        </w:rPr>
        <w:t>AI+</w:t>
      </w:r>
      <w:r>
        <w:rPr>
          <w:spacing w:val="-1"/>
        </w:rPr>
        <w:t>场景”的战略方向，采取一系列战略举措，进一步明</w:t>
      </w:r>
      <w:r>
        <w:rPr>
          <w:spacing w:val="-56"/>
        </w:rPr>
        <w:t> </w:t>
      </w:r>
      <w:r>
        <w:rPr>
          <w:spacing w:val="-56"/>
        </w:rPr>
      </w:r>
      <w:r>
        <w:rPr/>
        <w:t>确业务布局与发展思路，全面推进战略落地。</w:t>
      </w:r>
    </w:p>
    <w:p>
      <w:pPr>
        <w:spacing w:line="240" w:lineRule="auto" w:before="4"/>
        <w:rPr>
          <w:rFonts w:ascii="宋体" w:hAnsi="宋体" w:cs="宋体" w:eastAsia="宋体" w:hint="default"/>
          <w:sz w:val="14"/>
          <w:szCs w:val="14"/>
        </w:rPr>
      </w:pPr>
    </w:p>
    <w:p>
      <w:pPr>
        <w:pStyle w:val="BodyText"/>
        <w:spacing w:line="316" w:lineRule="auto"/>
        <w:ind w:right="1134" w:firstLine="360"/>
        <w:jc w:val="both"/>
      </w:pPr>
      <w:r>
        <w:rPr>
          <w:spacing w:val="-2"/>
        </w:rPr>
        <w:t>第一、成立智能金融、智能安全、智能交通、智能便民以及海外五大事业群作为五大领域应用场景拓展的主体，充分发</w:t>
      </w:r>
      <w:r>
        <w:rPr/>
        <w:t> 挥各事业群的灵活性和创新力，整合资源、构建内部运营体系，促进业务高质量发展。</w:t>
      </w:r>
    </w:p>
    <w:p>
      <w:pPr>
        <w:spacing w:line="240" w:lineRule="auto" w:before="5"/>
        <w:rPr>
          <w:rFonts w:ascii="宋体" w:hAnsi="宋体" w:cs="宋体" w:eastAsia="宋体" w:hint="default"/>
          <w:sz w:val="13"/>
          <w:szCs w:val="13"/>
        </w:rPr>
      </w:pPr>
    </w:p>
    <w:p>
      <w:pPr>
        <w:pStyle w:val="BodyText"/>
        <w:spacing w:line="316" w:lineRule="auto"/>
        <w:ind w:right="1133" w:firstLine="360"/>
        <w:jc w:val="both"/>
      </w:pPr>
      <w:r>
        <w:rPr>
          <w:spacing w:val="-2"/>
        </w:rPr>
        <w:t>第二、成立产品委员会，强化公司产品管理，推动现有产品线聚焦，并系统规划新产品，提炼并掌握关键核心技术，探</w:t>
      </w:r>
      <w:r>
        <w:rPr/>
        <w:t> 索出支撑公司长远发展的“拳头”产品。</w:t>
      </w:r>
    </w:p>
    <w:p>
      <w:pPr>
        <w:spacing w:line="240" w:lineRule="auto" w:before="5"/>
        <w:rPr>
          <w:rFonts w:ascii="宋体" w:hAnsi="宋体" w:cs="宋体" w:eastAsia="宋体" w:hint="default"/>
          <w:sz w:val="13"/>
          <w:szCs w:val="13"/>
        </w:rPr>
      </w:pPr>
    </w:p>
    <w:p>
      <w:pPr>
        <w:pStyle w:val="BodyText"/>
        <w:spacing w:line="309" w:lineRule="auto"/>
        <w:ind w:right="1130" w:firstLine="360"/>
        <w:jc w:val="both"/>
      </w:pPr>
      <w:r>
        <w:rPr/>
        <w:t>第三、构建“</w:t>
      </w:r>
      <w:r>
        <w:rPr>
          <w:rFonts w:ascii="Times New Roman" w:hAnsi="Times New Roman" w:cs="Times New Roman" w:eastAsia="Times New Roman" w:hint="default"/>
        </w:rPr>
        <w:t>1</w:t>
      </w:r>
      <w:r>
        <w:rPr/>
        <w:t>个研究总院</w:t>
      </w:r>
      <w:r>
        <w:rPr>
          <w:rFonts w:ascii="Times New Roman" w:hAnsi="Times New Roman" w:cs="Times New Roman" w:eastAsia="Times New Roman" w:hint="default"/>
        </w:rPr>
        <w:t>+6</w:t>
      </w:r>
      <w:r>
        <w:rPr/>
        <w:t>个专业研究院”的研发组织体系，研究总院负责公司通用核心技术开发、战略性创新技术 </w:t>
      </w:r>
      <w:r>
        <w:rPr>
          <w:spacing w:val="-2"/>
        </w:rPr>
        <w:t>预研，为公司构建核心技术优势；大数据研究院、智能金融研究院、智能交通研究院、海外研究院、智能便民研究院及智能</w:t>
      </w:r>
      <w:r>
        <w:rPr>
          <w:spacing w:val="-68"/>
        </w:rPr>
        <w:t> </w:t>
      </w:r>
      <w:r>
        <w:rPr>
          <w:spacing w:val="-68"/>
        </w:rPr>
      </w:r>
      <w:r>
        <w:rPr/>
        <w:t>安全研究院</w:t>
      </w:r>
      <w:r>
        <w:rPr>
          <w:rFonts w:ascii="Times New Roman" w:hAnsi="Times New Roman" w:cs="Times New Roman" w:eastAsia="Times New Roman" w:hint="default"/>
        </w:rPr>
        <w:t>6</w:t>
      </w:r>
      <w:r>
        <w:rPr/>
        <w:t>个专业研究院，响应各自领域的应用技术开发需求，为事业群的业务拓展提供技术保障。</w:t>
      </w:r>
    </w:p>
    <w:p>
      <w:pPr>
        <w:pStyle w:val="BodyText"/>
        <w:spacing w:line="316" w:lineRule="auto" w:before="161"/>
        <w:ind w:right="1133" w:firstLine="360"/>
        <w:jc w:val="both"/>
      </w:pPr>
      <w:r>
        <w:rPr>
          <w:spacing w:val="-2"/>
        </w:rPr>
        <w:t>第四、以支点创投作为公司股权投资运作主体，通过对内创新孵化和对外股权投资，推动事业群做强做大，拓展公司资</w:t>
      </w:r>
      <w:r>
        <w:rPr/>
        <w:t> 本运营空间，增强公司的盈利能力。</w:t>
      </w:r>
    </w:p>
    <w:p>
      <w:pPr>
        <w:spacing w:line="240" w:lineRule="auto" w:before="2"/>
        <w:rPr>
          <w:rFonts w:ascii="宋体" w:hAnsi="宋体" w:cs="宋体" w:eastAsia="宋体" w:hint="default"/>
          <w:sz w:val="13"/>
          <w:szCs w:val="13"/>
        </w:rPr>
      </w:pPr>
    </w:p>
    <w:p>
      <w:pPr>
        <w:pStyle w:val="Heading5"/>
        <w:spacing w:line="240" w:lineRule="auto"/>
        <w:ind w:left="513" w:right="1034"/>
        <w:jc w:val="left"/>
        <w:rPr>
          <w:b w:val="0"/>
          <w:bCs w:val="0"/>
        </w:rPr>
      </w:pPr>
      <w:r>
        <w:rPr/>
        <w:t>（二）聚焦人工智能技术赋能，五大事业群</w:t>
      </w:r>
      <w:r>
        <w:rPr>
          <w:rFonts w:ascii="Times New Roman" w:hAnsi="Times New Roman" w:cs="Times New Roman" w:eastAsia="Times New Roman" w:hint="default"/>
        </w:rPr>
        <w:t>AI</w:t>
      </w:r>
      <w:r>
        <w:rPr/>
        <w:t>场景拓展多点并进</w:t>
      </w:r>
      <w:r>
        <w:rPr>
          <w:b w:val="0"/>
          <w:bCs w:val="0"/>
        </w:rPr>
      </w:r>
    </w:p>
    <w:p>
      <w:pPr>
        <w:pStyle w:val="BodyText"/>
        <w:spacing w:line="450" w:lineRule="atLeast" w:before="18"/>
        <w:ind w:left="513" w:right="1034"/>
        <w:jc w:val="left"/>
      </w:pPr>
      <w:r>
        <w:rPr>
          <w:rFonts w:ascii="Times New Roman" w:hAnsi="Times New Roman" w:cs="Times New Roman" w:eastAsia="Times New Roman" w:hint="default"/>
        </w:rPr>
        <w:t>1</w:t>
      </w:r>
      <w:r>
        <w:rPr/>
        <w:t>、智能金融事业群 </w:t>
      </w:r>
      <w:r>
        <w:rPr>
          <w:spacing w:val="-2"/>
        </w:rPr>
        <w:t>近年来，公司作为国有高科技上市公司，注重核心关键领域的自主知识产权研发，全力推进金融业关键信息基础设施国</w:t>
      </w:r>
    </w:p>
    <w:p>
      <w:pPr>
        <w:pStyle w:val="BodyText"/>
        <w:spacing w:line="309" w:lineRule="auto" w:before="76"/>
        <w:ind w:right="1034"/>
        <w:jc w:val="left"/>
      </w:pPr>
      <w:r>
        <w:rPr/>
        <w:t>产化，及时洞悉银行业务流程重组及网点转型趋势，开发出远程视频柜员机</w:t>
      </w:r>
      <w:r>
        <w:rPr>
          <w:rFonts w:ascii="Times New Roman" w:hAnsi="Times New Roman" w:cs="Times New Roman" w:eastAsia="Times New Roman" w:hint="default"/>
        </w:rPr>
        <w:t>VTM</w:t>
      </w:r>
      <w:r>
        <w:rPr/>
        <w:t>、智慧柜员机、智能综合柜台等新产品。 </w:t>
      </w:r>
      <w:r>
        <w:rPr>
          <w:spacing w:val="-2"/>
        </w:rPr>
        <w:t>同时，通过融合互联网技术，充分利用生物识别、语音识别、数据挖掘等金融科技研究成果，将业务由“柜员机”向“智能</w:t>
      </w:r>
      <w:r>
        <w:rPr>
          <w:spacing w:val="-65"/>
        </w:rPr>
        <w:t> </w:t>
      </w:r>
      <w:r>
        <w:rPr>
          <w:spacing w:val="-65"/>
        </w:rPr>
      </w:r>
      <w:r>
        <w:rPr/>
        <w:t>网点”延伸，形成系列智能金融解决方案。</w:t>
      </w:r>
    </w:p>
    <w:p>
      <w:pPr>
        <w:spacing w:line="240" w:lineRule="auto" w:before="8"/>
        <w:rPr>
          <w:rFonts w:ascii="宋体" w:hAnsi="宋体" w:cs="宋体" w:eastAsia="宋体" w:hint="default"/>
          <w:sz w:val="13"/>
          <w:szCs w:val="13"/>
        </w:rPr>
      </w:pPr>
    </w:p>
    <w:p>
      <w:pPr>
        <w:pStyle w:val="BodyText"/>
        <w:spacing w:line="240" w:lineRule="auto"/>
        <w:ind w:left="513" w:right="1034"/>
        <w:jc w:val="left"/>
      </w:pPr>
      <w:r>
        <w:rPr/>
        <w:t>（</w:t>
      </w:r>
      <w:r>
        <w:rPr>
          <w:rFonts w:ascii="Times New Roman" w:hAnsi="Times New Roman" w:cs="Times New Roman" w:eastAsia="Times New Roman" w:hint="default"/>
        </w:rPr>
        <w:t>1</w:t>
      </w:r>
      <w:r>
        <w:rPr/>
        <w:t>）固本拓新，夯实国内银行智能自助设备市场龙头地位</w:t>
      </w:r>
    </w:p>
    <w:p>
      <w:pPr>
        <w:spacing w:line="240" w:lineRule="auto" w:before="12"/>
        <w:rPr>
          <w:rFonts w:ascii="宋体" w:hAnsi="宋体" w:cs="宋体" w:eastAsia="宋体" w:hint="default"/>
          <w:sz w:val="16"/>
          <w:szCs w:val="16"/>
        </w:rPr>
      </w:pPr>
    </w:p>
    <w:p>
      <w:pPr>
        <w:pStyle w:val="BodyText"/>
        <w:spacing w:line="300" w:lineRule="auto"/>
        <w:ind w:right="1131" w:firstLine="360"/>
        <w:jc w:val="both"/>
      </w:pPr>
      <w:r>
        <w:rPr>
          <w:rFonts w:ascii="Times New Roman" w:hAnsi="Times New Roman" w:cs="Times New Roman" w:eastAsia="Times New Roman" w:hint="default"/>
          <w:spacing w:val="-2"/>
        </w:rPr>
        <w:t>2018</w:t>
      </w:r>
      <w:r>
        <w:rPr>
          <w:spacing w:val="-2"/>
        </w:rPr>
        <w:t>年，传统金融智造市场环境依然严峻，公司迅速转变思维，充分发挥品牌及本地化营销网络资源优势，围绕用户需</w:t>
      </w:r>
      <w:r>
        <w:rPr/>
        <w:t> 求提供满意的产品及服务，持续提升国内银行智能自助设备市场份额。</w:t>
      </w:r>
    </w:p>
    <w:p>
      <w:pPr>
        <w:spacing w:line="240" w:lineRule="auto" w:before="4"/>
        <w:rPr>
          <w:rFonts w:ascii="宋体" w:hAnsi="宋体" w:cs="宋体" w:eastAsia="宋体" w:hint="default"/>
          <w:sz w:val="14"/>
          <w:szCs w:val="14"/>
        </w:rPr>
      </w:pPr>
    </w:p>
    <w:p>
      <w:pPr>
        <w:pStyle w:val="BodyText"/>
        <w:spacing w:line="312" w:lineRule="auto"/>
        <w:ind w:right="1131" w:firstLine="360"/>
        <w:jc w:val="both"/>
      </w:pPr>
      <w:r>
        <w:rPr/>
        <w:t>报告期内，公司现金智能设备基本实现工、农、中、建、交、邮政</w:t>
      </w:r>
      <w:r>
        <w:rPr>
          <w:rFonts w:ascii="Times New Roman" w:hAnsi="Times New Roman" w:cs="Times New Roman" w:eastAsia="Times New Roman" w:hint="default"/>
        </w:rPr>
        <w:t>6</w:t>
      </w:r>
      <w:r>
        <w:rPr/>
        <w:t>大行及</w:t>
      </w:r>
      <w:r>
        <w:rPr>
          <w:rFonts w:ascii="Times New Roman" w:hAnsi="Times New Roman" w:cs="Times New Roman" w:eastAsia="Times New Roman" w:hint="default"/>
        </w:rPr>
        <w:t>12</w:t>
      </w:r>
      <w:r>
        <w:rPr/>
        <w:t>家全国性股份制银行全覆盖。大额现金设 </w:t>
      </w:r>
      <w:r>
        <w:rPr>
          <w:spacing w:val="-2"/>
        </w:rPr>
        <w:t>备对传统现金设备呈替代趋势，公司大额存取款机入围平安、兴业、浦发、广发、光大等银行，在已结束招标的大行及股份</w:t>
      </w:r>
      <w:r>
        <w:rPr>
          <w:spacing w:val="-70"/>
        </w:rPr>
        <w:t> </w:t>
      </w:r>
      <w:r>
        <w:rPr>
          <w:spacing w:val="-70"/>
        </w:rPr>
      </w:r>
      <w:r>
        <w:rPr>
          <w:spacing w:val="-2"/>
        </w:rPr>
        <w:t>制银行中基本实现全入围；非现金智能设备入围中国邮政集团，是公司继非现金业务智能设备成功入围农行、交行后，在六</w:t>
      </w:r>
      <w:r>
        <w:rPr>
          <w:spacing w:val="-64"/>
        </w:rPr>
        <w:t> </w:t>
      </w:r>
      <w:r>
        <w:rPr>
          <w:spacing w:val="-64"/>
        </w:rPr>
      </w:r>
      <w:r>
        <w:rPr/>
        <w:t>大国有银行中的又一个里程碑；智能柜台入围兴业银行，集成</w:t>
      </w:r>
      <w:r>
        <w:rPr>
          <w:rFonts w:ascii="Times New Roman" w:hAnsi="Times New Roman" w:cs="Times New Roman" w:eastAsia="Times New Roman" w:hint="default"/>
        </w:rPr>
        <w:t>VTM</w:t>
      </w:r>
      <w:r>
        <w:rPr/>
        <w:t>入围浦发银行，智能柜台、智能桌面设备以及智能银行 </w:t>
      </w:r>
      <w:r>
        <w:rPr>
          <w:spacing w:val="-2"/>
        </w:rPr>
        <w:t>全套软件解决方案入围广发银行，进一步提升公司在非现金业务智能设备领域的销售份额及市场地位。基于人脸识别的双目</w:t>
      </w:r>
      <w:r>
        <w:rPr>
          <w:spacing w:val="-64"/>
        </w:rPr>
        <w:t> </w:t>
      </w:r>
      <w:r>
        <w:rPr>
          <w:spacing w:val="-64"/>
        </w:rPr>
      </w:r>
      <w:r>
        <w:rPr/>
        <w:t>摄像头通过智能自助设备改造进入建行、农行、中行、华夏等银行，累计发货超</w:t>
      </w:r>
      <w:r>
        <w:rPr>
          <w:rFonts w:ascii="Times New Roman" w:hAnsi="Times New Roman" w:cs="Times New Roman" w:eastAsia="Times New Roman" w:hint="default"/>
        </w:rPr>
        <w:t>1.6</w:t>
      </w:r>
      <w:r>
        <w:rPr/>
        <w:t>万台，奠定了公司在生物识别改造领域</w:t>
      </w:r>
    </w:p>
    <w:p>
      <w:pPr>
        <w:spacing w:after="0" w:line="312" w:lineRule="auto"/>
        <w:jc w:val="both"/>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0"/>
        <w:jc w:val="both"/>
      </w:pPr>
      <w:r>
        <w:rPr/>
        <w:t>的领先优势。</w:t>
      </w:r>
    </w:p>
    <w:p>
      <w:pPr>
        <w:pStyle w:val="BodyText"/>
        <w:spacing w:line="470" w:lineRule="atLeast" w:before="11"/>
        <w:ind w:left="513" w:right="1034"/>
        <w:jc w:val="left"/>
      </w:pPr>
      <w:r>
        <w:rPr/>
        <w:t>（</w:t>
      </w:r>
      <w:r>
        <w:rPr>
          <w:rFonts w:ascii="Times New Roman" w:hAnsi="Times New Roman" w:cs="Times New Roman" w:eastAsia="Times New Roman" w:hint="default"/>
        </w:rPr>
        <w:t>2</w:t>
      </w:r>
      <w:r>
        <w:rPr/>
        <w:t>）推进金融业智能化升级，引领“</w:t>
      </w:r>
      <w:r>
        <w:rPr>
          <w:rFonts w:ascii="Times New Roman" w:hAnsi="Times New Roman" w:cs="Times New Roman" w:eastAsia="Times New Roman" w:hint="default"/>
        </w:rPr>
        <w:t>AI+</w:t>
      </w:r>
      <w:r>
        <w:rPr/>
        <w:t>金融”场景应用新标杆</w:t>
      </w:r>
      <w:r>
        <w:rPr>
          <w:w w:val="99"/>
        </w:rPr>
        <w:t> </w:t>
      </w:r>
      <w:r>
        <w:rPr>
          <w:spacing w:val="-1"/>
        </w:rPr>
        <w:t>公司紧跟银行智能化转型步伐，推出一系列“</w:t>
      </w:r>
      <w:r>
        <w:rPr>
          <w:rFonts w:ascii="Times New Roman" w:hAnsi="Times New Roman" w:cs="Times New Roman" w:eastAsia="Times New Roman" w:hint="default"/>
          <w:spacing w:val="-1"/>
        </w:rPr>
        <w:t>AI+</w:t>
      </w:r>
      <w:r>
        <w:rPr>
          <w:spacing w:val="-1"/>
        </w:rPr>
        <w:t>金融”场景应用解决方案，助力银行网点场景创新及智能化改造。报</w:t>
      </w:r>
    </w:p>
    <w:p>
      <w:pPr>
        <w:pStyle w:val="BodyText"/>
        <w:spacing w:line="300" w:lineRule="auto" w:before="60"/>
        <w:ind w:right="1138"/>
        <w:jc w:val="both"/>
      </w:pPr>
      <w:r>
        <w:rPr/>
        <w:t>告期内，公司基于自身生物识别和大数据分析等技术助力银行网点转型，相继中标建行多个网点转型集成项目：</w:t>
      </w:r>
      <w:r>
        <w:rPr>
          <w:rFonts w:ascii="Times New Roman" w:hAnsi="Times New Roman" w:cs="Times New Roman" w:eastAsia="Times New Roman" w:hint="default"/>
        </w:rPr>
        <w:t>1</w:t>
      </w:r>
      <w:r>
        <w:rPr/>
        <w:t>月中标广</w:t>
      </w:r>
      <w:r>
        <w:rPr>
          <w:spacing w:val="-87"/>
        </w:rPr>
        <w:t> </w:t>
      </w:r>
      <w:r>
        <w:rPr/>
        <w:t>东建行创客中心项目，</w:t>
      </w:r>
      <w:r>
        <w:rPr>
          <w:rFonts w:ascii="Times New Roman" w:hAnsi="Times New Roman" w:cs="Times New Roman" w:eastAsia="Times New Roman" w:hint="default"/>
        </w:rPr>
        <w:t>4</w:t>
      </w:r>
      <w:r>
        <w:rPr/>
        <w:t>月助力建行全国首家“无人银行”开业，</w:t>
      </w:r>
      <w:r>
        <w:rPr>
          <w:rFonts w:ascii="Times New Roman" w:hAnsi="Times New Roman" w:cs="Times New Roman" w:eastAsia="Times New Roman" w:hint="default"/>
        </w:rPr>
        <w:t>10</w:t>
      </w:r>
      <w:r>
        <w:rPr/>
        <w:t>月中标建行天河支行营业部、大学城金蜜蜂网点改造项 目及广州住房金融服务中心项目，标志着公司网点转型集成项目实施能力逐渐成熟。</w:t>
      </w:r>
    </w:p>
    <w:p>
      <w:pPr>
        <w:spacing w:line="240" w:lineRule="auto" w:before="7"/>
        <w:rPr>
          <w:rFonts w:ascii="宋体" w:hAnsi="宋体" w:cs="宋体" w:eastAsia="宋体" w:hint="default"/>
          <w:sz w:val="14"/>
          <w:szCs w:val="14"/>
        </w:rPr>
      </w:pPr>
    </w:p>
    <w:p>
      <w:pPr>
        <w:pStyle w:val="BodyText"/>
        <w:spacing w:line="300" w:lineRule="auto"/>
        <w:ind w:right="1042" w:firstLine="360"/>
        <w:jc w:val="left"/>
      </w:pPr>
      <w:r>
        <w:rPr/>
        <w:t>报告期内，公司在金融软件及系统解决方案方面的实施能力也得到持续提升，中标工行新一代</w:t>
      </w:r>
      <w:r>
        <w:rPr>
          <w:rFonts w:ascii="Times New Roman" w:hAnsi="Times New Roman" w:cs="Times New Roman" w:eastAsia="Times New Roman" w:hint="default"/>
        </w:rPr>
        <w:t>ATMC</w:t>
      </w:r>
      <w:r>
        <w:rPr/>
        <w:t>跨平台软件项目，</w:t>
      </w:r>
      <w:r>
        <w:rPr>
          <w:spacing w:val="2"/>
        </w:rPr>
        <w:t> </w:t>
      </w:r>
      <w:r>
        <w:rPr/>
        <w:t>贵阳银行智慧柜台项目和上海银行智能化网点解决方案正式上线，中标成都农商银行新核心无纸化</w:t>
      </w:r>
      <w:r>
        <w:rPr>
          <w:rFonts w:ascii="Times New Roman" w:hAnsi="Times New Roman" w:cs="Times New Roman" w:eastAsia="Times New Roman" w:hint="default"/>
        </w:rPr>
        <w:t>-</w:t>
      </w:r>
      <w:r>
        <w:rPr/>
        <w:t>预填单系统采购项目， </w:t>
      </w:r>
      <w:r>
        <w:rPr>
          <w:rFonts w:ascii="Times New Roman" w:hAnsi="Times New Roman" w:cs="Times New Roman" w:eastAsia="Times New Roman" w:hint="default"/>
        </w:rPr>
        <w:t>GRGHub</w:t>
      </w:r>
      <w:r>
        <w:rPr/>
        <w:t>智能交互平板自推出以来，在建行、农行、中行、工行、邮储、中原银行等银行成功上线；公司“面向智能金融的 </w:t>
      </w:r>
      <w:r>
        <w:rPr>
          <w:spacing w:val="-5"/>
        </w:rPr>
        <w:t>智慧网点综合系统”被评为广东省十大名牌软件、</w:t>
      </w:r>
      <w:r>
        <w:rPr>
          <w:rFonts w:ascii="Times New Roman" w:hAnsi="Times New Roman" w:cs="Times New Roman" w:eastAsia="Times New Roman" w:hint="default"/>
          <w:spacing w:val="-5"/>
        </w:rPr>
        <w:t>2018</w:t>
      </w:r>
      <w:r>
        <w:rPr>
          <w:spacing w:val="-5"/>
        </w:rPr>
        <w:t>年广州优秀软件。另外，公司还中标广州市数字化审计平台采购项目，</w:t>
      </w:r>
      <w:r>
        <w:rPr>
          <w:spacing w:val="-70"/>
        </w:rPr>
        <w:t> </w:t>
      </w:r>
      <w:r>
        <w:rPr>
          <w:spacing w:val="-70"/>
        </w:rPr>
      </w:r>
      <w:r>
        <w:rPr/>
        <w:t>切入审计大数据领域，从银行到财政、公安、审计，公司软件及系统建设实力不断提升。</w:t>
      </w:r>
    </w:p>
    <w:p>
      <w:pPr>
        <w:spacing w:line="240" w:lineRule="auto" w:before="4"/>
        <w:rPr>
          <w:rFonts w:ascii="宋体" w:hAnsi="宋体" w:cs="宋体" w:eastAsia="宋体" w:hint="default"/>
          <w:sz w:val="14"/>
          <w:szCs w:val="14"/>
        </w:rPr>
      </w:pPr>
    </w:p>
    <w:p>
      <w:pPr>
        <w:pStyle w:val="BodyText"/>
        <w:spacing w:line="240" w:lineRule="auto"/>
        <w:ind w:left="513" w:right="1034"/>
        <w:jc w:val="left"/>
      </w:pPr>
      <w:r>
        <w:rPr/>
        <w:t>（</w:t>
      </w:r>
      <w:r>
        <w:rPr>
          <w:rFonts w:ascii="Times New Roman" w:hAnsi="Times New Roman" w:cs="Times New Roman" w:eastAsia="Times New Roman" w:hint="default"/>
        </w:rPr>
        <w:t>3</w:t>
      </w:r>
      <w:r>
        <w:rPr/>
        <w:t>）收购中科江南，打造公司财政金融业务发展平台</w:t>
      </w:r>
    </w:p>
    <w:p>
      <w:pPr>
        <w:spacing w:line="240" w:lineRule="auto" w:before="12"/>
        <w:rPr>
          <w:rFonts w:ascii="宋体" w:hAnsi="宋体" w:cs="宋体" w:eastAsia="宋体" w:hint="default"/>
          <w:sz w:val="16"/>
          <w:szCs w:val="16"/>
        </w:rPr>
      </w:pPr>
    </w:p>
    <w:p>
      <w:pPr>
        <w:pStyle w:val="BodyText"/>
        <w:spacing w:line="297" w:lineRule="auto"/>
        <w:ind w:right="1124"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月，公司收购国库支付电子化龙头企业中科江南，业务拓展至智能财政领域，成为全国财政电子支付平台的唯 一技术提供商、智能财政领域的领导厂商。</w:t>
      </w:r>
    </w:p>
    <w:p>
      <w:pPr>
        <w:spacing w:line="240" w:lineRule="auto" w:before="8"/>
        <w:rPr>
          <w:rFonts w:ascii="宋体" w:hAnsi="宋体" w:cs="宋体" w:eastAsia="宋体" w:hint="default"/>
          <w:sz w:val="14"/>
          <w:szCs w:val="14"/>
        </w:rPr>
      </w:pPr>
    </w:p>
    <w:p>
      <w:pPr>
        <w:pStyle w:val="BodyText"/>
        <w:spacing w:line="300" w:lineRule="auto"/>
        <w:ind w:right="1034" w:firstLine="360"/>
        <w:jc w:val="left"/>
      </w:pPr>
      <w:r>
        <w:rPr/>
        <w:t>中科江南是集财政信息化建设与金融信息安全于一体的国内领先的软件公司，为我国政府</w:t>
      </w:r>
      <w:r>
        <w:rPr>
          <w:rFonts w:ascii="Times New Roman" w:hAnsi="Times New Roman" w:cs="Times New Roman" w:eastAsia="Times New Roman" w:hint="default"/>
        </w:rPr>
        <w:t>60%</w:t>
      </w:r>
      <w:r>
        <w:rPr/>
        <w:t>的财政性资金提供国库支 付电子化方案，财政支付电子化应用市场占有率达</w:t>
      </w:r>
      <w:r>
        <w:rPr>
          <w:rFonts w:ascii="Times New Roman" w:hAnsi="Times New Roman" w:cs="Times New Roman" w:eastAsia="Times New Roman" w:hint="default"/>
        </w:rPr>
        <w:t>98%</w:t>
      </w:r>
      <w:r>
        <w:rPr/>
        <w:t>。公司自收购中科江南以来，不断整合双方在研发、渠道等多方面的 优势与资源，不断加强双方业务方面及分布式账本等技术研发方面的协同性，推进中科江南业务的进一步发展。</w:t>
      </w:r>
      <w:r>
        <w:rPr>
          <w:rFonts w:ascii="Times New Roman" w:hAnsi="Times New Roman" w:cs="Times New Roman" w:eastAsia="Times New Roman" w:hint="default"/>
        </w:rPr>
        <w:t>2018</w:t>
      </w:r>
      <w:r>
        <w:rPr/>
        <w:t>年度，</w:t>
      </w:r>
      <w:r>
        <w:rPr>
          <w:spacing w:val="-85"/>
        </w:rPr>
        <w:t> </w:t>
      </w:r>
      <w:r>
        <w:rPr>
          <w:spacing w:val="-85"/>
        </w:rPr>
      </w:r>
      <w:r>
        <w:rPr/>
        <w:t>中科江南全年累计签订合同额已超过</w:t>
      </w:r>
      <w:r>
        <w:rPr>
          <w:rFonts w:ascii="Times New Roman" w:hAnsi="Times New Roman" w:cs="Times New Roman" w:eastAsia="Times New Roman" w:hint="default"/>
        </w:rPr>
        <w:t>4</w:t>
      </w:r>
      <w:r>
        <w:rPr/>
        <w:t>亿元，且“河南省财政厅一体化升级预算综合管理系统建设项目”的中标，标志着中 科江南已能够提供基于云技术的财政一体化的全面解决方案。</w:t>
      </w:r>
    </w:p>
    <w:p>
      <w:pPr>
        <w:spacing w:line="240" w:lineRule="auto" w:before="4"/>
        <w:rPr>
          <w:rFonts w:ascii="宋体" w:hAnsi="宋体" w:cs="宋体" w:eastAsia="宋体" w:hint="default"/>
          <w:sz w:val="14"/>
          <w:szCs w:val="14"/>
        </w:rPr>
      </w:pPr>
    </w:p>
    <w:p>
      <w:pPr>
        <w:pStyle w:val="BodyText"/>
        <w:spacing w:line="240" w:lineRule="auto"/>
        <w:ind w:left="513" w:right="1034"/>
        <w:jc w:val="left"/>
      </w:pPr>
      <w:r>
        <w:rPr>
          <w:rFonts w:ascii="Times New Roman" w:hAnsi="Times New Roman" w:cs="Times New Roman" w:eastAsia="Times New Roman" w:hint="default"/>
        </w:rPr>
        <w:t>2</w:t>
      </w:r>
      <w:r>
        <w:rPr/>
        <w:t>、智能安全事业群</w:t>
      </w:r>
    </w:p>
    <w:p>
      <w:pPr>
        <w:spacing w:line="240" w:lineRule="auto" w:before="12"/>
        <w:rPr>
          <w:rFonts w:ascii="宋体" w:hAnsi="宋体" w:cs="宋体" w:eastAsia="宋体" w:hint="default"/>
          <w:sz w:val="16"/>
          <w:szCs w:val="16"/>
        </w:rPr>
      </w:pPr>
    </w:p>
    <w:p>
      <w:pPr>
        <w:pStyle w:val="BodyText"/>
        <w:spacing w:line="300" w:lineRule="auto"/>
        <w:ind w:right="1130" w:firstLine="360"/>
        <w:jc w:val="both"/>
      </w:pPr>
      <w:r>
        <w:rPr>
          <w:rFonts w:ascii="Times New Roman" w:hAnsi="Times New Roman" w:cs="Times New Roman" w:eastAsia="Times New Roman" w:hint="default"/>
          <w:spacing w:val="-2"/>
        </w:rPr>
        <w:t>2018</w:t>
      </w:r>
      <w:r>
        <w:rPr>
          <w:spacing w:val="-2"/>
        </w:rPr>
        <w:t>年公司通过并购信义科技快速切入智能安全领域，并与武装押运公司深度融合，发挥联动效应，在全国整合安防企</w:t>
      </w:r>
      <w:r>
        <w:rPr/>
        <w:t> 业，开拓国内多地域、多业务领域公共安全项目，推进人工智能技术落地应用，构建人工智能</w:t>
      </w:r>
      <w:r>
        <w:rPr>
          <w:rFonts w:ascii="Times New Roman" w:hAnsi="Times New Roman" w:cs="Times New Roman" w:eastAsia="Times New Roman" w:hint="default"/>
        </w:rPr>
        <w:t>+</w:t>
      </w:r>
      <w:r>
        <w:rPr/>
        <w:t>公共安全创新体系，逐步成 为智慧城市公共安全服务提供商。</w:t>
      </w:r>
    </w:p>
    <w:p>
      <w:pPr>
        <w:pStyle w:val="BodyText"/>
        <w:spacing w:line="470" w:lineRule="exact" w:before="21"/>
        <w:ind w:left="513" w:right="1118"/>
        <w:jc w:val="left"/>
      </w:pPr>
      <w:r>
        <w:rPr/>
        <w:t>（</w:t>
      </w:r>
      <w:r>
        <w:rPr>
          <w:rFonts w:ascii="Times New Roman" w:hAnsi="Times New Roman" w:cs="Times New Roman" w:eastAsia="Times New Roman" w:hint="default"/>
        </w:rPr>
        <w:t>1</w:t>
      </w:r>
      <w:r>
        <w:rPr/>
        <w:t>）推进武装押运公司战略升级，业务拓展至智能安防领域 </w:t>
      </w:r>
      <w:r>
        <w:rPr>
          <w:spacing w:val="-5"/>
        </w:rPr>
        <w:t>公司充分运用金融外包服务及武装押运服务的优势，以区域中心化原则推进产业链融合，结合平安城市业务布局，用“互</w:t>
      </w:r>
    </w:p>
    <w:p>
      <w:pPr>
        <w:pStyle w:val="BodyText"/>
        <w:spacing w:line="312" w:lineRule="auto" w:before="5"/>
        <w:ind w:right="1130"/>
        <w:jc w:val="both"/>
      </w:pPr>
      <w:r>
        <w:rPr/>
        <w:t>联网</w:t>
      </w:r>
      <w:r>
        <w:rPr>
          <w:rFonts w:ascii="Times New Roman" w:hAnsi="Times New Roman" w:cs="Times New Roman" w:eastAsia="Times New Roman" w:hint="default"/>
        </w:rPr>
        <w:t>+</w:t>
      </w:r>
      <w:r>
        <w:rPr/>
        <w:t>智能服务”整合银行外包业务，在全国范围内已布局</w:t>
      </w:r>
      <w:r>
        <w:rPr>
          <w:rFonts w:ascii="Times New Roman" w:hAnsi="Times New Roman" w:cs="Times New Roman" w:eastAsia="Times New Roman" w:hint="default"/>
        </w:rPr>
        <w:t>13</w:t>
      </w:r>
      <w:r>
        <w:rPr/>
        <w:t>家现金外包公司和</w:t>
      </w:r>
      <w:r>
        <w:rPr>
          <w:rFonts w:ascii="Times New Roman" w:hAnsi="Times New Roman" w:cs="Times New Roman" w:eastAsia="Times New Roman" w:hint="default"/>
        </w:rPr>
        <w:t>24</w:t>
      </w:r>
      <w:r>
        <w:rPr/>
        <w:t>家武装押运公司，开展现金安全服务，拓 展联网报警运营、贵重品安全押运等创新业务，形成现金安全服务全产业链，服务全国</w:t>
      </w:r>
      <w:r>
        <w:rPr>
          <w:rFonts w:ascii="Times New Roman" w:hAnsi="Times New Roman" w:cs="Times New Roman" w:eastAsia="Times New Roman" w:hint="default"/>
        </w:rPr>
        <w:t>400</w:t>
      </w:r>
      <w:r>
        <w:rPr/>
        <w:t>家金融及泛金融客户。推进已收 </w:t>
      </w:r>
      <w:r>
        <w:rPr>
          <w:spacing w:val="-2"/>
        </w:rPr>
        <w:t>购武装押运公司战略升级，利用现有客户资源，积极拓展联网报警、智慧园区等新业务，推出“广电安保智能视频联网报警</w:t>
      </w:r>
      <w:r>
        <w:rPr>
          <w:spacing w:val="-67"/>
        </w:rPr>
        <w:t> </w:t>
      </w:r>
      <w:r>
        <w:rPr>
          <w:spacing w:val="-67"/>
        </w:rPr>
      </w:r>
      <w:r>
        <w:rPr>
          <w:spacing w:val="-2"/>
        </w:rPr>
        <w:t>综合解决方案”，相继中标湖南省湘中制药安防监控、绥宁县枫香大道电子警察公共安防、新余市高新开发区视频监控等多</w:t>
      </w:r>
      <w:r>
        <w:rPr>
          <w:spacing w:val="-64"/>
        </w:rPr>
        <w:t> </w:t>
      </w:r>
      <w:r>
        <w:rPr>
          <w:spacing w:val="-64"/>
        </w:rPr>
      </w:r>
      <w:r>
        <w:rPr>
          <w:spacing w:val="-2"/>
        </w:rPr>
        <w:t>个项目；互联网安防运营平台上线，为社会公关安全末端用户（银行、园区、商铺、家庭）提供智能化的安全运营服务，全</w:t>
      </w:r>
      <w:r>
        <w:rPr>
          <w:spacing w:val="-65"/>
        </w:rPr>
        <w:t> </w:t>
      </w:r>
      <w:r>
        <w:rPr>
          <w:spacing w:val="-65"/>
        </w:rPr>
      </w:r>
      <w:r>
        <w:rPr/>
        <w:t>年累计接入客户超</w:t>
      </w:r>
      <w:r>
        <w:rPr>
          <w:rFonts w:ascii="Times New Roman" w:hAnsi="Times New Roman" w:cs="Times New Roman" w:eastAsia="Times New Roman" w:hint="default"/>
        </w:rPr>
        <w:t>6,000</w:t>
      </w:r>
      <w:r>
        <w:rPr/>
        <w:t>家。公司押运业务全年实现逆势增长。</w:t>
      </w:r>
    </w:p>
    <w:p>
      <w:pPr>
        <w:pStyle w:val="BodyText"/>
        <w:spacing w:line="240" w:lineRule="auto" w:before="159"/>
        <w:ind w:left="513" w:right="1034"/>
        <w:jc w:val="left"/>
      </w:pPr>
      <w:r>
        <w:rPr/>
        <w:t>（</w:t>
      </w:r>
      <w:r>
        <w:rPr>
          <w:rFonts w:ascii="Times New Roman" w:hAnsi="Times New Roman" w:cs="Times New Roman" w:eastAsia="Times New Roman" w:hint="default"/>
        </w:rPr>
        <w:t>2</w:t>
      </w:r>
      <w:r>
        <w:rPr/>
        <w:t>）收购信义科技，构建平安城市综合解决方案</w:t>
      </w:r>
    </w:p>
    <w:p>
      <w:pPr>
        <w:spacing w:line="240" w:lineRule="auto" w:before="12"/>
        <w:rPr>
          <w:rFonts w:ascii="宋体" w:hAnsi="宋体" w:cs="宋体" w:eastAsia="宋体" w:hint="default"/>
          <w:sz w:val="16"/>
          <w:szCs w:val="16"/>
        </w:rPr>
      </w:pPr>
    </w:p>
    <w:p>
      <w:pPr>
        <w:pStyle w:val="BodyText"/>
        <w:spacing w:line="314" w:lineRule="auto"/>
        <w:ind w:right="1034"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月，公司收购信义科技，积极推进数据、算法、算力及生物特征识别、智能视频、人机交互等核心技术在平安 </w:t>
      </w:r>
      <w:r>
        <w:rPr>
          <w:spacing w:val="-2"/>
        </w:rPr>
        <w:t>城市、智慧园区、智慧警务等多领域的广泛应用。报告期内，信义科技持续夯实深圳市场，成功建设深圳龙岗雪亮工程、光</w:t>
      </w:r>
      <w:r>
        <w:rPr>
          <w:spacing w:val="-70"/>
        </w:rPr>
        <w:t> </w:t>
      </w:r>
      <w:r>
        <w:rPr>
          <w:spacing w:val="-70"/>
        </w:rPr>
      </w:r>
      <w:r>
        <w:rPr>
          <w:spacing w:val="-2"/>
        </w:rPr>
        <w:t>明区视频监控、南山区平安城市、视频门禁等多个行业标杆项目，接连落地智慧警务云平台、移动警务督察系统、人脸识别</w:t>
      </w:r>
      <w:r>
        <w:rPr>
          <w:spacing w:val="-67"/>
        </w:rPr>
        <w:t> </w:t>
      </w:r>
      <w:r>
        <w:rPr>
          <w:spacing w:val="-67"/>
        </w:rPr>
      </w:r>
      <w:r>
        <w:rPr>
          <w:spacing w:val="-4"/>
        </w:rPr>
        <w:t>大数据平台等一系列智慧警务产品，大规模开启深圳地区人工智能在安防领域的深度创新应用，具有全国性示范和口碑效应，</w:t>
      </w:r>
      <w:r>
        <w:rPr>
          <w:spacing w:val="-44"/>
        </w:rPr>
        <w:t> </w:t>
      </w:r>
      <w:r>
        <w:rPr>
          <w:spacing w:val="-44"/>
        </w:rPr>
      </w:r>
      <w:r>
        <w:rPr>
          <w:spacing w:val="-2"/>
        </w:rPr>
        <w:t>其中多警种大数据智能指挥系统以深圳为中心，向湛江、中山、福建、湖南等地铺开，在公安领域形成了重要影响力。这为</w:t>
      </w:r>
      <w:r>
        <w:rPr>
          <w:spacing w:val="-68"/>
        </w:rPr>
        <w:t> </w:t>
      </w:r>
      <w:r>
        <w:rPr>
          <w:spacing w:val="-68"/>
        </w:rPr>
      </w:r>
      <w:r>
        <w:rPr/>
        <w:t>公司未来依托自身武装押运资源、自主研发技术和大数据优势，向广东及全国推广智能公共安全综合解决方案奠定了基础。</w:t>
      </w:r>
    </w:p>
    <w:p>
      <w:pPr>
        <w:spacing w:after="0" w:line="314"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0"/>
        <w:jc w:val="both"/>
      </w:pPr>
      <w:r>
        <w:rPr/>
        <w:t>信义科技全年新签合同超过</w:t>
      </w:r>
      <w:r>
        <w:rPr>
          <w:rFonts w:ascii="Times New Roman" w:hAnsi="Times New Roman" w:cs="Times New Roman" w:eastAsia="Times New Roman" w:hint="default"/>
        </w:rPr>
        <w:t>6</w:t>
      </w:r>
      <w:r>
        <w:rPr/>
        <w:t>亿元，成为公司新的利润增长点。</w:t>
      </w:r>
    </w:p>
    <w:p>
      <w:pPr>
        <w:spacing w:line="240" w:lineRule="auto" w:before="9"/>
        <w:rPr>
          <w:rFonts w:ascii="宋体" w:hAnsi="宋体" w:cs="宋体" w:eastAsia="宋体" w:hint="default"/>
          <w:sz w:val="16"/>
          <w:szCs w:val="16"/>
        </w:rPr>
      </w:pPr>
    </w:p>
    <w:p>
      <w:pPr>
        <w:pStyle w:val="BodyText"/>
        <w:spacing w:line="240" w:lineRule="auto"/>
        <w:ind w:left="513" w:right="1034"/>
        <w:jc w:val="left"/>
      </w:pPr>
      <w:r>
        <w:rPr>
          <w:rFonts w:ascii="Times New Roman" w:hAnsi="Times New Roman" w:cs="Times New Roman" w:eastAsia="Times New Roman" w:hint="default"/>
        </w:rPr>
        <w:t>3</w:t>
      </w:r>
      <w:r>
        <w:rPr/>
        <w:t>、智能交通事业群</w:t>
      </w:r>
    </w:p>
    <w:p>
      <w:pPr>
        <w:spacing w:line="240" w:lineRule="auto" w:before="12"/>
        <w:rPr>
          <w:rFonts w:ascii="宋体" w:hAnsi="宋体" w:cs="宋体" w:eastAsia="宋体" w:hint="default"/>
          <w:sz w:val="16"/>
          <w:szCs w:val="16"/>
        </w:rPr>
      </w:pPr>
    </w:p>
    <w:p>
      <w:pPr>
        <w:pStyle w:val="BodyText"/>
        <w:spacing w:line="304" w:lineRule="auto"/>
        <w:ind w:right="1131" w:firstLine="360"/>
        <w:jc w:val="both"/>
      </w:pPr>
      <w:r>
        <w:rPr>
          <w:rFonts w:ascii="Times New Roman" w:hAnsi="Times New Roman" w:cs="Times New Roman" w:eastAsia="Times New Roman" w:hint="default"/>
          <w:spacing w:val="-2"/>
        </w:rPr>
        <w:t>2018</w:t>
      </w:r>
      <w:r>
        <w:rPr>
          <w:spacing w:val="-2"/>
        </w:rPr>
        <w:t>年，公司牢牢抓住轨道交通大发展的时代机遇，顺应交通出行“以人为中心”的趋势，应用人工智能技术，打造支</w:t>
      </w:r>
      <w:r>
        <w:rPr/>
        <w:t> </w:t>
      </w:r>
      <w:r>
        <w:rPr>
          <w:spacing w:val="-2"/>
        </w:rPr>
        <w:t>持“刷脸出行”新产品，开启智能出行新体验，引领行业进步和产业升级。公司以前端设备销售为基础，将业务拓展至后端</w:t>
      </w:r>
      <w:r>
        <w:rPr>
          <w:spacing w:val="-70"/>
        </w:rPr>
        <w:t> </w:t>
      </w:r>
      <w:r>
        <w:rPr>
          <w:spacing w:val="-70"/>
        </w:rPr>
      </w:r>
      <w:r>
        <w:rPr/>
        <w:t>的管理系统建设与大数据服务，推出“互联网</w:t>
      </w:r>
      <w:r>
        <w:rPr>
          <w:rFonts w:ascii="Times New Roman" w:hAnsi="Times New Roman" w:cs="Times New Roman" w:eastAsia="Times New Roman" w:hint="default"/>
        </w:rPr>
        <w:t>+</w:t>
      </w:r>
      <w:r>
        <w:rPr/>
        <w:t>票务”的自动售检票系统；结合</w:t>
      </w:r>
      <w:r>
        <w:rPr>
          <w:rFonts w:ascii="Times New Roman" w:hAnsi="Times New Roman" w:cs="Times New Roman" w:eastAsia="Times New Roman" w:hint="default"/>
        </w:rPr>
        <w:t>AFC</w:t>
      </w:r>
      <w:r>
        <w:rPr/>
        <w:t>终端设备和安检设备形成人脸识别应用 </w:t>
      </w:r>
      <w:r>
        <w:rPr>
          <w:spacing w:val="-4"/>
        </w:rPr>
        <w:t>场景。目前，公司智能交通解决方案已成功应用在国内</w:t>
      </w:r>
      <w:r>
        <w:rPr>
          <w:rFonts w:ascii="Times New Roman" w:hAnsi="Times New Roman" w:cs="Times New Roman" w:eastAsia="Times New Roman" w:hint="default"/>
          <w:spacing w:val="-4"/>
        </w:rPr>
        <w:t>30</w:t>
      </w:r>
      <w:r>
        <w:rPr>
          <w:spacing w:val="-4"/>
        </w:rPr>
        <w:t>多个城市的</w:t>
      </w:r>
      <w:r>
        <w:rPr>
          <w:rFonts w:ascii="Times New Roman" w:hAnsi="Times New Roman" w:cs="Times New Roman" w:eastAsia="Times New Roman" w:hint="default"/>
          <w:spacing w:val="-4"/>
        </w:rPr>
        <w:t>100</w:t>
      </w:r>
      <w:r>
        <w:rPr>
          <w:spacing w:val="-4"/>
        </w:rPr>
        <w:t>多条地铁和高铁线路，人脸识别产品在地铁、机场、</w:t>
      </w:r>
      <w:r>
        <w:rPr>
          <w:spacing w:val="-38"/>
        </w:rPr>
        <w:t> </w:t>
      </w:r>
      <w:r>
        <w:rPr>
          <w:spacing w:val="-38"/>
        </w:rPr>
      </w:r>
      <w:r>
        <w:rPr/>
        <w:t>客运获得广泛应用，智慧安检系统在地铁上线试运行。</w:t>
      </w:r>
    </w:p>
    <w:p>
      <w:pPr>
        <w:pStyle w:val="BodyText"/>
        <w:spacing w:line="470" w:lineRule="exact" w:before="18"/>
        <w:ind w:left="513" w:right="1034"/>
        <w:jc w:val="left"/>
      </w:pPr>
      <w:r>
        <w:rPr/>
        <w:t>（</w:t>
      </w:r>
      <w:r>
        <w:rPr>
          <w:rFonts w:ascii="Times New Roman" w:hAnsi="Times New Roman" w:cs="Times New Roman" w:eastAsia="Times New Roman" w:hint="default"/>
        </w:rPr>
        <w:t>1</w:t>
      </w:r>
      <w:r>
        <w:rPr/>
        <w:t>）过硬技术实力与高质量产品，保障轨道交通传统业务快速增长 </w:t>
      </w:r>
      <w:r>
        <w:rPr>
          <w:spacing w:val="-2"/>
        </w:rPr>
        <w:t>公司凭借过硬的技术实力和高质量的产品，发挥品牌效应和创新优势，在轨道交通传统领域成绩喜人：在国内地铁市场</w:t>
      </w:r>
    </w:p>
    <w:p>
      <w:pPr>
        <w:pStyle w:val="BodyText"/>
        <w:spacing w:line="304" w:lineRule="auto" w:before="6"/>
        <w:ind w:right="1034"/>
        <w:jc w:val="left"/>
      </w:pPr>
      <w:r>
        <w:rPr>
          <w:spacing w:val="-2"/>
        </w:rPr>
        <w:t>上，持续提高国内市场占有率，中标成都地铁、沈阳地铁</w:t>
      </w:r>
      <w:r>
        <w:rPr>
          <w:rFonts w:ascii="Times New Roman" w:hAnsi="Times New Roman" w:cs="Times New Roman" w:eastAsia="Times New Roman" w:hint="default"/>
          <w:spacing w:val="-2"/>
        </w:rPr>
        <w:t>AFC</w:t>
      </w:r>
      <w:r>
        <w:rPr>
          <w:spacing w:val="-2"/>
        </w:rPr>
        <w:t>终端设备采购项目；签订北京地铁全路网的车站终端设备互联</w:t>
      </w:r>
      <w:r>
        <w:rPr>
          <w:spacing w:val="-55"/>
        </w:rPr>
        <w:t> </w:t>
      </w:r>
      <w:r>
        <w:rPr>
          <w:spacing w:val="-55"/>
        </w:rPr>
      </w:r>
      <w:r>
        <w:rPr/>
        <w:t>网接入改造工程合同；中标长沙地铁互联网改造项目，一举获得</w:t>
      </w:r>
      <w:r>
        <w:rPr>
          <w:rFonts w:ascii="Times New Roman" w:hAnsi="Times New Roman" w:cs="Times New Roman" w:eastAsia="Times New Roman" w:hint="default"/>
        </w:rPr>
        <w:t>4</w:t>
      </w:r>
      <w:r>
        <w:rPr/>
        <w:t>条线的“互联网</w:t>
      </w:r>
      <w:r>
        <w:rPr>
          <w:rFonts w:ascii="Times New Roman" w:hAnsi="Times New Roman" w:cs="Times New Roman" w:eastAsia="Times New Roman" w:hint="default"/>
        </w:rPr>
        <w:t>+</w:t>
      </w:r>
      <w:r>
        <w:rPr/>
        <w:t>”设备供货合同。新增贵阳、合肥、杭 </w:t>
      </w:r>
      <w:r>
        <w:rPr>
          <w:spacing w:val="-2"/>
        </w:rPr>
        <w:t>州、柳州、郑州</w:t>
      </w:r>
      <w:r>
        <w:rPr>
          <w:rFonts w:ascii="Times New Roman" w:hAnsi="Times New Roman" w:cs="Times New Roman" w:eastAsia="Times New Roman" w:hint="default"/>
          <w:spacing w:val="-2"/>
        </w:rPr>
        <w:t>5</w:t>
      </w:r>
      <w:r>
        <w:rPr>
          <w:spacing w:val="-2"/>
        </w:rPr>
        <w:t>个城市地铁，实现</w:t>
      </w:r>
      <w:r>
        <w:rPr>
          <w:rFonts w:ascii="Times New Roman" w:hAnsi="Times New Roman" w:cs="Times New Roman" w:eastAsia="Times New Roman" w:hint="default"/>
          <w:spacing w:val="-2"/>
        </w:rPr>
        <w:t>7</w:t>
      </w:r>
      <w:r>
        <w:rPr>
          <w:spacing w:val="-2"/>
        </w:rPr>
        <w:t>条线的模块销售业绩；纸币循环找零模块中标柳州地铁、贵阳地铁、合肥地铁，打破进</w:t>
      </w:r>
      <w:r>
        <w:rPr>
          <w:spacing w:val="-69"/>
        </w:rPr>
        <w:t> </w:t>
      </w:r>
      <w:r>
        <w:rPr>
          <w:spacing w:val="-69"/>
        </w:rPr>
      </w:r>
      <w:r>
        <w:rPr>
          <w:spacing w:val="-2"/>
        </w:rPr>
        <w:t>口厂家在国内市场垄断地位；签订深圳地铁</w:t>
      </w:r>
      <w:r>
        <w:rPr>
          <w:rFonts w:ascii="Times New Roman" w:hAnsi="Times New Roman" w:cs="Times New Roman" w:eastAsia="Times New Roman" w:hint="default"/>
          <w:spacing w:val="-2"/>
        </w:rPr>
        <w:t>AFC</w:t>
      </w:r>
      <w:r>
        <w:rPr>
          <w:spacing w:val="-2"/>
        </w:rPr>
        <w:t>设备维保合同，采用公司自主研发的“深圳运维智能管理系统”，开启智能</w:t>
      </w:r>
      <w:r>
        <w:rPr>
          <w:spacing w:val="-56"/>
        </w:rPr>
        <w:t> </w:t>
      </w:r>
      <w:r>
        <w:rPr>
          <w:spacing w:val="-56"/>
        </w:rPr>
      </w:r>
      <w:r>
        <w:rPr>
          <w:spacing w:val="-2"/>
        </w:rPr>
        <w:t>化运维服务新篇章。在国内高铁市场上，巩固原合作伙伴的基础上，积极拓宽销售渠道，与大秦铁路签订自动售票机采购合</w:t>
      </w:r>
      <w:r>
        <w:rPr>
          <w:spacing w:val="-64"/>
        </w:rPr>
        <w:t> </w:t>
      </w:r>
      <w:r>
        <w:rPr>
          <w:spacing w:val="-64"/>
        </w:rPr>
      </w:r>
      <w:r>
        <w:rPr/>
        <w:t>同，这是在高铁领域取得的首个自主投标并中标的项目，为后续市场开拓奠定基础。</w:t>
      </w:r>
    </w:p>
    <w:p>
      <w:pPr>
        <w:pStyle w:val="BodyText"/>
        <w:spacing w:line="470" w:lineRule="exact" w:before="18"/>
        <w:ind w:left="513" w:right="1131"/>
        <w:jc w:val="left"/>
      </w:pPr>
      <w:r>
        <w:rPr/>
        <w:t>（</w:t>
      </w:r>
      <w:r>
        <w:rPr>
          <w:rFonts w:ascii="Times New Roman" w:hAnsi="Times New Roman" w:cs="Times New Roman" w:eastAsia="Times New Roman" w:hint="default"/>
        </w:rPr>
        <w:t>2</w:t>
      </w:r>
      <w:r>
        <w:rPr/>
        <w:t>）创新业务新亮点纷呈，码上乘车、刷脸过闸、刷脸过检等多项目成功落地 地铁迎</w:t>
      </w:r>
      <w:r>
        <w:rPr>
          <w:rFonts w:ascii="Times New Roman" w:hAnsi="Times New Roman" w:cs="Times New Roman" w:eastAsia="Times New Roman" w:hint="default"/>
        </w:rPr>
        <w:t>AFC</w:t>
      </w:r>
      <w:r>
        <w:rPr/>
        <w:t>云平台改造，微信乘车码快速推广。公司自主研发的“互联网</w:t>
      </w:r>
      <w:r>
        <w:rPr>
          <w:rFonts w:ascii="Times New Roman" w:hAnsi="Times New Roman" w:cs="Times New Roman" w:eastAsia="Times New Roman" w:hint="default"/>
        </w:rPr>
        <w:t>+AFC</w:t>
      </w:r>
      <w:r>
        <w:rPr/>
        <w:t>”系统应用于腾讯乘车码项目，目前已</w:t>
      </w:r>
    </w:p>
    <w:p>
      <w:pPr>
        <w:pStyle w:val="BodyText"/>
        <w:spacing w:line="300" w:lineRule="auto" w:before="5"/>
        <w:ind w:right="1139"/>
        <w:jc w:val="both"/>
      </w:pPr>
      <w:r>
        <w:rPr/>
        <w:t>在深圳地铁、香港地铁、东莞地铁等项目中相继上线使用。</w:t>
      </w:r>
      <w:r>
        <w:rPr>
          <w:rFonts w:ascii="Times New Roman" w:hAnsi="Times New Roman" w:cs="Times New Roman" w:eastAsia="Times New Roman" w:hint="default"/>
        </w:rPr>
        <w:t>8</w:t>
      </w:r>
      <w:r>
        <w:rPr/>
        <w:t>月，运通智能携手深圳地铁、腾讯公司，在智博会发布“生物 识别</w:t>
      </w:r>
      <w:r>
        <w:rPr>
          <w:rFonts w:ascii="Times New Roman" w:hAnsi="Times New Roman" w:cs="Times New Roman" w:eastAsia="Times New Roman" w:hint="default"/>
        </w:rPr>
        <w:t>+</w:t>
      </w:r>
      <w:r>
        <w:rPr/>
        <w:t>信用支付”地铁售检票系统解决方案，为智能地铁出行研究新支付方式提供科研依据。</w:t>
      </w:r>
    </w:p>
    <w:p>
      <w:pPr>
        <w:spacing w:line="240" w:lineRule="auto" w:before="1"/>
        <w:rPr>
          <w:rFonts w:ascii="宋体" w:hAnsi="宋体" w:cs="宋体" w:eastAsia="宋体" w:hint="default"/>
          <w:sz w:val="13"/>
          <w:szCs w:val="13"/>
        </w:rPr>
      </w:pPr>
    </w:p>
    <w:p>
      <w:pPr>
        <w:pStyle w:val="BodyText"/>
        <w:spacing w:line="316" w:lineRule="auto"/>
        <w:ind w:right="1130" w:firstLine="360"/>
        <w:jc w:val="both"/>
      </w:pPr>
      <w:r>
        <w:rPr>
          <w:spacing w:val="-2"/>
        </w:rPr>
        <w:t>“刷脸过闸”场景创新成功，“生物识别闸机”得到应用。公司利用多年来在人工智能及生物识别领域的领先优势，成</w:t>
      </w:r>
      <w:r>
        <w:rPr/>
        <w:t> </w:t>
      </w:r>
      <w:r>
        <w:rPr>
          <w:spacing w:val="-2"/>
        </w:rPr>
        <w:t>功将人证核验和人脸识别应用于交通行业，研发出刷脸过闸产品，已与客户签订人脸识别闸机采购合同，并在深圳等多地地</w:t>
      </w:r>
      <w:r>
        <w:rPr>
          <w:spacing w:val="-63"/>
        </w:rPr>
        <w:t> </w:t>
      </w:r>
      <w:r>
        <w:rPr>
          <w:spacing w:val="-63"/>
        </w:rPr>
      </w:r>
      <w:r>
        <w:rPr>
          <w:spacing w:val="-2"/>
        </w:rPr>
        <w:t>铁上线试用。公司的“生物识别闸机通行方案”已在南阳机场、白云机场刷脸登机等多个项目中得到应用；在广州白云国际</w:t>
      </w:r>
      <w:r>
        <w:rPr>
          <w:spacing w:val="-67"/>
        </w:rPr>
        <w:t> </w:t>
      </w:r>
      <w:r>
        <w:rPr>
          <w:spacing w:val="-67"/>
        </w:rPr>
      </w:r>
      <w:r>
        <w:rPr/>
        <w:t>机场</w:t>
      </w:r>
      <w:r>
        <w:rPr>
          <w:rFonts w:ascii="Times New Roman" w:hAnsi="Times New Roman" w:cs="Times New Roman" w:eastAsia="Times New Roman" w:hint="default"/>
        </w:rPr>
        <w:t>T2</w:t>
      </w:r>
      <w:r>
        <w:rPr/>
        <w:t>航站楼，公司提供的智能设备与后台系统，实现了全自助售票、取票、检票整个闭环的全套解决方案。</w:t>
      </w:r>
    </w:p>
    <w:p>
      <w:pPr>
        <w:pStyle w:val="BodyText"/>
        <w:spacing w:line="316" w:lineRule="auto" w:before="157"/>
        <w:ind w:right="1131" w:firstLine="360"/>
        <w:jc w:val="both"/>
      </w:pPr>
      <w:r>
        <w:rPr>
          <w:spacing w:val="-5"/>
        </w:rPr>
        <w:t>“刷脸过检”在广州地铁上线，首个电子发票项目落地。报告期内，大客流智慧安检项目在广州地铁体育西站正式上线，</w:t>
      </w:r>
      <w:r>
        <w:rPr/>
        <w:t> </w:t>
      </w:r>
      <w:r>
        <w:rPr>
          <w:spacing w:val="-2"/>
        </w:rPr>
        <w:t>实现移动端人脸注册、人脸识别比对、实名认证等功能，旨在解决大客流环境下地铁安检场景工作效率、乘客体验以及公共</w:t>
      </w:r>
      <w:r>
        <w:rPr>
          <w:spacing w:val="-64"/>
        </w:rPr>
        <w:t> </w:t>
      </w:r>
      <w:r>
        <w:rPr>
          <w:spacing w:val="-64"/>
        </w:rPr>
      </w:r>
      <w:r>
        <w:rPr>
          <w:spacing w:val="-2"/>
        </w:rPr>
        <w:t>安全问题，是国内地铁行业内首个“刷脸过检”的先锋案例。此外，公司中标广州地铁自助客服中心设备及车站电子发票系</w:t>
      </w:r>
      <w:r>
        <w:rPr>
          <w:spacing w:val="-67"/>
        </w:rPr>
        <w:t> </w:t>
      </w:r>
      <w:r>
        <w:rPr>
          <w:spacing w:val="-67"/>
        </w:rPr>
      </w:r>
      <w:r>
        <w:rPr>
          <w:spacing w:val="-2"/>
        </w:rPr>
        <w:t>统采购项目，旨在打造智慧车站、为市民带来高效、智能的出行体验，助力国内轨道交通行业首个电子发票项目落地，具有</w:t>
      </w:r>
      <w:r>
        <w:rPr>
          <w:spacing w:val="-67"/>
        </w:rPr>
        <w:t> </w:t>
      </w:r>
      <w:r>
        <w:rPr>
          <w:spacing w:val="-67"/>
        </w:rPr>
      </w:r>
      <w:r>
        <w:rPr/>
        <w:t>重要里程碑意义。</w:t>
      </w:r>
    </w:p>
    <w:p>
      <w:pPr>
        <w:pStyle w:val="BodyText"/>
        <w:spacing w:line="470" w:lineRule="exact" w:before="9"/>
        <w:ind w:left="513" w:right="1034"/>
        <w:jc w:val="left"/>
      </w:pPr>
      <w:r>
        <w:rPr>
          <w:rFonts w:ascii="Times New Roman" w:hAnsi="Times New Roman" w:cs="Times New Roman" w:eastAsia="Times New Roman" w:hint="default"/>
        </w:rPr>
        <w:t>4</w:t>
      </w:r>
      <w:r>
        <w:rPr/>
        <w:t>、智能便民事业群 </w:t>
      </w:r>
      <w:r>
        <w:rPr>
          <w:spacing w:val="-2"/>
        </w:rPr>
        <w:t>公司依托辐射全国的线下服务网络优势，从线下服务拓展至线上服务，从单一金融服务拓展至非金融服务，从智能金融</w:t>
      </w:r>
    </w:p>
    <w:p>
      <w:pPr>
        <w:pStyle w:val="BodyText"/>
        <w:spacing w:line="316" w:lineRule="auto" w:before="5"/>
        <w:ind w:right="1130"/>
        <w:jc w:val="both"/>
      </w:pPr>
      <w:r>
        <w:rPr>
          <w:spacing w:val="-2"/>
        </w:rPr>
        <w:t>领域拓展至智能便民领域。围绕智慧旅游、智慧政务、智慧社区、智慧零售等场景，以物联网、云计算、大数据为基础，以</w:t>
      </w:r>
      <w:r>
        <w:rPr>
          <w:spacing w:val="-65"/>
        </w:rPr>
        <w:t> </w:t>
      </w:r>
      <w:r>
        <w:rPr>
          <w:spacing w:val="-65"/>
        </w:rPr>
      </w:r>
      <w:r>
        <w:rPr>
          <w:spacing w:val="-2"/>
        </w:rPr>
        <w:t>人工智能技术为驱动，为亿万群众提供旅游（吃、住、行、游、购、娱）、出行、政务、金融、通讯等全方位的便民增值服</w:t>
      </w:r>
      <w:r>
        <w:rPr>
          <w:spacing w:val="-72"/>
        </w:rPr>
        <w:t> </w:t>
      </w:r>
      <w:r>
        <w:rPr>
          <w:spacing w:val="-72"/>
        </w:rPr>
      </w:r>
      <w:r>
        <w:rPr/>
        <w:t>务，打造新型“智能便民生态系统”。</w:t>
      </w:r>
    </w:p>
    <w:p>
      <w:pPr>
        <w:pStyle w:val="BodyText"/>
        <w:spacing w:line="470" w:lineRule="exact" w:before="9"/>
        <w:ind w:left="513" w:right="1131"/>
        <w:jc w:val="left"/>
      </w:pPr>
      <w:r>
        <w:rPr/>
        <w:t>（</w:t>
      </w:r>
      <w:r>
        <w:rPr>
          <w:rFonts w:ascii="Times New Roman" w:hAnsi="Times New Roman" w:cs="Times New Roman" w:eastAsia="Times New Roman" w:hint="default"/>
        </w:rPr>
        <w:t>1</w:t>
      </w:r>
      <w:r>
        <w:rPr/>
        <w:t>）线下服务带动线上服务，单一金融服务向非金融服务拓展 </w:t>
      </w:r>
      <w:r>
        <w:rPr>
          <w:spacing w:val="-4"/>
        </w:rPr>
        <w:t>线下服务：公司在全国范围内已建立一支极具竞争力的专业金融服务团队、</w:t>
      </w:r>
      <w:r>
        <w:rPr>
          <w:rFonts w:ascii="Times New Roman" w:hAnsi="Times New Roman" w:cs="Times New Roman" w:eastAsia="Times New Roman" w:hint="default"/>
          <w:spacing w:val="-4"/>
        </w:rPr>
        <w:t>10</w:t>
      </w:r>
      <w:r>
        <w:rPr>
          <w:spacing w:val="-4"/>
        </w:rPr>
        <w:t>个</w:t>
      </w:r>
      <w:r>
        <w:rPr>
          <w:rFonts w:ascii="Times New Roman" w:hAnsi="Times New Roman" w:cs="Times New Roman" w:eastAsia="Times New Roman" w:hint="default"/>
          <w:spacing w:val="-4"/>
        </w:rPr>
        <w:t>P-AOC(</w:t>
      </w:r>
      <w:r>
        <w:rPr>
          <w:spacing w:val="-4"/>
        </w:rPr>
        <w:t>省级呼叫中心</w:t>
      </w:r>
      <w:r>
        <w:rPr>
          <w:rFonts w:ascii="Times New Roman" w:hAnsi="Times New Roman" w:cs="Times New Roman" w:eastAsia="Times New Roman" w:hint="default"/>
          <w:spacing w:val="-4"/>
        </w:rPr>
        <w:t>)</w:t>
      </w:r>
      <w:r>
        <w:rPr>
          <w:spacing w:val="-4"/>
        </w:rPr>
        <w:t>、近千个服务站、</w:t>
      </w:r>
    </w:p>
    <w:p>
      <w:pPr>
        <w:pStyle w:val="BodyText"/>
        <w:spacing w:line="300" w:lineRule="auto" w:before="5"/>
        <w:ind w:right="1133"/>
        <w:jc w:val="both"/>
      </w:pPr>
      <w:r>
        <w:rPr>
          <w:spacing w:val="-2"/>
        </w:rPr>
        <w:t>在用维保设备总量</w:t>
      </w:r>
      <w:r>
        <w:rPr>
          <w:rFonts w:ascii="Times New Roman" w:hAnsi="Times New Roman" w:cs="Times New Roman" w:eastAsia="Times New Roman" w:hint="default"/>
          <w:spacing w:val="-2"/>
        </w:rPr>
        <w:t>22</w:t>
      </w:r>
      <w:r>
        <w:rPr>
          <w:spacing w:val="-2"/>
        </w:rPr>
        <w:t>万台，服务网络辐射全国，稳步推进公司金融设备维保、金融服务外包业务布局。报告期内，公司通过</w:t>
      </w:r>
      <w:r>
        <w:rPr>
          <w:spacing w:val="-66"/>
        </w:rPr>
        <w:t> </w:t>
      </w:r>
      <w:r>
        <w:rPr>
          <w:spacing w:val="-66"/>
        </w:rPr>
      </w:r>
      <w:r>
        <w:rPr/>
        <w:t>行业资源整合，大力拓展金融设备多品牌维保业务，全面承接辰通、神码金信、新达通三大厂商共计</w:t>
      </w:r>
      <w:r>
        <w:rPr>
          <w:rFonts w:ascii="Times New Roman" w:hAnsi="Times New Roman" w:cs="Times New Roman" w:eastAsia="Times New Roman" w:hint="default"/>
        </w:rPr>
        <w:t>5</w:t>
      </w:r>
      <w:r>
        <w:rPr/>
        <w:t>万余台金融自助设备</w:t>
      </w:r>
      <w:r>
        <w:rPr>
          <w:spacing w:val="-87"/>
        </w:rPr>
        <w:t> </w:t>
      </w:r>
      <w:r>
        <w:rPr>
          <w:spacing w:val="-2"/>
        </w:rPr>
        <w:t>维保服务；全面推广全设备维保业务，全设备管理转型成效初显，承接农业银行、建设银行、邮政、邮储等多个全品牌维保</w:t>
      </w:r>
    </w:p>
    <w:p>
      <w:pPr>
        <w:spacing w:after="0" w:line="300" w:lineRule="auto"/>
        <w:jc w:val="both"/>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1034"/>
        <w:jc w:val="left"/>
      </w:pPr>
      <w:r>
        <w:rPr/>
        <w:t>项目，全品牌金融设备累计超过</w:t>
      </w:r>
      <w:r>
        <w:rPr>
          <w:rFonts w:ascii="Times New Roman" w:hAnsi="Times New Roman" w:cs="Times New Roman" w:eastAsia="Times New Roman" w:hint="default"/>
        </w:rPr>
        <w:t>6.3</w:t>
      </w:r>
      <w:r>
        <w:rPr/>
        <w:t>万台。充分展现了公司线下金融设备维保服务领域的竞争优势。</w:t>
      </w:r>
    </w:p>
    <w:p>
      <w:pPr>
        <w:spacing w:line="240" w:lineRule="auto" w:before="12"/>
        <w:rPr>
          <w:rFonts w:ascii="宋体" w:hAnsi="宋体" w:cs="宋体" w:eastAsia="宋体" w:hint="default"/>
          <w:sz w:val="16"/>
          <w:szCs w:val="16"/>
        </w:rPr>
      </w:pPr>
    </w:p>
    <w:p>
      <w:pPr>
        <w:pStyle w:val="BodyText"/>
        <w:spacing w:line="300" w:lineRule="auto"/>
        <w:ind w:right="1034" w:firstLine="360"/>
        <w:jc w:val="left"/>
      </w:pPr>
      <w:r>
        <w:rPr/>
        <w:t>线上服务：控股公司平云小匠搭建了“互联网</w:t>
      </w:r>
      <w:r>
        <w:rPr>
          <w:rFonts w:ascii="Times New Roman" w:hAnsi="Times New Roman" w:cs="Times New Roman" w:eastAsia="Times New Roman" w:hint="default"/>
        </w:rPr>
        <w:t>+</w:t>
      </w:r>
      <w:r>
        <w:rPr/>
        <w:t>服务”线上平台，借力公司辐射全国的线下服务团队及服务网点优势，</w:t>
      </w:r>
      <w:r>
        <w:rPr>
          <w:spacing w:val="2"/>
        </w:rPr>
        <w:t> </w:t>
      </w:r>
      <w:r>
        <w:rPr/>
        <w:t>线上</w:t>
      </w:r>
      <w:r>
        <w:rPr>
          <w:rFonts w:ascii="Times New Roman" w:hAnsi="Times New Roman" w:cs="Times New Roman" w:eastAsia="Times New Roman" w:hint="default"/>
        </w:rPr>
        <w:t>+</w:t>
      </w:r>
      <w:r>
        <w:rPr/>
        <w:t>线下服务联动，快速拓展非金融设备维保服务，打造一站式服务解决方案。现已拥有超过</w:t>
      </w:r>
      <w:r>
        <w:rPr>
          <w:rFonts w:ascii="Times New Roman" w:hAnsi="Times New Roman" w:cs="Times New Roman" w:eastAsia="Times New Roman" w:hint="default"/>
        </w:rPr>
        <w:t>6</w:t>
      </w:r>
      <w:r>
        <w:rPr/>
        <w:t>万名网络认证工程师，加 盟服务商近</w:t>
      </w:r>
      <w:r>
        <w:rPr>
          <w:rFonts w:ascii="Times New Roman" w:hAnsi="Times New Roman" w:cs="Times New Roman" w:eastAsia="Times New Roman" w:hint="default"/>
        </w:rPr>
        <w:t>2,000</w:t>
      </w:r>
      <w:r>
        <w:rPr/>
        <w:t>家，为客户提供智能商显、自助终端、</w:t>
      </w:r>
      <w:r>
        <w:rPr>
          <w:rFonts w:ascii="Times New Roman" w:hAnsi="Times New Roman" w:cs="Times New Roman" w:eastAsia="Times New Roman" w:hint="default"/>
        </w:rPr>
        <w:t>IT</w:t>
      </w:r>
      <w:r>
        <w:rPr/>
        <w:t>网络、安防监控、智能门锁、充电桩等非金融设备维保服务，全 年签订合同额超过</w:t>
      </w:r>
      <w:r>
        <w:rPr>
          <w:rFonts w:ascii="Times New Roman" w:hAnsi="Times New Roman" w:cs="Times New Roman" w:eastAsia="Times New Roman" w:hint="default"/>
        </w:rPr>
        <w:t>7,000</w:t>
      </w:r>
      <w:r>
        <w:rPr/>
        <w:t>万元。</w:t>
      </w:r>
    </w:p>
    <w:p>
      <w:pPr>
        <w:spacing w:line="240" w:lineRule="auto" w:before="12"/>
        <w:rPr>
          <w:rFonts w:ascii="宋体" w:hAnsi="宋体" w:cs="宋体" w:eastAsia="宋体" w:hint="default"/>
          <w:sz w:val="12"/>
          <w:szCs w:val="12"/>
        </w:rPr>
      </w:pPr>
    </w:p>
    <w:p>
      <w:pPr>
        <w:pStyle w:val="BodyText"/>
        <w:spacing w:line="240" w:lineRule="auto"/>
        <w:ind w:left="513" w:right="1034"/>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AI+</w:t>
      </w:r>
      <w:r>
        <w:rPr/>
        <w:t>便民”多点开花，打造新型智能便民生态系统</w:t>
      </w:r>
    </w:p>
    <w:p>
      <w:pPr>
        <w:spacing w:line="240" w:lineRule="auto" w:before="12"/>
        <w:rPr>
          <w:rFonts w:ascii="宋体" w:hAnsi="宋体" w:cs="宋体" w:eastAsia="宋体" w:hint="default"/>
          <w:sz w:val="16"/>
          <w:szCs w:val="16"/>
        </w:rPr>
      </w:pPr>
    </w:p>
    <w:p>
      <w:pPr>
        <w:pStyle w:val="BodyText"/>
        <w:spacing w:line="300" w:lineRule="auto"/>
        <w:ind w:right="1112" w:firstLine="360"/>
        <w:jc w:val="left"/>
      </w:pPr>
      <w:r>
        <w:rPr>
          <w:rFonts w:ascii="Times New Roman" w:hAnsi="Times New Roman" w:cs="Times New Roman" w:eastAsia="Times New Roman" w:hint="default"/>
        </w:rPr>
        <w:t>AI+</w:t>
      </w:r>
      <w:r>
        <w:rPr/>
        <w:t>新零售：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月，公司投资设立运通购快，基于服务网点规模、运营维保等竞争优势，通过与中谷科技等智能</w:t>
      </w:r>
      <w:r>
        <w:rPr>
          <w:w w:val="99"/>
        </w:rPr>
        <w:t> </w:t>
      </w:r>
      <w:r>
        <w:rPr>
          <w:spacing w:val="-2"/>
        </w:rPr>
        <w:t>设备生产商合作，快速拓展智能零售新业态。报告期内，运通购快获“</w:t>
      </w:r>
      <w:r>
        <w:rPr>
          <w:rFonts w:ascii="Times New Roman" w:hAnsi="Times New Roman" w:cs="Times New Roman" w:eastAsia="Times New Roman" w:hint="default"/>
          <w:spacing w:val="-2"/>
        </w:rPr>
        <w:t>2018</w:t>
      </w:r>
      <w:r>
        <w:rPr>
          <w:spacing w:val="-2"/>
        </w:rPr>
        <w:t>中国新零售新电商商业模式创新大奖”，旗下的</w:t>
      </w:r>
      <w:r>
        <w:rPr>
          <w:spacing w:val="-66"/>
        </w:rPr>
        <w:t> </w:t>
      </w:r>
      <w:r>
        <w:rPr>
          <w:spacing w:val="-66"/>
        </w:rPr>
      </w:r>
      <w:r>
        <w:rPr>
          <w:spacing w:val="-2"/>
        </w:rPr>
        <w:t>智能零售定制机体亮相</w:t>
      </w:r>
      <w:r>
        <w:rPr>
          <w:rFonts w:ascii="Times New Roman" w:hAnsi="Times New Roman" w:cs="Times New Roman" w:eastAsia="Times New Roman" w:hint="default"/>
          <w:spacing w:val="-2"/>
        </w:rPr>
        <w:t>2018</w:t>
      </w:r>
      <w:r>
        <w:rPr>
          <w:spacing w:val="-2"/>
        </w:rPr>
        <w:t>中国（广州）新一代人工智能发展战略国际研讨会暨高峰论坛，倍受社会各界关注。依托金融客</w:t>
      </w:r>
      <w:r>
        <w:rPr>
          <w:spacing w:val="-65"/>
        </w:rPr>
        <w:t> </w:t>
      </w:r>
      <w:r>
        <w:rPr>
          <w:spacing w:val="-65"/>
        </w:rPr>
      </w:r>
      <w:r>
        <w:rPr/>
        <w:t>户资源，智能零售设备在建行广东省支行、工行广东自贸试验区横琴支行、中行中山分行先后上线，大力推广“智能零售</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t>智慧金融”合作模式。除银行外，公司接连拿下辽宁科技大学、福州长乐国际机场、南昌</w:t>
      </w:r>
      <w:r>
        <w:rPr>
          <w:rFonts w:ascii="Times New Roman" w:hAnsi="Times New Roman" w:cs="Times New Roman" w:eastAsia="Times New Roman" w:hint="default"/>
        </w:rPr>
        <w:t>VR</w:t>
      </w:r>
      <w:r>
        <w:rPr/>
        <w:t>产业基地等多个大型项目。报 告期内，智能零售终端全国性布放量超过</w:t>
      </w:r>
      <w:r>
        <w:rPr>
          <w:rFonts w:ascii="Times New Roman" w:hAnsi="Times New Roman" w:cs="Times New Roman" w:eastAsia="Times New Roman" w:hint="default"/>
        </w:rPr>
        <w:t>6,000</w:t>
      </w:r>
      <w:r>
        <w:rPr/>
        <w:t>台，合作运营商</w:t>
      </w:r>
      <w:r>
        <w:rPr>
          <w:rFonts w:ascii="Times New Roman" w:hAnsi="Times New Roman" w:cs="Times New Roman" w:eastAsia="Times New Roman" w:hint="default"/>
        </w:rPr>
        <w:t>50</w:t>
      </w:r>
      <w:r>
        <w:rPr/>
        <w:t>家，合作百货供应商</w:t>
      </w:r>
      <w:r>
        <w:rPr>
          <w:rFonts w:ascii="Times New Roman" w:hAnsi="Times New Roman" w:cs="Times New Roman" w:eastAsia="Times New Roman" w:hint="default"/>
        </w:rPr>
        <w:t>35</w:t>
      </w:r>
      <w:r>
        <w:rPr/>
        <w:t>家。</w:t>
      </w:r>
    </w:p>
    <w:p>
      <w:pPr>
        <w:spacing w:line="240" w:lineRule="auto" w:before="1"/>
        <w:rPr>
          <w:rFonts w:ascii="宋体" w:hAnsi="宋体" w:cs="宋体" w:eastAsia="宋体" w:hint="default"/>
          <w:sz w:val="13"/>
          <w:szCs w:val="13"/>
        </w:rPr>
      </w:pPr>
    </w:p>
    <w:p>
      <w:pPr>
        <w:pStyle w:val="BodyText"/>
        <w:spacing w:line="309" w:lineRule="auto"/>
        <w:ind w:right="1132" w:firstLine="360"/>
        <w:jc w:val="both"/>
      </w:pPr>
      <w:r>
        <w:rPr>
          <w:rFonts w:ascii="Times New Roman" w:hAnsi="Times New Roman" w:cs="Times New Roman" w:eastAsia="Times New Roman" w:hint="default"/>
          <w:spacing w:val="-1"/>
        </w:rPr>
        <w:t>AI+</w:t>
      </w:r>
      <w:r>
        <w:rPr>
          <w:spacing w:val="-1"/>
        </w:rPr>
        <w:t>大文旅：公司在影院、文娱、客运、旅游等场景持续拓展，搭建智慧旅游云平台，利用大数据提供运营服务，助力</w:t>
      </w:r>
      <w:r>
        <w:rPr>
          <w:w w:val="99"/>
        </w:rPr>
        <w:t> </w:t>
      </w:r>
      <w:r>
        <w:rPr>
          <w:spacing w:val="-2"/>
        </w:rPr>
        <w:t>智慧文旅业务升级。公司成功开拓了茅台天酿、华强方特、保利文化、珠江船务、香港娱艺等客户，打造了长隆集团、贵州</w:t>
      </w:r>
      <w:r>
        <w:rPr>
          <w:spacing w:val="-73"/>
        </w:rPr>
        <w:t> </w:t>
      </w:r>
      <w:r>
        <w:rPr>
          <w:spacing w:val="-73"/>
        </w:rPr>
      </w:r>
      <w:r>
        <w:rPr>
          <w:spacing w:val="-2"/>
        </w:rPr>
        <w:t>茅台古镇、金逸院线、保利文化剧院等智慧文旅标杆项目，智慧文旅综合生态云平台已在广东、广西、湖南、贵州等地数十</w:t>
      </w:r>
      <w:r>
        <w:rPr>
          <w:spacing w:val="-69"/>
        </w:rPr>
        <w:t> </w:t>
      </w:r>
      <w:r>
        <w:rPr>
          <w:spacing w:val="-69"/>
        </w:rPr>
      </w:r>
      <w:r>
        <w:rPr>
          <w:spacing w:val="-2"/>
        </w:rPr>
        <w:t>个景区上线。报告期内，公司突破传统项目销售模式，与大型旅游集团合作开展景区运营，建设数字票务系统、综合运营管</w:t>
      </w:r>
      <w:r>
        <w:rPr>
          <w:spacing w:val="-68"/>
        </w:rPr>
        <w:t> </w:t>
      </w:r>
      <w:r>
        <w:rPr>
          <w:spacing w:val="-68"/>
        </w:rPr>
      </w:r>
      <w:r>
        <w:rPr>
          <w:spacing w:val="-2"/>
        </w:rPr>
        <w:t>理系统、智能自助设备及景区基础</w:t>
      </w:r>
      <w:r>
        <w:rPr>
          <w:rFonts w:ascii="Times New Roman" w:hAnsi="Times New Roman" w:cs="Times New Roman" w:eastAsia="Times New Roman" w:hint="default"/>
          <w:spacing w:val="-2"/>
        </w:rPr>
        <w:t>IT</w:t>
      </w:r>
      <w:r>
        <w:rPr>
          <w:spacing w:val="-2"/>
        </w:rPr>
        <w:t>设备等，并在首个景区（钦州三娘湾景区）使用人脸识别和指静脉识别系统，这是国内</w:t>
      </w:r>
      <w:r>
        <w:rPr>
          <w:spacing w:val="-56"/>
        </w:rPr>
        <w:t> </w:t>
      </w:r>
      <w:r>
        <w:rPr>
          <w:spacing w:val="-56"/>
        </w:rPr>
      </w:r>
      <w:r>
        <w:rPr/>
        <w:t>旅游行业首发，也是国内景区第一家，未来扩展空间大。</w:t>
      </w:r>
    </w:p>
    <w:p>
      <w:pPr>
        <w:spacing w:line="240" w:lineRule="auto" w:before="13"/>
        <w:rPr>
          <w:rFonts w:ascii="宋体" w:hAnsi="宋体" w:cs="宋体" w:eastAsia="宋体" w:hint="default"/>
          <w:sz w:val="13"/>
          <w:szCs w:val="13"/>
        </w:rPr>
      </w:pPr>
    </w:p>
    <w:p>
      <w:pPr>
        <w:pStyle w:val="BodyText"/>
        <w:spacing w:line="304" w:lineRule="auto"/>
        <w:ind w:right="1034" w:firstLine="360"/>
        <w:jc w:val="left"/>
      </w:pPr>
      <w:r>
        <w:rPr>
          <w:rFonts w:ascii="Times New Roman" w:hAnsi="Times New Roman" w:cs="Times New Roman" w:eastAsia="Times New Roman" w:hint="default"/>
        </w:rPr>
        <w:t>AI+</w:t>
      </w:r>
      <w:r>
        <w:rPr/>
        <w:t>政务：公司与广州市政务办合作共建互联网</w:t>
      </w:r>
      <w:r>
        <w:rPr>
          <w:rFonts w:ascii="Times New Roman" w:hAnsi="Times New Roman" w:cs="Times New Roman" w:eastAsia="Times New Roman" w:hint="default"/>
        </w:rPr>
        <w:t>+</w:t>
      </w:r>
      <w:r>
        <w:rPr/>
        <w:t>综合智能平台和中介服务系统，布放公司自主研发的“互联网</w:t>
      </w:r>
      <w:r>
        <w:rPr>
          <w:rFonts w:ascii="Times New Roman" w:hAnsi="Times New Roman" w:cs="Times New Roman" w:eastAsia="Times New Roman" w:hint="default"/>
        </w:rPr>
        <w:t>+</w:t>
      </w:r>
      <w:r>
        <w:rPr/>
        <w:t>可信身</w:t>
      </w:r>
      <w:r>
        <w:rPr>
          <w:w w:val="99"/>
        </w:rPr>
        <w:t> </w:t>
      </w:r>
      <w:r>
        <w:rPr/>
        <w:t>份认证”远程智能设备</w:t>
      </w:r>
      <w:r>
        <w:rPr>
          <w:rFonts w:ascii="Times New Roman" w:hAnsi="Times New Roman" w:cs="Times New Roman" w:eastAsia="Times New Roman" w:hint="default"/>
        </w:rPr>
        <w:t>VTM</w:t>
      </w:r>
      <w:r>
        <w:rPr/>
        <w:t>，实现政务综合服务的远程化智能化，在全国首创智能政务无人柜台安全服务模式并入选</w:t>
      </w:r>
      <w:r>
        <w:rPr>
          <w:rFonts w:ascii="Times New Roman" w:hAnsi="Times New Roman" w:cs="Times New Roman" w:eastAsia="Times New Roman" w:hint="default"/>
        </w:rPr>
        <w:t>2018 </w:t>
      </w:r>
      <w:r>
        <w:rPr/>
        <w:t>年国家博物馆举办的“改革开放</w:t>
      </w:r>
      <w:r>
        <w:rPr>
          <w:rFonts w:ascii="Times New Roman" w:hAnsi="Times New Roman" w:cs="Times New Roman" w:eastAsia="Times New Roman" w:hint="default"/>
        </w:rPr>
        <w:t>40</w:t>
      </w:r>
      <w:r>
        <w:rPr/>
        <w:t>周年成果展”。报告期内，智能政务无人柜台安全服务模式，落地广州市、广州开发区、</w:t>
      </w:r>
      <w:r>
        <w:rPr>
          <w:spacing w:val="-87"/>
        </w:rPr>
        <w:t> </w:t>
      </w:r>
      <w:r>
        <w:rPr>
          <w:spacing w:val="-87"/>
        </w:rPr>
      </w:r>
      <w:r>
        <w:rPr>
          <w:spacing w:val="-2"/>
        </w:rPr>
        <w:t>番禺区等地政务服务大厅及南方电网营业厅，有望实现快速增长。同时，公司通过与房地产开发商、物业管理方的合作，未</w:t>
      </w:r>
      <w:r>
        <w:rPr>
          <w:spacing w:val="-66"/>
        </w:rPr>
        <w:t> </w:t>
      </w:r>
      <w:r>
        <w:rPr>
          <w:spacing w:val="-66"/>
        </w:rPr>
      </w:r>
      <w:r>
        <w:rPr/>
        <w:t>来或将智能政务设备铺设在社区、园区等各类生活场景，推动政务便民化，进一步打开市场空间。</w:t>
      </w:r>
    </w:p>
    <w:p>
      <w:pPr>
        <w:pStyle w:val="BodyText"/>
        <w:spacing w:line="470" w:lineRule="exact" w:before="18"/>
        <w:ind w:left="513" w:right="1034"/>
        <w:jc w:val="left"/>
      </w:pPr>
      <w:r>
        <w:rPr>
          <w:rFonts w:ascii="Times New Roman" w:hAnsi="Times New Roman" w:cs="Times New Roman" w:eastAsia="Times New Roman" w:hint="default"/>
        </w:rPr>
        <w:t>5</w:t>
      </w:r>
      <w:r>
        <w:rPr/>
        <w:t>、海外事业群 </w:t>
      </w:r>
      <w:r>
        <w:rPr>
          <w:spacing w:val="-2"/>
        </w:rPr>
        <w:t>基于全球化发展战略，公司已建立九大国际分支机构，国际业务呈现多点并进的态势。报告期内，公司紧紧围绕“精耕</w:t>
      </w:r>
    </w:p>
    <w:p>
      <w:pPr>
        <w:pStyle w:val="BodyText"/>
        <w:spacing w:line="312" w:lineRule="auto" w:before="5"/>
        <w:ind w:right="1034"/>
        <w:jc w:val="left"/>
      </w:pPr>
      <w:r>
        <w:rPr>
          <w:spacing w:val="-2"/>
        </w:rPr>
        <w:t>本地化，创新促转型”的工作思路，持续完善本地化销售、技术支持和服务网络，面向全球客户提供具有竞争力的行业智能</w:t>
      </w:r>
      <w:r>
        <w:rPr>
          <w:spacing w:val="-67"/>
        </w:rPr>
        <w:t> </w:t>
      </w:r>
      <w:r>
        <w:rPr>
          <w:spacing w:val="-67"/>
        </w:rPr>
      </w:r>
      <w:r>
        <w:rPr/>
        <w:t>终端设备及综合解决方案，成效显著。在全球经济疲软，新兴市场货币严重贬值的情况下，亚太区业务大幅增长，非洲区、</w:t>
      </w:r>
      <w:r>
        <w:rPr>
          <w:spacing w:val="-86"/>
        </w:rPr>
        <w:t> </w:t>
      </w:r>
      <w:r>
        <w:rPr>
          <w:spacing w:val="-86"/>
        </w:rPr>
      </w:r>
      <w:r>
        <w:rPr/>
        <w:t>北美区、西欧和</w:t>
      </w:r>
      <w:r>
        <w:rPr>
          <w:rFonts w:ascii="Times New Roman" w:hAnsi="Times New Roman" w:cs="Times New Roman" w:eastAsia="Times New Roman" w:hint="default"/>
        </w:rPr>
        <w:t>OEM</w:t>
      </w:r>
      <w:r>
        <w:rPr/>
        <w:t>业务稳步增长，墨西哥、尼日利亚、孟加拉、乌兹别克斯坦、葡萄牙等多个重点市场取得突破。全年 签订合同额超</w:t>
      </w:r>
      <w:r>
        <w:rPr>
          <w:rFonts w:ascii="Times New Roman" w:hAnsi="Times New Roman" w:cs="Times New Roman" w:eastAsia="Times New Roman" w:hint="default"/>
        </w:rPr>
        <w:t>1</w:t>
      </w:r>
      <w:r>
        <w:rPr/>
        <w:t>亿美元，全年业绩超百万美元的国家达到</w:t>
      </w:r>
      <w:r>
        <w:rPr>
          <w:rFonts w:ascii="Times New Roman" w:hAnsi="Times New Roman" w:cs="Times New Roman" w:eastAsia="Times New Roman" w:hint="default"/>
        </w:rPr>
        <w:t>22</w:t>
      </w:r>
      <w:r>
        <w:rPr/>
        <w:t>个，为后续发展奠定了良好的市场基础。</w:t>
      </w:r>
    </w:p>
    <w:p>
      <w:pPr>
        <w:pStyle w:val="BodyText"/>
        <w:spacing w:line="300" w:lineRule="auto" w:before="161"/>
        <w:ind w:right="1138" w:firstLine="360"/>
        <w:jc w:val="both"/>
      </w:pPr>
      <w:r>
        <w:rPr>
          <w:rFonts w:ascii="Times New Roman" w:hAnsi="Times New Roman" w:cs="Times New Roman" w:eastAsia="Times New Roman" w:hint="default"/>
          <w:spacing w:val="-5"/>
        </w:rPr>
        <w:t>2018</w:t>
      </w:r>
      <w:r>
        <w:rPr>
          <w:spacing w:val="-5"/>
        </w:rPr>
        <w:t>年，公司网点转型方案在国际市场持续获得突破，已助力越南、俄罗斯、土耳其、新加坡、泰国、阿根廷、墨西哥、</w:t>
      </w:r>
      <w:r>
        <w:rPr/>
        <w:t> 香港等国家和地区的智能金融服务快速升级和转型，全年网点转型解决方案合同金额超</w:t>
      </w:r>
      <w:r>
        <w:rPr>
          <w:rFonts w:ascii="Times New Roman" w:hAnsi="Times New Roman" w:cs="Times New Roman" w:eastAsia="Times New Roman" w:hint="default"/>
        </w:rPr>
        <w:t>2,300</w:t>
      </w:r>
      <w:r>
        <w:rPr/>
        <w:t>万美元，为后续业务拓展开辟 了新的增长空间。</w:t>
      </w:r>
    </w:p>
    <w:p>
      <w:pPr>
        <w:spacing w:line="240" w:lineRule="auto" w:before="4"/>
        <w:rPr>
          <w:rFonts w:ascii="宋体" w:hAnsi="宋体" w:cs="宋体" w:eastAsia="宋体" w:hint="default"/>
          <w:sz w:val="14"/>
          <w:szCs w:val="14"/>
        </w:rPr>
      </w:pPr>
    </w:p>
    <w:p>
      <w:pPr>
        <w:pStyle w:val="Heading5"/>
        <w:spacing w:line="240" w:lineRule="auto"/>
        <w:ind w:left="513" w:right="1034"/>
        <w:jc w:val="left"/>
        <w:rPr>
          <w:b w:val="0"/>
          <w:bCs w:val="0"/>
        </w:rPr>
      </w:pPr>
      <w:r>
        <w:rPr/>
        <w:t>（三）务实开展人工智能基础技术研发，扎实推进各领域应用技术研发</w:t>
      </w:r>
      <w:r>
        <w:rPr>
          <w:b w:val="0"/>
          <w:bCs w:val="0"/>
        </w:rPr>
      </w:r>
    </w:p>
    <w:p>
      <w:pPr>
        <w:pStyle w:val="BodyText"/>
        <w:spacing w:line="450" w:lineRule="atLeast" w:before="31"/>
        <w:ind w:left="513" w:right="1034"/>
        <w:jc w:val="left"/>
      </w:pPr>
      <w:r>
        <w:rPr>
          <w:rFonts w:ascii="Times New Roman" w:hAnsi="Times New Roman" w:cs="Times New Roman" w:eastAsia="Times New Roman" w:hint="default"/>
        </w:rPr>
        <w:t>1</w:t>
      </w:r>
      <w:r>
        <w:rPr/>
        <w:t>、全要素布局人工智能，打造</w:t>
      </w:r>
      <w:r>
        <w:rPr>
          <w:rFonts w:ascii="Times New Roman" w:hAnsi="Times New Roman" w:cs="Times New Roman" w:eastAsia="Times New Roman" w:hint="default"/>
        </w:rPr>
        <w:t>AI</w:t>
      </w:r>
      <w:r>
        <w:rPr/>
        <w:t>生态体系 </w:t>
      </w:r>
      <w:r>
        <w:rPr>
          <w:spacing w:val="-2"/>
        </w:rPr>
        <w:t>“应用场景、算力、算法、通信、数据”是决定人工智能行业发展的五大核心要素，也是各大人工智能企业角力的主战</w:t>
      </w:r>
    </w:p>
    <w:p>
      <w:pPr>
        <w:pStyle w:val="BodyText"/>
        <w:spacing w:line="240" w:lineRule="auto" w:before="74"/>
        <w:ind w:right="1034"/>
        <w:jc w:val="left"/>
      </w:pPr>
      <w:r>
        <w:rPr/>
        <w:t>场。公司已建立</w:t>
      </w:r>
      <w:r>
        <w:rPr>
          <w:rFonts w:ascii="Times New Roman" w:hAnsi="Times New Roman" w:cs="Times New Roman" w:eastAsia="Times New Roman" w:hint="default"/>
        </w:rPr>
        <w:t>1</w:t>
      </w:r>
      <w:r>
        <w:rPr/>
        <w:t>个研究总院</w:t>
      </w:r>
      <w:r>
        <w:rPr>
          <w:rFonts w:ascii="Times New Roman" w:hAnsi="Times New Roman" w:cs="Times New Roman" w:eastAsia="Times New Roman" w:hint="default"/>
        </w:rPr>
        <w:t>+6</w:t>
      </w:r>
      <w:r>
        <w:rPr/>
        <w:t>大专业研究分院的技术研究平台，全面布局人工智能核心要素。</w:t>
      </w:r>
    </w:p>
    <w:p>
      <w:pPr>
        <w:spacing w:line="240" w:lineRule="auto" w:before="12"/>
        <w:rPr>
          <w:rFonts w:ascii="宋体" w:hAnsi="宋体" w:cs="宋体" w:eastAsia="宋体" w:hint="default"/>
          <w:sz w:val="16"/>
          <w:szCs w:val="16"/>
        </w:rPr>
      </w:pPr>
    </w:p>
    <w:p>
      <w:pPr>
        <w:pStyle w:val="BodyText"/>
        <w:spacing w:line="314" w:lineRule="auto"/>
        <w:ind w:right="1034" w:firstLine="360"/>
        <w:jc w:val="left"/>
      </w:pPr>
      <w:r>
        <w:rPr>
          <w:spacing w:val="-2"/>
        </w:rPr>
        <w:t>在应用场景方面，公司围绕四大业务领域展开业务布局，全面推进生物特征识别、智能视频等人工智能基础技术研发与</w:t>
      </w:r>
      <w:r>
        <w:rPr/>
        <w:t> 应用，双目摄像头、人脸识别、指静脉等生物识别解决方案已在各大场景实现批量销售。</w:t>
      </w:r>
    </w:p>
    <w:p>
      <w:pPr>
        <w:spacing w:after="0" w:line="314" w:lineRule="auto"/>
        <w:jc w:val="left"/>
        <w:sectPr>
          <w:pgSz w:w="11910" w:h="16840"/>
          <w:pgMar w:header="877" w:footer="979" w:top="1100" w:bottom="1160" w:left="980" w:right="0"/>
        </w:sectPr>
      </w:pPr>
    </w:p>
    <w:p>
      <w:pPr>
        <w:spacing w:line="240" w:lineRule="auto" w:before="0"/>
        <w:rPr>
          <w:rFonts w:ascii="宋体" w:hAnsi="宋体" w:cs="宋体" w:eastAsia="宋体" w:hint="default"/>
          <w:sz w:val="22"/>
          <w:szCs w:val="22"/>
        </w:rPr>
      </w:pPr>
    </w:p>
    <w:p>
      <w:pPr>
        <w:pStyle w:val="BodyText"/>
        <w:spacing w:line="300" w:lineRule="auto" w:before="44"/>
        <w:ind w:right="1034" w:firstLine="360"/>
        <w:jc w:val="left"/>
      </w:pPr>
      <w:r>
        <w:rPr/>
        <w:t>在算力部署方面，完成了算力中心与运通云平台的融合建设，搭建了</w:t>
      </w:r>
      <w:r>
        <w:rPr>
          <w:rFonts w:ascii="Times New Roman" w:hAnsi="Times New Roman" w:cs="Times New Roman" w:eastAsia="Times New Roman" w:hint="default"/>
        </w:rPr>
        <w:t>AI</w:t>
      </w:r>
      <w:r>
        <w:rPr/>
        <w:t>数据中心机房、</w:t>
      </w:r>
      <w:r>
        <w:rPr>
          <w:rFonts w:ascii="Times New Roman" w:hAnsi="Times New Roman" w:cs="Times New Roman" w:eastAsia="Times New Roman" w:hint="default"/>
        </w:rPr>
        <w:t>GPU</w:t>
      </w:r>
      <w:r>
        <w:rPr/>
        <w:t>算力共享平台及高性能云 </w:t>
      </w:r>
      <w:r>
        <w:rPr>
          <w:spacing w:val="-2"/>
        </w:rPr>
        <w:t>计算平台，实现了</w:t>
      </w:r>
      <w:r>
        <w:rPr>
          <w:rFonts w:ascii="Times New Roman" w:hAnsi="Times New Roman" w:cs="Times New Roman" w:eastAsia="Times New Roman" w:hint="default"/>
          <w:spacing w:val="-2"/>
        </w:rPr>
        <w:t>GPU</w:t>
      </w:r>
      <w:r>
        <w:rPr>
          <w:spacing w:val="-2"/>
        </w:rPr>
        <w:t>算力及云计算资源的统一规划，以及按需分配的闭环管理。在高性能计算领域，算力中心具备了对外</w:t>
      </w:r>
      <w:r>
        <w:rPr>
          <w:spacing w:val="-66"/>
        </w:rPr>
        <w:t> </w:t>
      </w:r>
      <w:r>
        <w:rPr>
          <w:spacing w:val="-66"/>
        </w:rPr>
      </w:r>
      <w:r>
        <w:rPr/>
        <w:t>云计算服务的输出能力，可全面支撑公司的</w:t>
      </w:r>
      <w:r>
        <w:rPr>
          <w:rFonts w:ascii="Times New Roman" w:hAnsi="Times New Roman" w:cs="Times New Roman" w:eastAsia="Times New Roman" w:hint="default"/>
        </w:rPr>
        <w:t>AI+</w:t>
      </w:r>
      <w:r>
        <w:rPr/>
        <w:t>产业应用发展。</w:t>
      </w:r>
    </w:p>
    <w:p>
      <w:pPr>
        <w:spacing w:line="240" w:lineRule="auto" w:before="1"/>
        <w:rPr>
          <w:rFonts w:ascii="宋体" w:hAnsi="宋体" w:cs="宋体" w:eastAsia="宋体" w:hint="default"/>
          <w:sz w:val="13"/>
          <w:szCs w:val="13"/>
        </w:rPr>
      </w:pPr>
    </w:p>
    <w:p>
      <w:pPr>
        <w:pStyle w:val="BodyText"/>
        <w:spacing w:line="312" w:lineRule="auto"/>
        <w:ind w:right="1130" w:firstLine="360"/>
        <w:jc w:val="both"/>
      </w:pPr>
      <w:r>
        <w:rPr/>
        <w:t>在算法开发方面，已掌握了</w:t>
      </w:r>
      <w:r>
        <w:rPr>
          <w:rFonts w:ascii="Times New Roman" w:hAnsi="Times New Roman" w:cs="Times New Roman" w:eastAsia="Times New Roman" w:hint="default"/>
        </w:rPr>
        <w:t>125</w:t>
      </w:r>
      <w:r>
        <w:rPr/>
        <w:t>个国家和地区的钞票识别算法，覆盖全球</w:t>
      </w:r>
      <w:r>
        <w:rPr>
          <w:rFonts w:ascii="Times New Roman" w:hAnsi="Times New Roman" w:cs="Times New Roman" w:eastAsia="Times New Roman" w:hint="default"/>
        </w:rPr>
        <w:t>90%</w:t>
      </w:r>
      <w:r>
        <w:rPr/>
        <w:t>的人口。基于人脸识别、指静脉识别的算 </w:t>
      </w:r>
      <w:r>
        <w:rPr>
          <w:spacing w:val="-2"/>
        </w:rPr>
        <w:t>法跻身行业第一梯队，与智能终端融合应用处于行业领先水平。智能视频搭建了视频内容识别、车辆识别和行为分析等技术</w:t>
      </w:r>
      <w:r>
        <w:rPr>
          <w:spacing w:val="-63"/>
        </w:rPr>
        <w:t> </w:t>
      </w:r>
      <w:r>
        <w:rPr>
          <w:spacing w:val="-63"/>
        </w:rPr>
      </w:r>
      <w:r>
        <w:rPr>
          <w:spacing w:val="-2"/>
        </w:rPr>
        <w:t>平台，并在实际场景中落地。同时，还搭建了人工智能算法解析平台，可接入自主开发或外部提供的算法，并已经应用于地</w:t>
      </w:r>
      <w:r>
        <w:rPr>
          <w:spacing w:val="-67"/>
        </w:rPr>
        <w:t> </w:t>
      </w:r>
      <w:r>
        <w:rPr>
          <w:spacing w:val="-67"/>
        </w:rPr>
      </w:r>
      <w:r>
        <w:rPr/>
        <w:t>铁、文旅、公安等领域。</w:t>
      </w:r>
    </w:p>
    <w:p>
      <w:pPr>
        <w:spacing w:line="240" w:lineRule="auto" w:before="11"/>
        <w:rPr>
          <w:rFonts w:ascii="宋体" w:hAnsi="宋体" w:cs="宋体" w:eastAsia="宋体" w:hint="default"/>
          <w:sz w:val="13"/>
          <w:szCs w:val="13"/>
        </w:rPr>
      </w:pPr>
    </w:p>
    <w:p>
      <w:pPr>
        <w:pStyle w:val="BodyText"/>
        <w:spacing w:line="316" w:lineRule="auto"/>
        <w:ind w:right="1034" w:firstLine="360"/>
        <w:jc w:val="left"/>
      </w:pPr>
      <w:r>
        <w:rPr>
          <w:spacing w:val="-2"/>
        </w:rPr>
        <w:t>在大数据开发方面，依托以运通信息为银行大数据平台、中科江南为财税大数据平台、信义科技为警务大数据平台、广</w:t>
      </w:r>
      <w:r>
        <w:rPr/>
        <w:t> </w:t>
      </w:r>
      <w:r>
        <w:rPr>
          <w:spacing w:val="-5"/>
        </w:rPr>
        <w:t>电汇通为文旅大数据平台、运通购快为新零售大数据平台的组织体系，全面探索银行、财政、国资、审计、人大、智慧城市、</w:t>
      </w:r>
      <w:r>
        <w:rPr>
          <w:spacing w:val="-82"/>
        </w:rPr>
        <w:t> </w:t>
      </w:r>
      <w:r>
        <w:rPr>
          <w:spacing w:val="-82"/>
        </w:rPr>
      </w:r>
      <w:r>
        <w:rPr/>
        <w:t>文旅、零售等领域大数据业务。其中，警务大数据平台突破了海量多源异构数据智能推理引擎技术，解决“人事物地组织”</w:t>
      </w:r>
      <w:r>
        <w:rPr>
          <w:spacing w:val="-86"/>
        </w:rPr>
        <w:t> </w:t>
      </w:r>
      <w:r>
        <w:rPr>
          <w:spacing w:val="-86"/>
        </w:rPr>
      </w:r>
      <w:r>
        <w:rPr>
          <w:spacing w:val="-2"/>
        </w:rPr>
        <w:t>的关联分析问题，构建以人为核心的社会关系知识图谱系统，推出面向公共安全的智慧警务大数据平台，已在多地警务部门</w:t>
      </w:r>
      <w:r>
        <w:rPr>
          <w:spacing w:val="-63"/>
        </w:rPr>
        <w:t> </w:t>
      </w:r>
      <w:r>
        <w:rPr>
          <w:spacing w:val="-63"/>
        </w:rPr>
      </w:r>
      <w:r>
        <w:rPr/>
        <w:t>实战落地，协助警方破案几千宗，当地“两抢”“两盗”案情同比下降</w:t>
      </w:r>
      <w:r>
        <w:rPr>
          <w:rFonts w:ascii="Times New Roman" w:hAnsi="Times New Roman" w:cs="Times New Roman" w:eastAsia="Times New Roman" w:hint="default"/>
        </w:rPr>
        <w:t>50%</w:t>
      </w:r>
      <w:r>
        <w:rPr/>
        <w:t>。</w:t>
      </w:r>
    </w:p>
    <w:p>
      <w:pPr>
        <w:pStyle w:val="BodyText"/>
        <w:spacing w:line="240" w:lineRule="auto" w:before="155"/>
        <w:ind w:left="513" w:right="1034"/>
        <w:jc w:val="left"/>
      </w:pPr>
      <w:r>
        <w:rPr>
          <w:rFonts w:ascii="Times New Roman" w:hAnsi="Times New Roman" w:cs="Times New Roman" w:eastAsia="Times New Roman" w:hint="default"/>
        </w:rPr>
        <w:t>2</w:t>
      </w:r>
      <w:r>
        <w:rPr/>
        <w:t>、以客户为中心，初步形成四大业务领域系统解决方案（产品）体系</w:t>
      </w:r>
    </w:p>
    <w:p>
      <w:pPr>
        <w:spacing w:line="240" w:lineRule="auto" w:before="12"/>
        <w:rPr>
          <w:rFonts w:ascii="宋体" w:hAnsi="宋体" w:cs="宋体" w:eastAsia="宋体" w:hint="default"/>
          <w:sz w:val="16"/>
          <w:szCs w:val="16"/>
        </w:rPr>
      </w:pPr>
    </w:p>
    <w:p>
      <w:pPr>
        <w:pStyle w:val="BodyText"/>
        <w:spacing w:line="304" w:lineRule="auto"/>
        <w:ind w:right="1034" w:firstLine="360"/>
        <w:jc w:val="left"/>
      </w:pPr>
      <w:r>
        <w:rPr>
          <w:spacing w:val="-6"/>
        </w:rPr>
        <w:t>在智能金融领域，在现有智能银行网点完整的硬件产品基础上，即包括现金产品、非现产品、综合智能柜台产品、</w:t>
      </w:r>
      <w:r>
        <w:rPr>
          <w:rFonts w:ascii="Times New Roman" w:hAnsi="Times New Roman" w:cs="Times New Roman" w:eastAsia="Times New Roman" w:hint="default"/>
          <w:spacing w:val="-6"/>
        </w:rPr>
        <w:t>VTM</w:t>
      </w:r>
      <w:r>
        <w:rPr>
          <w:spacing w:val="-6"/>
        </w:rPr>
        <w:t>、</w:t>
      </w:r>
      <w:r>
        <w:rPr/>
        <w:t> 清分产品、智能交互平板产品，叠加生物特征识别、智能视频、大数据等</w:t>
      </w:r>
      <w:r>
        <w:rPr>
          <w:rFonts w:ascii="Times New Roman" w:hAnsi="Times New Roman" w:cs="Times New Roman" w:eastAsia="Times New Roman" w:hint="default"/>
        </w:rPr>
        <w:t>AI</w:t>
      </w:r>
      <w:r>
        <w:rPr/>
        <w:t>技术应用，拓展智慧网点规划、软件开发、系 </w:t>
      </w:r>
      <w:r>
        <w:rPr>
          <w:spacing w:val="-2"/>
        </w:rPr>
        <w:t>统集成等服务，升级打造了多种智慧网点整体解决方案。在智能财税方面，以支付电子化为基础，形成财政业务电子化解决</w:t>
      </w:r>
      <w:r>
        <w:rPr>
          <w:spacing w:val="-65"/>
        </w:rPr>
        <w:t> </w:t>
      </w:r>
      <w:r>
        <w:rPr>
          <w:spacing w:val="-65"/>
        </w:rPr>
      </w:r>
      <w:r>
        <w:rPr/>
        <w:t>方案；以信息安全、云计算、大数据、区块链为手段，打造智慧财政解决方案。</w:t>
      </w:r>
    </w:p>
    <w:p>
      <w:pPr>
        <w:spacing w:line="240" w:lineRule="auto" w:before="3"/>
        <w:rPr>
          <w:rFonts w:ascii="宋体" w:hAnsi="宋体" w:cs="宋体" w:eastAsia="宋体" w:hint="default"/>
          <w:sz w:val="14"/>
          <w:szCs w:val="14"/>
        </w:rPr>
      </w:pPr>
    </w:p>
    <w:p>
      <w:pPr>
        <w:pStyle w:val="BodyText"/>
        <w:spacing w:line="300" w:lineRule="auto"/>
        <w:ind w:right="1131" w:firstLine="360"/>
        <w:jc w:val="both"/>
      </w:pPr>
      <w:r>
        <w:rPr>
          <w:spacing w:val="-2"/>
        </w:rPr>
        <w:t>在智能交通领域，以“票”转向“人”为核心场景升级，打造了完备的车站级</w:t>
      </w:r>
      <w:r>
        <w:rPr>
          <w:rFonts w:ascii="Times New Roman" w:hAnsi="Times New Roman" w:cs="Times New Roman" w:eastAsia="Times New Roman" w:hint="default"/>
          <w:spacing w:val="-2"/>
        </w:rPr>
        <w:t>AFC</w:t>
      </w:r>
      <w:r>
        <w:rPr>
          <w:spacing w:val="-2"/>
        </w:rPr>
        <w:t>整机和模块产品，包括各类支持多种</w:t>
      </w:r>
      <w:r>
        <w:rPr/>
        <w:t> 票制或场景的售检票机、闸机等，以及识别、找零、循环、读写等核心模块。同时，积极探索互联网、</w:t>
      </w:r>
      <w:r>
        <w:rPr>
          <w:rFonts w:ascii="Times New Roman" w:hAnsi="Times New Roman" w:cs="Times New Roman" w:eastAsia="Times New Roman" w:hint="default"/>
        </w:rPr>
        <w:t>AI+</w:t>
      </w:r>
      <w:r>
        <w:rPr/>
        <w:t>在</w:t>
      </w:r>
      <w:r>
        <w:rPr>
          <w:rFonts w:ascii="Times New Roman" w:hAnsi="Times New Roman" w:cs="Times New Roman" w:eastAsia="Times New Roman" w:hint="default"/>
        </w:rPr>
        <w:t>AFC</w:t>
      </w:r>
      <w:r>
        <w:rPr/>
        <w:t>行业应用 新模式，围绕智慧车站，形成</w:t>
      </w:r>
      <w:r>
        <w:rPr>
          <w:rFonts w:ascii="Times New Roman" w:hAnsi="Times New Roman" w:cs="Times New Roman" w:eastAsia="Times New Roman" w:hint="default"/>
        </w:rPr>
        <w:t>AFC</w:t>
      </w:r>
      <w:r>
        <w:rPr/>
        <w:t>电子发票系统、智慧安检系统等创新解决方案。</w:t>
      </w:r>
    </w:p>
    <w:p>
      <w:pPr>
        <w:spacing w:line="240" w:lineRule="auto" w:before="1"/>
        <w:rPr>
          <w:rFonts w:ascii="宋体" w:hAnsi="宋体" w:cs="宋体" w:eastAsia="宋体" w:hint="default"/>
          <w:sz w:val="13"/>
          <w:szCs w:val="13"/>
        </w:rPr>
      </w:pPr>
    </w:p>
    <w:p>
      <w:pPr>
        <w:pStyle w:val="BodyText"/>
        <w:spacing w:line="300" w:lineRule="auto"/>
        <w:ind w:right="1034" w:firstLine="360"/>
        <w:jc w:val="left"/>
      </w:pPr>
      <w:r>
        <w:rPr>
          <w:spacing w:val="-5"/>
        </w:rPr>
        <w:t>在智能安全领域，初步构建</w:t>
      </w:r>
      <w:r>
        <w:rPr>
          <w:rFonts w:ascii="Times New Roman" w:hAnsi="Times New Roman" w:cs="Times New Roman" w:eastAsia="Times New Roman" w:hint="default"/>
          <w:spacing w:val="-5"/>
        </w:rPr>
        <w:t>1-3-8-4-4</w:t>
      </w:r>
      <w:r>
        <w:rPr>
          <w:spacing w:val="-5"/>
        </w:rPr>
        <w:t>架构的智能安全产品解决方案体系。其中，“</w:t>
      </w:r>
      <w:r>
        <w:rPr>
          <w:rFonts w:ascii="Times New Roman" w:hAnsi="Times New Roman" w:cs="Times New Roman" w:eastAsia="Times New Roman" w:hint="default"/>
          <w:spacing w:val="-5"/>
        </w:rPr>
        <w:t>1</w:t>
      </w:r>
      <w:r>
        <w:rPr>
          <w:spacing w:val="-5"/>
        </w:rPr>
        <w:t>”为以人工智能技术统领全局，“</w:t>
      </w:r>
      <w:r>
        <w:rPr>
          <w:rFonts w:ascii="Times New Roman" w:hAnsi="Times New Roman" w:cs="Times New Roman" w:eastAsia="Times New Roman" w:hint="default"/>
          <w:spacing w:val="-5"/>
        </w:rPr>
        <w:t>3</w:t>
      </w:r>
      <w:r>
        <w:rPr>
          <w:spacing w:val="-5"/>
        </w:rPr>
        <w:t>”</w:t>
      </w:r>
      <w:r>
        <w:rPr/>
        <w:t> </w:t>
      </w:r>
      <w:r>
        <w:rPr>
          <w:spacing w:val="-2"/>
        </w:rPr>
        <w:t>为面向智慧警务、智慧园区、金融安全形成三大整体解决方案。其中：智慧警务解决方案聚焦</w:t>
      </w:r>
      <w:r>
        <w:rPr>
          <w:rFonts w:ascii="Times New Roman" w:hAnsi="Times New Roman" w:cs="Times New Roman" w:eastAsia="Times New Roman" w:hint="default"/>
          <w:spacing w:val="-2"/>
        </w:rPr>
        <w:t>AI</w:t>
      </w:r>
      <w:r>
        <w:rPr>
          <w:spacing w:val="-2"/>
        </w:rPr>
        <w:t>、大数据与公安实战融合，</w:t>
      </w:r>
      <w:r>
        <w:rPr>
          <w:spacing w:val="-74"/>
        </w:rPr>
        <w:t> </w:t>
      </w:r>
      <w:r>
        <w:rPr>
          <w:spacing w:val="-74"/>
        </w:rPr>
      </w:r>
      <w:r>
        <w:rPr>
          <w:spacing w:val="-2"/>
        </w:rPr>
        <w:t>打造八大警务创新应用产品，实现智慧新警务；智慧园区解决方案聚焦</w:t>
      </w:r>
      <w:r>
        <w:rPr>
          <w:rFonts w:ascii="Times New Roman" w:hAnsi="Times New Roman" w:cs="Times New Roman" w:eastAsia="Times New Roman" w:hint="default"/>
          <w:spacing w:val="-2"/>
        </w:rPr>
        <w:t>AI</w:t>
      </w:r>
      <w:r>
        <w:rPr>
          <w:spacing w:val="-2"/>
        </w:rPr>
        <w:t>、大数据与园区应用融合，打造安全管控为核心、</w:t>
      </w:r>
      <w:r>
        <w:rPr>
          <w:spacing w:val="-74"/>
        </w:rPr>
        <w:t> </w:t>
      </w:r>
      <w:r>
        <w:rPr>
          <w:spacing w:val="-74"/>
        </w:rPr>
      </w:r>
      <w:r>
        <w:rPr/>
        <w:t>“</w:t>
      </w:r>
      <w:r>
        <w:rPr>
          <w:rFonts w:ascii="Times New Roman" w:hAnsi="Times New Roman" w:cs="Times New Roman" w:eastAsia="Times New Roman" w:hint="default"/>
        </w:rPr>
        <w:t>4</w:t>
      </w:r>
      <w:r>
        <w:rPr/>
        <w:t>”大产品为基础的解决方案；金融安全解决方案聚焦</w:t>
      </w:r>
      <w:r>
        <w:rPr>
          <w:rFonts w:ascii="Times New Roman" w:hAnsi="Times New Roman" w:cs="Times New Roman" w:eastAsia="Times New Roman" w:hint="default"/>
        </w:rPr>
        <w:t>AI</w:t>
      </w:r>
      <w:r>
        <w:rPr/>
        <w:t>、大数据与金融场景融合，打造金融安全为核心、“</w:t>
      </w:r>
      <w:r>
        <w:rPr>
          <w:rFonts w:ascii="Times New Roman" w:hAnsi="Times New Roman" w:cs="Times New Roman" w:eastAsia="Times New Roman" w:hint="default"/>
        </w:rPr>
        <w:t>4</w:t>
      </w:r>
      <w:r>
        <w:rPr/>
        <w:t>”大场景 产品为主要载体的产品解决方案。</w:t>
      </w:r>
    </w:p>
    <w:p>
      <w:pPr>
        <w:spacing w:line="240" w:lineRule="auto" w:before="7"/>
        <w:rPr>
          <w:rFonts w:ascii="宋体" w:hAnsi="宋体" w:cs="宋体" w:eastAsia="宋体" w:hint="default"/>
          <w:sz w:val="14"/>
          <w:szCs w:val="14"/>
        </w:rPr>
      </w:pPr>
    </w:p>
    <w:p>
      <w:pPr>
        <w:pStyle w:val="BodyText"/>
        <w:spacing w:line="316" w:lineRule="auto"/>
        <w:ind w:right="1046" w:firstLine="360"/>
        <w:jc w:val="both"/>
      </w:pPr>
      <w:r>
        <w:rPr/>
        <w:t>在智能便民领域，智慧文旅方面，形成以智慧文旅综合生态云平台为核心产品，面向智能化景区与酒店的票务、分销、 信息化等的软硬件整体解决方案。智慧政务方面，以智能政务中台系统为核心产品，面向服务终端、服务大厅、服务驿站、</w:t>
      </w:r>
      <w:r>
        <w:rPr>
          <w:spacing w:val="-86"/>
        </w:rPr>
        <w:t> </w:t>
      </w:r>
      <w:r>
        <w:rPr>
          <w:spacing w:val="-86"/>
        </w:rPr>
      </w:r>
      <w:r>
        <w:rPr/>
        <w:t>社区网点、远程审批等的一体化解决方案。</w:t>
      </w:r>
    </w:p>
    <w:p>
      <w:pPr>
        <w:pStyle w:val="BodyText"/>
        <w:spacing w:line="470" w:lineRule="exact" w:before="9"/>
        <w:ind w:left="513" w:right="1033"/>
        <w:jc w:val="left"/>
      </w:pPr>
      <w:r>
        <w:rPr>
          <w:rFonts w:ascii="Times New Roman" w:hAnsi="Times New Roman" w:cs="Times New Roman" w:eastAsia="Times New Roman" w:hint="default"/>
        </w:rPr>
        <w:t>3</w:t>
      </w:r>
      <w:r>
        <w:rPr/>
        <w:t>、强化自主知识产权保护与标准建设，构筑企业护城河 知识产权：截至报告期，知识产权累计量达</w:t>
      </w:r>
      <w:r>
        <w:rPr>
          <w:rFonts w:ascii="Times New Roman" w:hAnsi="Times New Roman" w:cs="Times New Roman" w:eastAsia="Times New Roman" w:hint="default"/>
        </w:rPr>
        <w:t>3,023</w:t>
      </w:r>
      <w:r>
        <w:rPr/>
        <w:t>件，其中专利申请</w:t>
      </w:r>
      <w:r>
        <w:rPr>
          <w:rFonts w:ascii="Times New Roman" w:hAnsi="Times New Roman" w:cs="Times New Roman" w:eastAsia="Times New Roman" w:hint="default"/>
        </w:rPr>
        <w:t>2,762</w:t>
      </w:r>
      <w:r>
        <w:rPr/>
        <w:t>项，软件著作权</w:t>
      </w:r>
      <w:r>
        <w:rPr>
          <w:rFonts w:ascii="Times New Roman" w:hAnsi="Times New Roman" w:cs="Times New Roman" w:eastAsia="Times New Roman" w:hint="default"/>
        </w:rPr>
        <w:t>216</w:t>
      </w:r>
      <w:r>
        <w:rPr/>
        <w:t>项、商标</w:t>
      </w:r>
      <w:r>
        <w:rPr>
          <w:rFonts w:ascii="Times New Roman" w:hAnsi="Times New Roman" w:cs="Times New Roman" w:eastAsia="Times New Roman" w:hint="default"/>
        </w:rPr>
        <w:t>45</w:t>
      </w:r>
      <w:r>
        <w:rPr/>
        <w:t>项。报告期内：</w:t>
      </w:r>
    </w:p>
    <w:p>
      <w:pPr>
        <w:pStyle w:val="BodyText"/>
        <w:spacing w:line="300" w:lineRule="auto" w:before="5"/>
        <w:ind w:right="1034"/>
        <w:jc w:val="left"/>
      </w:pPr>
      <w:r>
        <w:rPr/>
        <w:t>公司共确认完成专利申请</w:t>
      </w:r>
      <w:r>
        <w:rPr>
          <w:rFonts w:ascii="Times New Roman" w:hAnsi="Times New Roman" w:cs="Times New Roman" w:eastAsia="Times New Roman" w:hint="default"/>
        </w:rPr>
        <w:t>286</w:t>
      </w:r>
      <w:r>
        <w:rPr/>
        <w:t>件，确认获得专利授权总数为</w:t>
      </w:r>
      <w:r>
        <w:rPr>
          <w:rFonts w:ascii="Times New Roman" w:hAnsi="Times New Roman" w:cs="Times New Roman" w:eastAsia="Times New Roman" w:hint="default"/>
        </w:rPr>
        <w:t>205</w:t>
      </w:r>
      <w:r>
        <w:rPr/>
        <w:t>件。公司共获得国家、省、市专利奖项目达到</w:t>
      </w:r>
      <w:r>
        <w:rPr>
          <w:rFonts w:ascii="Times New Roman" w:hAnsi="Times New Roman" w:cs="Times New Roman" w:eastAsia="Times New Roman" w:hint="default"/>
        </w:rPr>
        <w:t>14</w:t>
      </w:r>
      <w:r>
        <w:rPr/>
        <w:t>件次，其中，</w:t>
      </w:r>
      <w:r>
        <w:rPr>
          <w:spacing w:val="-85"/>
        </w:rPr>
        <w:t> </w:t>
      </w:r>
      <w:r>
        <w:rPr>
          <w:spacing w:val="-85"/>
        </w:rPr>
      </w:r>
      <w:r>
        <w:rPr>
          <w:spacing w:val="-2"/>
        </w:rPr>
        <w:t>获得省专利优秀奖一项，获“广东省产学研高价值专利育成中心建设项目”立项。公司在国内注册商标</w:t>
      </w:r>
      <w:r>
        <w:rPr>
          <w:rFonts w:ascii="Times New Roman" w:hAnsi="Times New Roman" w:cs="Times New Roman" w:eastAsia="Times New Roman" w:hint="default"/>
          <w:spacing w:val="-2"/>
        </w:rPr>
        <w:t>31</w:t>
      </w:r>
      <w:r>
        <w:rPr>
          <w:spacing w:val="-2"/>
        </w:rPr>
        <w:t>项、海外注册商标</w:t>
      </w:r>
      <w:r>
        <w:rPr>
          <w:spacing w:val="-65"/>
        </w:rPr>
        <w:t> </w:t>
      </w:r>
      <w:r>
        <w:rPr>
          <w:spacing w:val="-65"/>
        </w:rPr>
      </w:r>
      <w:r>
        <w:rPr>
          <w:rFonts w:ascii="Times New Roman" w:hAnsi="Times New Roman" w:cs="Times New Roman" w:eastAsia="Times New Roman" w:hint="default"/>
        </w:rPr>
        <w:t>14</w:t>
      </w:r>
      <w:r>
        <w:rPr/>
        <w:t>项。</w:t>
      </w:r>
    </w:p>
    <w:p>
      <w:pPr>
        <w:spacing w:line="240" w:lineRule="auto" w:before="1"/>
        <w:rPr>
          <w:rFonts w:ascii="宋体" w:hAnsi="宋体" w:cs="宋体" w:eastAsia="宋体" w:hint="default"/>
          <w:sz w:val="13"/>
          <w:szCs w:val="13"/>
        </w:rPr>
      </w:pPr>
    </w:p>
    <w:p>
      <w:pPr>
        <w:pStyle w:val="BodyText"/>
        <w:spacing w:line="297" w:lineRule="auto"/>
        <w:ind w:right="1034" w:firstLine="360"/>
        <w:jc w:val="left"/>
      </w:pPr>
      <w:r>
        <w:rPr>
          <w:spacing w:val="-2"/>
        </w:rPr>
        <w:t>标准：截至报告期，标准工作累计编制</w:t>
      </w:r>
      <w:r>
        <w:rPr>
          <w:rFonts w:ascii="Times New Roman" w:hAnsi="Times New Roman" w:cs="Times New Roman" w:eastAsia="Times New Roman" w:hint="default"/>
          <w:spacing w:val="-2"/>
        </w:rPr>
        <w:t>53</w:t>
      </w:r>
      <w:r>
        <w:rPr>
          <w:spacing w:val="-2"/>
        </w:rPr>
        <w:t>项。国家标准</w:t>
      </w:r>
      <w:r>
        <w:rPr>
          <w:rFonts w:ascii="Times New Roman" w:hAnsi="Times New Roman" w:cs="Times New Roman" w:eastAsia="Times New Roman" w:hint="default"/>
          <w:spacing w:val="-2"/>
        </w:rPr>
        <w:t>34</w:t>
      </w:r>
      <w:r>
        <w:rPr>
          <w:spacing w:val="-2"/>
        </w:rPr>
        <w:t>项，公司主导</w:t>
      </w:r>
      <w:r>
        <w:rPr>
          <w:rFonts w:ascii="Times New Roman" w:hAnsi="Times New Roman" w:cs="Times New Roman" w:eastAsia="Times New Roman" w:hint="default"/>
          <w:spacing w:val="-2"/>
        </w:rPr>
        <w:t>11</w:t>
      </w:r>
      <w:r>
        <w:rPr>
          <w:spacing w:val="-2"/>
        </w:rPr>
        <w:t>项，涉及人工智能的</w:t>
      </w:r>
      <w:r>
        <w:rPr>
          <w:rFonts w:ascii="Times New Roman" w:hAnsi="Times New Roman" w:cs="Times New Roman" w:eastAsia="Times New Roman" w:hint="default"/>
          <w:spacing w:val="-2"/>
        </w:rPr>
        <w:t>10</w:t>
      </w:r>
      <w:r>
        <w:rPr>
          <w:spacing w:val="-2"/>
        </w:rPr>
        <w:t>项。报告期内，公司主</w:t>
      </w:r>
      <w:r>
        <w:rPr/>
        <w:t> 导发布八项国家标准：</w:t>
      </w:r>
    </w:p>
    <w:p>
      <w:pPr>
        <w:spacing w:line="240" w:lineRule="auto" w:before="0"/>
        <w:rPr>
          <w:rFonts w:ascii="宋体" w:hAnsi="宋体" w:cs="宋体" w:eastAsia="宋体" w:hint="default"/>
          <w:sz w:val="5"/>
          <w:szCs w:val="5"/>
        </w:rPr>
      </w:pPr>
    </w:p>
    <w:tbl>
      <w:tblPr>
        <w:tblW w:w="0" w:type="auto"/>
        <w:jc w:val="left"/>
        <w:tblInd w:w="707" w:type="dxa"/>
        <w:tblLayout w:type="fixed"/>
        <w:tblCellMar>
          <w:top w:w="0" w:type="dxa"/>
          <w:left w:w="0" w:type="dxa"/>
          <w:bottom w:w="0" w:type="dxa"/>
          <w:right w:w="0" w:type="dxa"/>
        </w:tblCellMar>
        <w:tblLook w:val="01E0"/>
      </w:tblPr>
      <w:tblGrid>
        <w:gridCol w:w="674"/>
        <w:gridCol w:w="7847"/>
      </w:tblGrid>
      <w:tr>
        <w:trPr>
          <w:trHeight w:val="322"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7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b/>
                <w:bCs/>
                <w:sz w:val="18"/>
                <w:szCs w:val="18"/>
              </w:rPr>
              <w:t>标 准 名</w:t>
            </w:r>
            <w:r>
              <w:rPr>
                <w:rFonts w:ascii="宋体" w:hAnsi="宋体" w:cs="宋体" w:eastAsia="宋体" w:hint="default"/>
                <w:b/>
                <w:bCs/>
                <w:spacing w:val="-3"/>
                <w:sz w:val="18"/>
                <w:szCs w:val="18"/>
              </w:rPr>
              <w:t> </w:t>
            </w:r>
            <w:r>
              <w:rPr>
                <w:rFonts w:ascii="宋体" w:hAnsi="宋体" w:cs="宋体" w:eastAsia="宋体" w:hint="default"/>
                <w:b/>
                <w:bCs/>
                <w:sz w:val="18"/>
                <w:szCs w:val="18"/>
              </w:rPr>
              <w:t>称</w:t>
            </w:r>
            <w:r>
              <w:rPr>
                <w:rFonts w:ascii="宋体" w:hAnsi="宋体" w:cs="宋体" w:eastAsia="宋体" w:hint="default"/>
                <w:sz w:val="18"/>
                <w:szCs w:val="18"/>
              </w:rPr>
            </w:r>
          </w:p>
        </w:tc>
      </w:tr>
      <w:tr>
        <w:trPr>
          <w:trHeight w:val="322"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w:t>
            </w:r>
          </w:p>
        </w:tc>
        <w:tc>
          <w:tcPr>
            <w:tcW w:w="7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GB/T 33767.4-2018  </w:t>
            </w:r>
            <w:r>
              <w:rPr>
                <w:rFonts w:ascii="宋体" w:hAnsi="宋体" w:cs="宋体" w:eastAsia="宋体" w:hint="default"/>
                <w:sz w:val="18"/>
                <w:szCs w:val="18"/>
              </w:rPr>
              <w:t>信息技术生物特征样本质量</w:t>
            </w:r>
            <w:r>
              <w:rPr>
                <w:rFonts w:ascii="宋体" w:hAnsi="宋体" w:cs="宋体" w:eastAsia="宋体" w:hint="default"/>
                <w:spacing w:val="-5"/>
                <w:sz w:val="18"/>
                <w:szCs w:val="18"/>
              </w:rPr>
              <w:t> </w:t>
            </w:r>
            <w:r>
              <w:rPr>
                <w:rFonts w:ascii="宋体" w:hAnsi="宋体" w:cs="宋体" w:eastAsia="宋体" w:hint="default"/>
                <w:sz w:val="18"/>
                <w:szCs w:val="18"/>
              </w:rPr>
              <w:t>第</w:t>
            </w:r>
            <w:r>
              <w:rPr>
                <w:rFonts w:ascii="Times New Roman" w:hAnsi="Times New Roman" w:cs="Times New Roman" w:eastAsia="Times New Roman" w:hint="default"/>
                <w:sz w:val="18"/>
                <w:szCs w:val="18"/>
              </w:rPr>
              <w:t>4</w:t>
            </w:r>
            <w:r>
              <w:rPr>
                <w:rFonts w:ascii="宋体" w:hAnsi="宋体" w:cs="宋体" w:eastAsia="宋体" w:hint="default"/>
                <w:sz w:val="18"/>
                <w:szCs w:val="18"/>
              </w:rPr>
              <w:t>部分：指纹图像数据》</w:t>
            </w:r>
          </w:p>
        </w:tc>
      </w:tr>
      <w:tr>
        <w:trPr>
          <w:trHeight w:val="322"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w:t>
            </w:r>
          </w:p>
        </w:tc>
        <w:tc>
          <w:tcPr>
            <w:tcW w:w="7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GB/T 33767.5-2018  </w:t>
            </w:r>
            <w:r>
              <w:rPr>
                <w:rFonts w:ascii="宋体" w:hAnsi="宋体" w:cs="宋体" w:eastAsia="宋体" w:hint="default"/>
                <w:sz w:val="18"/>
                <w:szCs w:val="18"/>
              </w:rPr>
              <w:t>信息技术生物特征样本质量</w:t>
            </w:r>
            <w:r>
              <w:rPr>
                <w:rFonts w:ascii="宋体" w:hAnsi="宋体" w:cs="宋体" w:eastAsia="宋体" w:hint="default"/>
                <w:spacing w:val="-5"/>
                <w:sz w:val="18"/>
                <w:szCs w:val="18"/>
              </w:rPr>
              <w:t> </w:t>
            </w:r>
            <w:r>
              <w:rPr>
                <w:rFonts w:ascii="宋体" w:hAnsi="宋体" w:cs="宋体" w:eastAsia="宋体" w:hint="default"/>
                <w:sz w:val="18"/>
                <w:szCs w:val="18"/>
              </w:rPr>
              <w:t>第</w:t>
            </w:r>
            <w:r>
              <w:rPr>
                <w:rFonts w:ascii="Times New Roman" w:hAnsi="Times New Roman" w:cs="Times New Roman" w:eastAsia="Times New Roman" w:hint="default"/>
                <w:sz w:val="18"/>
                <w:szCs w:val="18"/>
              </w:rPr>
              <w:t>5</w:t>
            </w:r>
            <w:r>
              <w:rPr>
                <w:rFonts w:ascii="宋体" w:hAnsi="宋体" w:cs="宋体" w:eastAsia="宋体" w:hint="default"/>
                <w:sz w:val="18"/>
                <w:szCs w:val="18"/>
              </w:rPr>
              <w:t>部分：人脸图像数据》</w:t>
            </w:r>
          </w:p>
        </w:tc>
      </w:tr>
      <w:tr>
        <w:trPr>
          <w:trHeight w:val="322"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w:t>
            </w:r>
          </w:p>
        </w:tc>
        <w:tc>
          <w:tcPr>
            <w:tcW w:w="7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GB/T 33767.6-2018  </w:t>
            </w:r>
            <w:r>
              <w:rPr>
                <w:rFonts w:ascii="宋体" w:hAnsi="宋体" w:cs="宋体" w:eastAsia="宋体" w:hint="default"/>
                <w:sz w:val="18"/>
                <w:szCs w:val="18"/>
              </w:rPr>
              <w:t>信息技术生物特征样本质量</w:t>
            </w:r>
            <w:r>
              <w:rPr>
                <w:rFonts w:ascii="宋体" w:hAnsi="宋体" w:cs="宋体" w:eastAsia="宋体" w:hint="default"/>
                <w:spacing w:val="-5"/>
                <w:sz w:val="18"/>
                <w:szCs w:val="18"/>
              </w:rPr>
              <w:t> </w:t>
            </w:r>
            <w:r>
              <w:rPr>
                <w:rFonts w:ascii="宋体" w:hAnsi="宋体" w:cs="宋体" w:eastAsia="宋体" w:hint="default"/>
                <w:sz w:val="18"/>
                <w:szCs w:val="18"/>
              </w:rPr>
              <w:t>第</w:t>
            </w:r>
            <w:r>
              <w:rPr>
                <w:rFonts w:ascii="Times New Roman" w:hAnsi="Times New Roman" w:cs="Times New Roman" w:eastAsia="Times New Roman" w:hint="default"/>
                <w:sz w:val="18"/>
                <w:szCs w:val="18"/>
              </w:rPr>
              <w:t>6</w:t>
            </w:r>
            <w:r>
              <w:rPr>
                <w:rFonts w:ascii="宋体" w:hAnsi="宋体" w:cs="宋体" w:eastAsia="宋体" w:hint="default"/>
                <w:sz w:val="18"/>
                <w:szCs w:val="18"/>
              </w:rPr>
              <w:t>部分：虹膜图像数据》</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707" w:type="dxa"/>
        <w:tblLayout w:type="fixed"/>
        <w:tblCellMar>
          <w:top w:w="0" w:type="dxa"/>
          <w:left w:w="0" w:type="dxa"/>
          <w:bottom w:w="0" w:type="dxa"/>
          <w:right w:w="0" w:type="dxa"/>
        </w:tblCellMar>
        <w:tblLook w:val="01E0"/>
      </w:tblPr>
      <w:tblGrid>
        <w:gridCol w:w="674"/>
        <w:gridCol w:w="7847"/>
      </w:tblGrid>
      <w:tr>
        <w:trPr>
          <w:trHeight w:val="322"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w:t>
            </w:r>
          </w:p>
        </w:tc>
        <w:tc>
          <w:tcPr>
            <w:tcW w:w="7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GB/T 36460-2018  </w:t>
            </w:r>
            <w:r>
              <w:rPr>
                <w:rFonts w:ascii="宋体" w:hAnsi="宋体" w:cs="宋体" w:eastAsia="宋体" w:hint="default"/>
                <w:sz w:val="18"/>
                <w:szCs w:val="18"/>
              </w:rPr>
              <w:t>信息技术生物特征识别</w:t>
            </w:r>
            <w:r>
              <w:rPr>
                <w:rFonts w:ascii="宋体" w:hAnsi="宋体" w:cs="宋体" w:eastAsia="宋体" w:hint="default"/>
                <w:spacing w:val="-3"/>
                <w:sz w:val="18"/>
                <w:szCs w:val="18"/>
              </w:rPr>
              <w:t> </w:t>
            </w:r>
            <w:r>
              <w:rPr>
                <w:rFonts w:ascii="宋体" w:hAnsi="宋体" w:cs="宋体" w:eastAsia="宋体" w:hint="default"/>
                <w:sz w:val="18"/>
                <w:szCs w:val="18"/>
              </w:rPr>
              <w:t>多模态及其他多生物特征融合》</w:t>
            </w:r>
          </w:p>
        </w:tc>
      </w:tr>
      <w:tr>
        <w:trPr>
          <w:trHeight w:val="6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w:t>
            </w:r>
          </w:p>
        </w:tc>
        <w:tc>
          <w:tcPr>
            <w:tcW w:w="784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03" w:right="32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GB/T 33842.5-2018 </w:t>
            </w:r>
            <w:r>
              <w:rPr>
                <w:rFonts w:ascii="宋体" w:hAnsi="宋体" w:cs="宋体" w:eastAsia="宋体" w:hint="default"/>
                <w:sz w:val="18"/>
                <w:szCs w:val="18"/>
              </w:rPr>
              <w:t>信息技术 </w:t>
            </w:r>
            <w:r>
              <w:rPr>
                <w:rFonts w:ascii="Times New Roman" w:hAnsi="Times New Roman" w:cs="Times New Roman" w:eastAsia="Times New Roman" w:hint="default"/>
                <w:sz w:val="18"/>
                <w:szCs w:val="18"/>
              </w:rPr>
              <w:t>GB/T</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26237</w:t>
            </w:r>
            <w:r>
              <w:rPr>
                <w:rFonts w:ascii="宋体" w:hAnsi="宋体" w:cs="宋体" w:eastAsia="宋体" w:hint="default"/>
                <w:sz w:val="18"/>
                <w:szCs w:val="18"/>
              </w:rPr>
              <w:t>中定义的生物特征数据交换格式的符合性测试方法 第</w:t>
            </w:r>
            <w:r>
              <w:rPr>
                <w:rFonts w:ascii="Times New Roman" w:hAnsi="Times New Roman" w:cs="Times New Roman" w:eastAsia="Times New Roman" w:hint="default"/>
                <w:sz w:val="18"/>
                <w:szCs w:val="18"/>
              </w:rPr>
              <w:t>5</w:t>
            </w:r>
            <w:r>
              <w:rPr>
                <w:rFonts w:ascii="宋体" w:hAnsi="宋体" w:cs="宋体" w:eastAsia="宋体" w:hint="default"/>
                <w:sz w:val="18"/>
                <w:szCs w:val="18"/>
              </w:rPr>
              <w:t>部分：人脸图像数据》</w:t>
            </w:r>
          </w:p>
        </w:tc>
      </w:tr>
      <w:tr>
        <w:trPr>
          <w:trHeight w:val="322"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6</w:t>
            </w:r>
          </w:p>
        </w:tc>
        <w:tc>
          <w:tcPr>
            <w:tcW w:w="7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GB/T 36094-2018</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信息技术生物特征识别嵌入式</w:t>
            </w:r>
            <w:r>
              <w:rPr>
                <w:rFonts w:ascii="Times New Roman" w:hAnsi="Times New Roman" w:cs="Times New Roman" w:eastAsia="Times New Roman" w:hint="default"/>
                <w:sz w:val="18"/>
                <w:szCs w:val="18"/>
              </w:rPr>
              <w:t>BioAPI</w:t>
            </w:r>
            <w:r>
              <w:rPr>
                <w:rFonts w:ascii="宋体" w:hAnsi="宋体" w:cs="宋体" w:eastAsia="宋体" w:hint="default"/>
                <w:sz w:val="18"/>
                <w:szCs w:val="18"/>
              </w:rPr>
              <w:t>》</w:t>
            </w:r>
          </w:p>
        </w:tc>
      </w:tr>
      <w:tr>
        <w:trPr>
          <w:trHeight w:val="32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7</w:t>
            </w:r>
          </w:p>
        </w:tc>
        <w:tc>
          <w:tcPr>
            <w:tcW w:w="7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GB/T 36651-2018</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信息安全技术基于可信环境的生物特征识别身份鉴别协议框架》</w:t>
            </w:r>
          </w:p>
        </w:tc>
      </w:tr>
      <w:tr>
        <w:trPr>
          <w:trHeight w:val="322"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8</w:t>
            </w:r>
          </w:p>
        </w:tc>
        <w:tc>
          <w:tcPr>
            <w:tcW w:w="7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GB/T 36336.1-2018  </w:t>
            </w:r>
            <w:r>
              <w:rPr>
                <w:rFonts w:ascii="宋体" w:hAnsi="宋体" w:cs="宋体" w:eastAsia="宋体" w:hint="default"/>
                <w:sz w:val="18"/>
                <w:szCs w:val="18"/>
              </w:rPr>
              <w:t>信息技术远程视频柜员机</w:t>
            </w:r>
            <w:r>
              <w:rPr>
                <w:rFonts w:ascii="宋体" w:hAnsi="宋体" w:cs="宋体" w:eastAsia="宋体" w:hint="default"/>
                <w:spacing w:val="-5"/>
                <w:sz w:val="18"/>
                <w:szCs w:val="18"/>
              </w:rPr>
              <w:t> </w:t>
            </w:r>
            <w:r>
              <w:rPr>
                <w:rFonts w:ascii="宋体" w:hAnsi="宋体" w:cs="宋体" w:eastAsia="宋体" w:hint="default"/>
                <w:sz w:val="18"/>
                <w:szCs w:val="18"/>
              </w:rPr>
              <w:t>第</w:t>
            </w:r>
            <w:r>
              <w:rPr>
                <w:rFonts w:ascii="Times New Roman" w:hAnsi="Times New Roman" w:cs="Times New Roman" w:eastAsia="Times New Roman" w:hint="default"/>
                <w:sz w:val="18"/>
                <w:szCs w:val="18"/>
              </w:rPr>
              <w:t>1</w:t>
            </w:r>
            <w:r>
              <w:rPr>
                <w:rFonts w:ascii="宋体" w:hAnsi="宋体" w:cs="宋体" w:eastAsia="宋体" w:hint="default"/>
                <w:sz w:val="18"/>
                <w:szCs w:val="18"/>
              </w:rPr>
              <w:t>部分：设备》</w:t>
            </w:r>
          </w:p>
        </w:tc>
      </w:tr>
    </w:tbl>
    <w:p>
      <w:pPr>
        <w:spacing w:line="240" w:lineRule="auto" w:before="2"/>
        <w:rPr>
          <w:rFonts w:ascii="宋体" w:hAnsi="宋体" w:cs="宋体" w:eastAsia="宋体" w:hint="default"/>
          <w:sz w:val="9"/>
          <w:szCs w:val="9"/>
        </w:rPr>
      </w:pPr>
    </w:p>
    <w:p>
      <w:pPr>
        <w:pStyle w:val="Heading5"/>
        <w:spacing w:line="240" w:lineRule="auto" w:before="44"/>
        <w:ind w:left="513" w:right="1034"/>
        <w:jc w:val="left"/>
        <w:rPr>
          <w:b w:val="0"/>
          <w:bCs w:val="0"/>
        </w:rPr>
      </w:pPr>
      <w:r>
        <w:rPr/>
        <w:t>（四）重视公司软实力建设，增强企业竞争力</w:t>
      </w:r>
      <w:r>
        <w:rPr>
          <w:b w:val="0"/>
          <w:bCs w:val="0"/>
        </w:rPr>
      </w:r>
    </w:p>
    <w:p>
      <w:pPr>
        <w:pStyle w:val="BodyText"/>
        <w:spacing w:line="470" w:lineRule="atLeast" w:before="11"/>
        <w:ind w:left="513" w:right="1034"/>
        <w:jc w:val="left"/>
      </w:pPr>
      <w:r>
        <w:rPr>
          <w:rFonts w:ascii="Times New Roman" w:hAnsi="Times New Roman" w:cs="Times New Roman" w:eastAsia="Times New Roman" w:hint="default"/>
        </w:rPr>
        <w:t>1</w:t>
      </w:r>
      <w:r>
        <w:rPr/>
        <w:t>、品牌建设：成功树立全新人工智能品牌形象 </w:t>
      </w:r>
      <w:r>
        <w:rPr>
          <w:spacing w:val="-1"/>
        </w:rPr>
        <w:t>围绕“</w:t>
      </w:r>
      <w:r>
        <w:rPr>
          <w:rFonts w:ascii="Times New Roman" w:hAnsi="Times New Roman" w:cs="Times New Roman" w:eastAsia="Times New Roman" w:hint="default"/>
          <w:spacing w:val="-1"/>
        </w:rPr>
        <w:t>AI+</w:t>
      </w:r>
      <w:r>
        <w:rPr>
          <w:spacing w:val="-1"/>
        </w:rPr>
        <w:t>应用场景”的新定位，策划科技创新大会，承办智慧城市高峰论坛，组织全球</w:t>
      </w:r>
      <w:r>
        <w:rPr>
          <w:rFonts w:ascii="Times New Roman" w:hAnsi="Times New Roman" w:cs="Times New Roman" w:eastAsia="Times New Roman" w:hint="default"/>
          <w:spacing w:val="-1"/>
        </w:rPr>
        <w:t>GCE</w:t>
      </w:r>
      <w:r>
        <w:rPr>
          <w:spacing w:val="-1"/>
        </w:rPr>
        <w:t>峰会，参展旅博会、智博</w:t>
      </w:r>
    </w:p>
    <w:p>
      <w:pPr>
        <w:pStyle w:val="BodyText"/>
        <w:spacing w:line="316" w:lineRule="auto" w:before="61"/>
        <w:ind w:right="1129"/>
        <w:jc w:val="left"/>
      </w:pPr>
      <w:r>
        <w:rPr>
          <w:spacing w:val="-5"/>
        </w:rPr>
        <w:t>会、软博会，实施战略签约仪式，启用人工智能创新中心，立体式宣传人工智能技术赋能效应，通过公司官网、微信公众号、</w:t>
      </w:r>
      <w:r>
        <w:rPr>
          <w:spacing w:val="-79"/>
        </w:rPr>
        <w:t> </w:t>
      </w:r>
      <w:r>
        <w:rPr>
          <w:spacing w:val="-79"/>
        </w:rPr>
      </w:r>
      <w:r>
        <w:rPr/>
        <w:t>主流媒体、见面会等渠道宣传公司价值，树立广电运通</w:t>
      </w:r>
      <w:r>
        <w:rPr>
          <w:rFonts w:ascii="Times New Roman" w:hAnsi="Times New Roman" w:cs="Times New Roman" w:eastAsia="Times New Roman" w:hint="default"/>
        </w:rPr>
        <w:t>GRG</w:t>
      </w:r>
      <w:r>
        <w:rPr>
          <w:rFonts w:ascii="Times New Roman" w:hAnsi="Times New Roman" w:cs="Times New Roman" w:eastAsia="Times New Roman" w:hint="default"/>
          <w:spacing w:val="-4"/>
        </w:rPr>
        <w:t> </w:t>
      </w:r>
      <w:r>
        <w:rPr>
          <w:rFonts w:ascii="Times New Roman" w:hAnsi="Times New Roman" w:cs="Times New Roman" w:eastAsia="Times New Roman" w:hint="default"/>
        </w:rPr>
        <w:t>AI</w:t>
      </w:r>
      <w:r>
        <w:rPr/>
        <w:t>品牌新形象。</w:t>
      </w:r>
    </w:p>
    <w:p>
      <w:pPr>
        <w:pStyle w:val="BodyText"/>
        <w:spacing w:line="240" w:lineRule="auto" w:before="155"/>
        <w:ind w:left="513" w:right="1034"/>
        <w:jc w:val="left"/>
      </w:pPr>
      <w:r>
        <w:rPr>
          <w:rFonts w:ascii="Times New Roman" w:hAnsi="Times New Roman" w:cs="Times New Roman" w:eastAsia="Times New Roman" w:hint="default"/>
        </w:rPr>
        <w:t>2</w:t>
      </w:r>
      <w:r>
        <w:rPr/>
        <w:t>、资质荣誉：获得多项重要国家省市级资质认定与荣誉奖励</w:t>
      </w:r>
    </w:p>
    <w:p>
      <w:pPr>
        <w:spacing w:line="240" w:lineRule="auto" w:before="12"/>
        <w:rPr>
          <w:rFonts w:ascii="宋体" w:hAnsi="宋体" w:cs="宋体" w:eastAsia="宋体" w:hint="default"/>
          <w:sz w:val="16"/>
          <w:szCs w:val="16"/>
        </w:rPr>
      </w:pPr>
    </w:p>
    <w:p>
      <w:pPr>
        <w:pStyle w:val="BodyText"/>
        <w:spacing w:line="312" w:lineRule="auto"/>
        <w:ind w:right="1129" w:firstLine="360"/>
        <w:jc w:val="both"/>
      </w:pPr>
      <w:r>
        <w:rPr>
          <w:spacing w:val="-2"/>
        </w:rPr>
        <w:t>报告期内，公司完成重点软件企业评估；子公司中科江南获得甲级涉密信息系统集成资质；公司及下属子公司中通过高</w:t>
      </w:r>
      <w:r>
        <w:rPr/>
        <w:t> </w:t>
      </w:r>
      <w:r>
        <w:rPr>
          <w:spacing w:val="-1"/>
        </w:rPr>
        <w:t>新技术企业认定的达</w:t>
      </w:r>
      <w:r>
        <w:rPr>
          <w:rFonts w:ascii="Times New Roman" w:hAnsi="Times New Roman" w:cs="Times New Roman" w:eastAsia="Times New Roman" w:hint="default"/>
          <w:spacing w:val="-1"/>
        </w:rPr>
        <w:t>16</w:t>
      </w:r>
      <w:r>
        <w:rPr>
          <w:spacing w:val="-1"/>
        </w:rPr>
        <w:t>家，获得广州市人工智能企业资质的达</w:t>
      </w:r>
      <w:r>
        <w:rPr>
          <w:rFonts w:ascii="Times New Roman" w:hAnsi="Times New Roman" w:cs="Times New Roman" w:eastAsia="Times New Roman" w:hint="default"/>
          <w:spacing w:val="-1"/>
        </w:rPr>
        <w:t>6</w:t>
      </w:r>
      <w:r>
        <w:rPr>
          <w:spacing w:val="-1"/>
        </w:rPr>
        <w:t>家。公司通过了知识产权管理体系认证、</w:t>
      </w:r>
      <w:r>
        <w:rPr>
          <w:rFonts w:ascii="Times New Roman" w:hAnsi="Times New Roman" w:cs="Times New Roman" w:eastAsia="Times New Roman" w:hint="default"/>
          <w:spacing w:val="-1"/>
        </w:rPr>
        <w:t>CMMI3</w:t>
      </w:r>
      <w:r>
        <w:rPr>
          <w:spacing w:val="-1"/>
        </w:rPr>
        <w:t>认定、</w:t>
      </w:r>
      <w:r>
        <w:rPr>
          <w:rFonts w:ascii="Times New Roman" w:hAnsi="Times New Roman" w:cs="Times New Roman" w:eastAsia="Times New Roman" w:hint="default"/>
          <w:spacing w:val="-1"/>
        </w:rPr>
        <w:t>ITSS</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spacing w:val="-2"/>
        </w:rPr>
        <w:t>认定，打造了广东省智能金融企业重点实验室、广东省金融智能装备工程实验室等省级实验室，及广东省自然语义分析及其</w:t>
      </w:r>
      <w:r>
        <w:rPr>
          <w:spacing w:val="-63"/>
        </w:rPr>
        <w:t> </w:t>
      </w:r>
      <w:r>
        <w:rPr>
          <w:spacing w:val="-63"/>
        </w:rPr>
      </w:r>
      <w:r>
        <w:rPr/>
        <w:t>应用技术工程技术研究中心和广东省人工智能与智慧网点工程技术研究中心。</w:t>
      </w:r>
    </w:p>
    <w:p>
      <w:pPr>
        <w:spacing w:line="240" w:lineRule="auto" w:before="11"/>
        <w:rPr>
          <w:rFonts w:ascii="宋体" w:hAnsi="宋体" w:cs="宋体" w:eastAsia="宋体" w:hint="default"/>
          <w:sz w:val="13"/>
          <w:szCs w:val="13"/>
        </w:rPr>
      </w:pPr>
    </w:p>
    <w:p>
      <w:pPr>
        <w:pStyle w:val="BodyText"/>
        <w:spacing w:line="300" w:lineRule="auto"/>
        <w:ind w:right="1131" w:firstLine="360"/>
        <w:jc w:val="both"/>
      </w:pPr>
      <w:r>
        <w:rPr>
          <w:spacing w:val="-4"/>
        </w:rPr>
        <w:t>报告期内，公司共获得各类荣誉和奖励共</w:t>
      </w:r>
      <w:r>
        <w:rPr>
          <w:rFonts w:ascii="Times New Roman" w:hAnsi="Times New Roman" w:cs="Times New Roman" w:eastAsia="Times New Roman" w:hint="default"/>
          <w:spacing w:val="-4"/>
        </w:rPr>
        <w:t>47</w:t>
      </w:r>
      <w:r>
        <w:rPr>
          <w:spacing w:val="-4"/>
        </w:rPr>
        <w:t>项，其中国家级</w:t>
      </w:r>
      <w:r>
        <w:rPr>
          <w:rFonts w:ascii="Times New Roman" w:hAnsi="Times New Roman" w:cs="Times New Roman" w:eastAsia="Times New Roman" w:hint="default"/>
          <w:spacing w:val="-4"/>
        </w:rPr>
        <w:t>6</w:t>
      </w:r>
      <w:r>
        <w:rPr>
          <w:spacing w:val="-4"/>
        </w:rPr>
        <w:t>项、省级</w:t>
      </w:r>
      <w:r>
        <w:rPr>
          <w:rFonts w:ascii="Times New Roman" w:hAnsi="Times New Roman" w:cs="Times New Roman" w:eastAsia="Times New Roman" w:hint="default"/>
          <w:spacing w:val="-4"/>
        </w:rPr>
        <w:t>31</w:t>
      </w:r>
      <w:r>
        <w:rPr>
          <w:spacing w:val="-4"/>
        </w:rPr>
        <w:t>项、市级</w:t>
      </w:r>
      <w:r>
        <w:rPr>
          <w:rFonts w:ascii="Times New Roman" w:hAnsi="Times New Roman" w:cs="Times New Roman" w:eastAsia="Times New Roman" w:hint="default"/>
          <w:spacing w:val="-4"/>
        </w:rPr>
        <w:t>10</w:t>
      </w:r>
      <w:r>
        <w:rPr>
          <w:spacing w:val="-4"/>
        </w:rPr>
        <w:t>项。荣获省科技厅科技进步三等奖，</w:t>
      </w:r>
      <w:r>
        <w:rPr/>
        <w:t> 获人工智能雷克大赛 </w:t>
      </w:r>
      <w:r>
        <w:rPr>
          <w:spacing w:val="-4"/>
        </w:rPr>
        <w:t>“创新力企业”奖和“卓越产品”奖、“平安城市”建设突出贡献等奖项，共获得各类行业资质</w:t>
      </w:r>
      <w:r>
        <w:rPr>
          <w:rFonts w:ascii="Times New Roman" w:hAnsi="Times New Roman" w:cs="Times New Roman" w:eastAsia="Times New Roman" w:hint="default"/>
          <w:spacing w:val="-4"/>
        </w:rPr>
        <w:t>20</w:t>
      </w:r>
      <w:r>
        <w:rPr>
          <w:spacing w:val="-4"/>
        </w:rPr>
        <w:t>项，</w:t>
      </w:r>
      <w:r>
        <w:rPr>
          <w:spacing w:val="-83"/>
        </w:rPr>
        <w:t> </w:t>
      </w:r>
      <w:r>
        <w:rPr>
          <w:spacing w:val="-2"/>
        </w:rPr>
        <w:t>其中国家级</w:t>
      </w:r>
      <w:r>
        <w:rPr>
          <w:rFonts w:ascii="Times New Roman" w:hAnsi="Times New Roman" w:cs="Times New Roman" w:eastAsia="Times New Roman" w:hint="default"/>
          <w:spacing w:val="-2"/>
        </w:rPr>
        <w:t>8</w:t>
      </w:r>
      <w:r>
        <w:rPr>
          <w:spacing w:val="-2"/>
        </w:rPr>
        <w:t>项，省级</w:t>
      </w:r>
      <w:r>
        <w:rPr>
          <w:rFonts w:ascii="Times New Roman" w:hAnsi="Times New Roman" w:cs="Times New Roman" w:eastAsia="Times New Roman" w:hint="default"/>
          <w:spacing w:val="-2"/>
        </w:rPr>
        <w:t>4</w:t>
      </w:r>
      <w:r>
        <w:rPr>
          <w:spacing w:val="-2"/>
        </w:rPr>
        <w:t>项，市级</w:t>
      </w:r>
      <w:r>
        <w:rPr>
          <w:rFonts w:ascii="Times New Roman" w:hAnsi="Times New Roman" w:cs="Times New Roman" w:eastAsia="Times New Roman" w:hint="default"/>
          <w:spacing w:val="-2"/>
        </w:rPr>
        <w:t>6</w:t>
      </w:r>
      <w:r>
        <w:rPr>
          <w:spacing w:val="-2"/>
        </w:rPr>
        <w:t>项，区级</w:t>
      </w:r>
      <w:r>
        <w:rPr>
          <w:rFonts w:ascii="Times New Roman" w:hAnsi="Times New Roman" w:cs="Times New Roman" w:eastAsia="Times New Roman" w:hint="default"/>
          <w:spacing w:val="-2"/>
        </w:rPr>
        <w:t>2</w:t>
      </w:r>
      <w:r>
        <w:rPr>
          <w:spacing w:val="-2"/>
        </w:rPr>
        <w:t>项。包括“</w:t>
      </w:r>
      <w:r>
        <w:rPr>
          <w:rFonts w:ascii="Times New Roman" w:hAnsi="Times New Roman" w:cs="Times New Roman" w:eastAsia="Times New Roman" w:hint="default"/>
          <w:spacing w:val="-2"/>
        </w:rPr>
        <w:t>2018</w:t>
      </w:r>
      <w:r>
        <w:rPr>
          <w:spacing w:val="-2"/>
        </w:rPr>
        <w:t>年中国电子信息行业创新能力五十强企业”、“中国服务外包领</w:t>
      </w:r>
      <w:r>
        <w:rPr>
          <w:spacing w:val="-65"/>
        </w:rPr>
        <w:t> </w:t>
      </w:r>
      <w:r>
        <w:rPr>
          <w:spacing w:val="-65"/>
        </w:rPr>
      </w:r>
      <w:r>
        <w:rPr/>
        <w:t>军及成长型企业”、“全国电子信息行业优秀企业”等。</w:t>
      </w:r>
    </w:p>
    <w:p>
      <w:pPr>
        <w:spacing w:line="240" w:lineRule="auto" w:before="7"/>
        <w:rPr>
          <w:rFonts w:ascii="宋体" w:hAnsi="宋体" w:cs="宋体" w:eastAsia="宋体" w:hint="default"/>
          <w:sz w:val="14"/>
          <w:szCs w:val="14"/>
        </w:rPr>
      </w:pPr>
    </w:p>
    <w:p>
      <w:pPr>
        <w:pStyle w:val="BodyText"/>
        <w:spacing w:line="300" w:lineRule="auto"/>
        <w:ind w:right="1034" w:firstLine="360"/>
        <w:jc w:val="left"/>
      </w:pPr>
      <w:r>
        <w:rPr>
          <w:spacing w:val="-3"/>
        </w:rPr>
        <w:t>报告期内，公司经营业绩保持稳健增长，实现营业收入</w:t>
      </w:r>
      <w:r>
        <w:rPr>
          <w:rFonts w:ascii="Times New Roman" w:hAnsi="Times New Roman" w:cs="Times New Roman" w:eastAsia="Times New Roman" w:hint="default"/>
          <w:spacing w:val="-3"/>
        </w:rPr>
        <w:t>545,898.18</w:t>
      </w:r>
      <w:r>
        <w:rPr>
          <w:spacing w:val="-3"/>
        </w:rPr>
        <w:t>万元，同比增长</w:t>
      </w:r>
      <w:r>
        <w:rPr>
          <w:rFonts w:ascii="Times New Roman" w:hAnsi="Times New Roman" w:cs="Times New Roman" w:eastAsia="Times New Roman" w:hint="default"/>
          <w:spacing w:val="-3"/>
        </w:rPr>
        <w:t>24.53%</w:t>
      </w:r>
      <w:r>
        <w:rPr>
          <w:spacing w:val="-3"/>
        </w:rPr>
        <w:t>；实现利润总额</w:t>
      </w:r>
      <w:r>
        <w:rPr>
          <w:rFonts w:ascii="Times New Roman" w:hAnsi="Times New Roman" w:cs="Times New Roman" w:eastAsia="Times New Roman" w:hint="default"/>
          <w:spacing w:val="-3"/>
        </w:rPr>
        <w:t>89,968.52</w:t>
      </w:r>
      <w:r>
        <w:rPr>
          <w:spacing w:val="-3"/>
        </w:rPr>
        <w:t>万元，</w:t>
      </w:r>
      <w:r>
        <w:rPr/>
        <w:t> 同比减少</w:t>
      </w:r>
      <w:r>
        <w:rPr>
          <w:rFonts w:ascii="Times New Roman" w:hAnsi="Times New Roman" w:cs="Times New Roman" w:eastAsia="Times New Roman" w:hint="default"/>
        </w:rPr>
        <w:t>19.81%</w:t>
      </w:r>
      <w:r>
        <w:rPr/>
        <w:t>；实现归属于上市公司股东的净利润</w:t>
      </w:r>
      <w:r>
        <w:rPr>
          <w:rFonts w:ascii="Times New Roman" w:hAnsi="Times New Roman" w:cs="Times New Roman" w:eastAsia="Times New Roman" w:hint="default"/>
        </w:rPr>
        <w:t>67,029.70</w:t>
      </w:r>
      <w:r>
        <w:rPr/>
        <w:t>万元，同比减少</w:t>
      </w:r>
      <w:r>
        <w:rPr>
          <w:rFonts w:ascii="Times New Roman" w:hAnsi="Times New Roman" w:cs="Times New Roman" w:eastAsia="Times New Roman" w:hint="default"/>
        </w:rPr>
        <w:t>25.48%</w:t>
      </w:r>
      <w:r>
        <w:rPr/>
        <w:t>；实现归属于上市公司股东的扣除非 经常性损益的净利润</w:t>
      </w:r>
      <w:r>
        <w:rPr>
          <w:rFonts w:ascii="Times New Roman" w:hAnsi="Times New Roman" w:cs="Times New Roman" w:eastAsia="Times New Roman" w:hint="default"/>
        </w:rPr>
        <w:t>53,732.35</w:t>
      </w:r>
      <w:r>
        <w:rPr/>
        <w:t>万元，同比增长</w:t>
      </w:r>
      <w:r>
        <w:rPr>
          <w:rFonts w:ascii="Times New Roman" w:hAnsi="Times New Roman" w:cs="Times New Roman" w:eastAsia="Times New Roman" w:hint="default"/>
        </w:rPr>
        <w:t>30.21%</w:t>
      </w:r>
      <w:r>
        <w:rPr/>
        <w:t>。</w:t>
      </w:r>
    </w:p>
    <w:p>
      <w:pPr>
        <w:spacing w:line="240" w:lineRule="auto" w:before="5"/>
        <w:rPr>
          <w:rFonts w:ascii="宋体" w:hAnsi="宋体" w:cs="宋体" w:eastAsia="宋体" w:hint="default"/>
          <w:sz w:val="20"/>
          <w:szCs w:val="20"/>
        </w:rPr>
      </w:pPr>
    </w:p>
    <w:p>
      <w:pPr>
        <w:pStyle w:val="Heading2"/>
        <w:spacing w:line="240" w:lineRule="auto"/>
        <w:ind w:right="1034"/>
        <w:jc w:val="left"/>
        <w:rPr>
          <w:b w:val="0"/>
          <w:bCs w:val="0"/>
        </w:rPr>
      </w:pPr>
      <w:r>
        <w:rPr/>
        <w:t>二、主营业务分析</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right="1034"/>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4"/>
        <w:jc w:val="left"/>
      </w:pPr>
      <w:r>
        <w:rPr/>
        <w:t>是否与经营情况讨论与分析中的概述披露相同</w:t>
      </w:r>
    </w:p>
    <w:p>
      <w:pPr>
        <w:pStyle w:val="BodyText"/>
        <w:spacing w:line="338" w:lineRule="auto" w:before="117"/>
        <w:ind w:right="64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line="240" w:lineRule="auto" w:before="6"/>
        <w:rPr>
          <w:rFonts w:ascii="宋体" w:hAnsi="宋体" w:cs="宋体" w:eastAsia="宋体" w:hint="default"/>
          <w:sz w:val="20"/>
          <w:szCs w:val="20"/>
        </w:rPr>
      </w:pPr>
    </w:p>
    <w:p>
      <w:pPr>
        <w:pStyle w:val="Heading4"/>
        <w:spacing w:line="240" w:lineRule="auto"/>
        <w:ind w:right="1034"/>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1034"/>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84"/>
        <w:gridCol w:w="2127"/>
        <w:gridCol w:w="1419"/>
        <w:gridCol w:w="1702"/>
        <w:gridCol w:w="1417"/>
        <w:gridCol w:w="919"/>
      </w:tblGrid>
      <w:tr>
        <w:trPr>
          <w:trHeight w:val="403" w:hRule="exact"/>
        </w:trPr>
        <w:tc>
          <w:tcPr>
            <w:tcW w:w="1984" w:type="dxa"/>
            <w:vMerge w:val="restart"/>
            <w:tcBorders>
              <w:top w:val="single" w:sz="4" w:space="0" w:color="000000"/>
              <w:left w:val="single" w:sz="4" w:space="0" w:color="000000"/>
              <w:right w:val="single" w:sz="4" w:space="0" w:color="000000"/>
            </w:tcBorders>
            <w:shd w:val="clear" w:color="auto" w:fill="D2D2D2"/>
          </w:tcPr>
          <w:p>
            <w:pPr/>
          </w:p>
        </w:tc>
        <w:tc>
          <w:tcPr>
            <w:tcW w:w="35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984" w:type="dxa"/>
            <w:vMerge/>
            <w:tcBorders>
              <w:left w:val="single" w:sz="4" w:space="0" w:color="000000"/>
              <w:bottom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91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82"/>
        <w:gridCol w:w="2133"/>
        <w:gridCol w:w="1413"/>
        <w:gridCol w:w="1707"/>
        <w:gridCol w:w="1411"/>
        <w:gridCol w:w="922"/>
      </w:tblGrid>
      <w:tr>
        <w:trPr>
          <w:trHeight w:val="408" w:hRule="exact"/>
        </w:trPr>
        <w:tc>
          <w:tcPr>
            <w:tcW w:w="1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2133"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5,458,981,768.73</w:t>
            </w:r>
          </w:p>
        </w:tc>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100%</w:t>
            </w:r>
          </w:p>
        </w:tc>
        <w:tc>
          <w:tcPr>
            <w:tcW w:w="1707"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4,383,577,016.09</w:t>
            </w:r>
          </w:p>
        </w:tc>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100%</w:t>
            </w:r>
          </w:p>
        </w:tc>
        <w:tc>
          <w:tcPr>
            <w:tcW w:w="92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0"/>
              <w:ind w:right="17"/>
              <w:jc w:val="right"/>
              <w:rPr>
                <w:rFonts w:ascii="Times New Roman" w:hAnsi="Times New Roman" w:cs="Times New Roman" w:eastAsia="Times New Roman" w:hint="default"/>
                <w:sz w:val="20"/>
                <w:szCs w:val="20"/>
              </w:rPr>
            </w:pPr>
            <w:r>
              <w:rPr>
                <w:rFonts w:ascii="Times New Roman"/>
                <w:sz w:val="20"/>
              </w:rPr>
              <w:t>24.53%</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智能金融</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2,248,187,202.36</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41.18%</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2,036,642,898.44</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46.46%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10.39%</w:t>
            </w:r>
          </w:p>
        </w:tc>
      </w:tr>
      <w:tr>
        <w:trPr>
          <w:trHeight w:val="403"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智能交通</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296,878,355.80</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5.44%</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125,214,197.69</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137.10%</w:t>
            </w:r>
          </w:p>
        </w:tc>
      </w:tr>
      <w:tr>
        <w:trPr>
          <w:trHeight w:val="401"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智能安全</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1,950,802,461.07</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35.74%</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1,313,011,560.95</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29.95%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48.57%</w:t>
            </w:r>
          </w:p>
        </w:tc>
      </w:tr>
      <w:tr>
        <w:trPr>
          <w:trHeight w:val="403"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智能便民</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825,908,085.02</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15.13%</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751,715,343.95</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17.15%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9.87%</w:t>
            </w:r>
          </w:p>
        </w:tc>
      </w:tr>
      <w:tr>
        <w:trPr>
          <w:trHeight w:val="402"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137,205,664.48</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2.51%</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156,993,015.06</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-12.60%</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、金融设备</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1,892,198,567.85</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34.66%</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1,980,760,857.60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45.19%</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w:t>
            </w:r>
          </w:p>
        </w:tc>
      </w:tr>
      <w:tr>
        <w:trPr>
          <w:trHeight w:val="403"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、其他设备</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382,233,440.22</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235,550,375.40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62.27%</w:t>
            </w:r>
          </w:p>
        </w:tc>
      </w:tr>
      <w:tr>
        <w:trPr>
          <w:trHeight w:val="401"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、技术服务</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3,132,699,180.60</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57.39%</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2,120,608,945.74</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48.38%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47.73%</w:t>
            </w:r>
          </w:p>
        </w:tc>
      </w:tr>
      <w:tr>
        <w:trPr>
          <w:trHeight w:val="403"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51,850,580.06</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0.95%</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46,656,837.35</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11.13%</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4,915,468,523.46</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90.04%</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3,802,258,323.10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86.74%</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29.28%</w:t>
            </w:r>
          </w:p>
        </w:tc>
      </w:tr>
      <w:tr>
        <w:trPr>
          <w:trHeight w:val="403"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543,513,245.27</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9.96%</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581,318,692.99</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13.26%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w:t>
            </w:r>
          </w:p>
        </w:tc>
      </w:tr>
    </w:tbl>
    <w:p>
      <w:pPr>
        <w:spacing w:line="240" w:lineRule="auto" w:before="8"/>
        <w:rPr>
          <w:rFonts w:ascii="宋体" w:hAnsi="宋体" w:cs="宋体" w:eastAsia="宋体" w:hint="default"/>
          <w:sz w:val="19"/>
          <w:szCs w:val="19"/>
        </w:rPr>
      </w:pPr>
    </w:p>
    <w:p>
      <w:pPr>
        <w:pStyle w:val="Heading4"/>
        <w:spacing w:line="240" w:lineRule="auto" w:before="37"/>
        <w:ind w:right="1034"/>
        <w:jc w:val="left"/>
        <w:rPr>
          <w:b w:val="0"/>
          <w:bCs w:val="0"/>
        </w:rPr>
      </w:pPr>
      <w:r>
        <w:rPr/>
        <w:t>（</w:t>
      </w:r>
      <w:r>
        <w:rPr>
          <w:rFonts w:ascii="Times New Roman" w:hAnsi="Times New Roman" w:cs="Times New Roman" w:eastAsia="Times New Roman" w:hint="default"/>
        </w:rPr>
        <w:t>2</w:t>
      </w:r>
      <w:r>
        <w:rPr/>
        <w:t>）占公司营业收入或营业利润</w:t>
      </w:r>
      <w:r>
        <w:rPr>
          <w:spacing w:val="-55"/>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0"/>
        </w:sectPr>
      </w:pPr>
    </w:p>
    <w:p>
      <w:pPr>
        <w:pStyle w:val="BodyText"/>
        <w:spacing w:line="35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100" w:bottom="1160" w:left="980" w:right="0"/>
          <w:cols w:num="2" w:equalWidth="0">
            <w:col w:w="3213" w:space="5707"/>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1561"/>
        <w:gridCol w:w="1699"/>
        <w:gridCol w:w="992"/>
        <w:gridCol w:w="1277"/>
        <w:gridCol w:w="1277"/>
        <w:gridCol w:w="1133"/>
      </w:tblGrid>
      <w:tr>
        <w:trPr>
          <w:trHeight w:val="71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4" w:right="89" w:hanging="89"/>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2" w:hanging="89"/>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108"/>
              <w:jc w:val="left"/>
              <w:rPr>
                <w:rFonts w:ascii="宋体" w:hAnsi="宋体" w:cs="宋体" w:eastAsia="宋体" w:hint="default"/>
                <w:sz w:val="18"/>
                <w:szCs w:val="18"/>
              </w:rPr>
            </w:pPr>
            <w:r>
              <w:rPr>
                <w:rFonts w:ascii="宋体" w:hAnsi="宋体" w:cs="宋体" w:eastAsia="宋体" w:hint="default"/>
                <w:sz w:val="18"/>
                <w:szCs w:val="18"/>
              </w:rPr>
              <w:t>毛利率比上 年同期增减</w:t>
            </w:r>
          </w:p>
        </w:tc>
      </w:tr>
      <w:tr>
        <w:trPr>
          <w:trHeight w:val="402" w:hRule="exact"/>
        </w:trPr>
        <w:tc>
          <w:tcPr>
            <w:tcW w:w="964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2,274,432,008.07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1,285,814,967.90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-0.60%</w:t>
            </w:r>
          </w:p>
        </w:tc>
      </w:tr>
      <w:tr>
        <w:trPr>
          <w:trHeight w:val="40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3,184,549,760.66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1,914,100,264.45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46.01%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0.38%</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5,458,981,768.73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3,199,915,232.35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-0.44%</w:t>
            </w:r>
          </w:p>
        </w:tc>
      </w:tr>
      <w:tr>
        <w:trPr>
          <w:trHeight w:val="402" w:hRule="exact"/>
        </w:trPr>
        <w:tc>
          <w:tcPr>
            <w:tcW w:w="964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3" w:firstLine="9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）货币自动处理 设备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1,821,890,128.84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1,097,234,565.91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39.77%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-1.12%</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ATM</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1,588,805,596.56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974,662,563.98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8"/>
              <w:jc w:val="center"/>
              <w:rPr>
                <w:rFonts w:ascii="Times New Roman" w:hAnsi="Times New Roman" w:cs="Times New Roman" w:eastAsia="Times New Roman" w:hint="default"/>
                <w:sz w:val="18"/>
                <w:szCs w:val="18"/>
              </w:rPr>
            </w:pPr>
            <w:r>
              <w:rPr>
                <w:rFonts w:ascii="Times New Roman"/>
                <w:sz w:val="18"/>
              </w:rPr>
              <w:t>AFC</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151,948,182.73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79,895,596.35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0.43%</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8" w:right="0"/>
              <w:jc w:val="left"/>
              <w:rPr>
                <w:rFonts w:ascii="宋体" w:hAnsi="宋体" w:cs="宋体" w:eastAsia="宋体" w:hint="default"/>
                <w:sz w:val="18"/>
                <w:szCs w:val="18"/>
              </w:rPr>
            </w:pPr>
            <w:r>
              <w:rPr>
                <w:rFonts w:ascii="宋体" w:hAnsi="宋体" w:cs="宋体" w:eastAsia="宋体" w:hint="default"/>
                <w:sz w:val="18"/>
                <w:szCs w:val="18"/>
              </w:rPr>
              <w:t>清分机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81,136,349.55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42,676,405.58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-40.81%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）设备配件</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367,186,794.81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146,817,623.03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营运</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50,753,147.59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38,457,510.83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160" w:left="980" w:right="0"/>
        </w:sectPr>
      </w:pPr>
    </w:p>
    <w:p>
      <w:pPr>
        <w:spacing w:line="240" w:lineRule="auto" w:before="8"/>
        <w:rPr>
          <w:rFonts w:ascii="宋体" w:hAnsi="宋体" w:cs="宋体" w:eastAsia="宋体" w:hint="default"/>
          <w:sz w:val="24"/>
          <w:szCs w:val="24"/>
        </w:rPr>
      </w:pPr>
    </w:p>
    <w:tbl>
      <w:tblPr>
        <w:tblW w:w="0" w:type="auto"/>
        <w:jc w:val="left"/>
        <w:tblInd w:w="207" w:type="dxa"/>
        <w:tblLayout w:type="fixed"/>
        <w:tblCellMar>
          <w:top w:w="0" w:type="dxa"/>
          <w:left w:w="0" w:type="dxa"/>
          <w:bottom w:w="0" w:type="dxa"/>
          <w:right w:w="0" w:type="dxa"/>
        </w:tblCellMar>
        <w:tblLook w:val="01E0"/>
      </w:tblPr>
      <w:tblGrid>
        <w:gridCol w:w="1702"/>
        <w:gridCol w:w="1561"/>
        <w:gridCol w:w="1699"/>
        <w:gridCol w:w="992"/>
        <w:gridCol w:w="1277"/>
        <w:gridCol w:w="1277"/>
        <w:gridCol w:w="1133"/>
      </w:tblGrid>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3" w:firstLine="9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）设备维护及服 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1,986,808,277.05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1,092,786,825.35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11.37%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0.60%</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1,232,343,420.44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824,618,707.23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7.62%</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5,458,981,768.73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3,199,915,232.35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-0.44%</w:t>
            </w:r>
          </w:p>
        </w:tc>
      </w:tr>
      <w:tr>
        <w:trPr>
          <w:trHeight w:val="402" w:hRule="exact"/>
        </w:trPr>
        <w:tc>
          <w:tcPr>
            <w:tcW w:w="964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4,856,209,365.52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2,852,981,408.93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29.03%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602,772,403.21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346,933,823.42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5,458,981,768.73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3,199,915,232.35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-0.44%</w:t>
            </w:r>
          </w:p>
        </w:tc>
      </w:tr>
    </w:tbl>
    <w:p>
      <w:pPr>
        <w:pStyle w:val="BodyText"/>
        <w:spacing w:line="240" w:lineRule="auto" w:before="49"/>
        <w:ind w:left="212" w:right="207"/>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2"/>
        <w:ind w:left="212" w:right="20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1544"/>
        <w:gridCol w:w="1577"/>
        <w:gridCol w:w="1560"/>
        <w:gridCol w:w="963"/>
        <w:gridCol w:w="1366"/>
        <w:gridCol w:w="1369"/>
        <w:gridCol w:w="1370"/>
      </w:tblGrid>
      <w:tr>
        <w:trPr>
          <w:trHeight w:val="713" w:hRule="exact"/>
        </w:trPr>
        <w:tc>
          <w:tcPr>
            <w:tcW w:w="1544"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28" w:right="134" w:hanging="89"/>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0" w:right="135" w:hanging="89"/>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319" w:right="139"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3" w:hRule="exact"/>
        </w:trPr>
        <w:tc>
          <w:tcPr>
            <w:tcW w:w="974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智能金融</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2,248,187,202.36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1,288,626,466.62</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z w:val="18"/>
              </w:rPr>
              <w:t>42.68%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5"/>
              <w:jc w:val="right"/>
              <w:rPr>
                <w:rFonts w:ascii="Times New Roman" w:hAnsi="Times New Roman" w:cs="Times New Roman" w:eastAsia="Times New Roman" w:hint="default"/>
                <w:sz w:val="18"/>
                <w:szCs w:val="18"/>
              </w:rPr>
            </w:pPr>
            <w:r>
              <w:rPr>
                <w:rFonts w:ascii="Times New Roman"/>
                <w:sz w:val="18"/>
              </w:rPr>
              <w:t>10.39%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6"/>
              <w:jc w:val="right"/>
              <w:rPr>
                <w:rFonts w:ascii="Times New Roman" w:hAnsi="Times New Roman" w:cs="Times New Roman" w:eastAsia="Times New Roman" w:hint="default"/>
                <w:sz w:val="18"/>
                <w:szCs w:val="18"/>
              </w:rPr>
            </w:pPr>
            <w:r>
              <w:rPr>
                <w:rFonts w:ascii="Times New Roman"/>
                <w:sz w:val="18"/>
              </w:rPr>
              <w:t>10.65%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-0.14%</w:t>
            </w:r>
          </w:p>
        </w:tc>
      </w:tr>
      <w:tr>
        <w:trPr>
          <w:trHeight w:val="403"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智能交通</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296,878,355.80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133,701,244.47</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54.96%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137.10%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115.07%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4.61%</w:t>
            </w:r>
          </w:p>
        </w:tc>
      </w:tr>
      <w:tr>
        <w:trPr>
          <w:trHeight w:val="401"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智能安全</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1,950,802,461.07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1,391,983,286.18</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z w:val="18"/>
              </w:rPr>
              <w:t>28.65%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5"/>
              <w:jc w:val="right"/>
              <w:rPr>
                <w:rFonts w:ascii="Times New Roman" w:hAnsi="Times New Roman" w:cs="Times New Roman" w:eastAsia="Times New Roman" w:hint="default"/>
                <w:sz w:val="18"/>
                <w:szCs w:val="18"/>
              </w:rPr>
            </w:pPr>
            <w:r>
              <w:rPr>
                <w:rFonts w:ascii="Times New Roman"/>
                <w:sz w:val="18"/>
              </w:rPr>
              <w:t>48.57%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6"/>
              <w:jc w:val="right"/>
              <w:rPr>
                <w:rFonts w:ascii="Times New Roman" w:hAnsi="Times New Roman" w:cs="Times New Roman" w:eastAsia="Times New Roman" w:hint="default"/>
                <w:sz w:val="18"/>
                <w:szCs w:val="18"/>
              </w:rPr>
            </w:pPr>
            <w:r>
              <w:rPr>
                <w:rFonts w:ascii="Times New Roman"/>
                <w:sz w:val="18"/>
              </w:rPr>
              <w:t>44.25%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2.14%</w:t>
            </w:r>
          </w:p>
        </w:tc>
      </w:tr>
      <w:tr>
        <w:trPr>
          <w:trHeight w:val="403"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智能便民</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825,908,085.02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307,954,884.04</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62.71%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9.87%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10.70%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-0.28%</w:t>
            </w:r>
          </w:p>
        </w:tc>
      </w:tr>
      <w:tr>
        <w:trPr>
          <w:trHeight w:val="401"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137,205,664.48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3"/>
              <w:jc w:val="right"/>
              <w:rPr>
                <w:rFonts w:ascii="Times New Roman" w:hAnsi="Times New Roman" w:cs="Times New Roman" w:eastAsia="Times New Roman" w:hint="default"/>
                <w:sz w:val="18"/>
                <w:szCs w:val="18"/>
              </w:rPr>
            </w:pPr>
            <w:r>
              <w:rPr>
                <w:rFonts w:ascii="Times New Roman"/>
                <w:spacing w:val="-1"/>
                <w:sz w:val="18"/>
              </w:rPr>
              <w:t>77,649,351.04</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Times New Roman" w:hAnsi="Times New Roman" w:cs="Times New Roman" w:eastAsia="Times New Roman" w:hint="default"/>
                <w:sz w:val="18"/>
                <w:szCs w:val="18"/>
              </w:rPr>
            </w:pPr>
            <w:r>
              <w:rPr>
                <w:rFonts w:ascii="Times New Roman"/>
                <w:sz w:val="18"/>
              </w:rPr>
              <w:t>43.41%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5"/>
              <w:jc w:val="right"/>
              <w:rPr>
                <w:rFonts w:ascii="Times New Roman" w:hAnsi="Times New Roman" w:cs="Times New Roman" w:eastAsia="Times New Roman" w:hint="default"/>
                <w:sz w:val="18"/>
                <w:szCs w:val="18"/>
              </w:rPr>
            </w:pPr>
            <w:r>
              <w:rPr>
                <w:rFonts w:ascii="Times New Roman"/>
                <w:sz w:val="18"/>
              </w:rPr>
              <w:t>-12.60%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Times New Roman" w:hAnsi="Times New Roman" w:cs="Times New Roman" w:eastAsia="Times New Roman" w:hint="default"/>
                <w:sz w:val="18"/>
                <w:szCs w:val="18"/>
              </w:rPr>
            </w:pPr>
            <w:r>
              <w:rPr>
                <w:rFonts w:ascii="Times New Roman"/>
                <w:sz w:val="18"/>
              </w:rPr>
              <w:t>-3.61%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z w:val="18"/>
              </w:rPr>
              <w:t>-5.28%</w:t>
            </w:r>
          </w:p>
        </w:tc>
      </w:tr>
      <w:tr>
        <w:trPr>
          <w:trHeight w:val="403"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5,458,981,768.73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3,199,915,232.35</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41.38%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24.53%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25.46%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-0.44%</w:t>
            </w:r>
          </w:p>
        </w:tc>
      </w:tr>
      <w:tr>
        <w:trPr>
          <w:trHeight w:val="401" w:hRule="exact"/>
        </w:trPr>
        <w:tc>
          <w:tcPr>
            <w:tcW w:w="9748" w:type="dxa"/>
            <w:gridSpan w:val="7"/>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、产品设备</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2,274,432,008.07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1,285,814,967.90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8"/>
              <w:jc w:val="right"/>
              <w:rPr>
                <w:rFonts w:ascii="Times New Roman" w:hAnsi="Times New Roman" w:cs="Times New Roman" w:eastAsia="Times New Roman" w:hint="default"/>
                <w:sz w:val="18"/>
                <w:szCs w:val="18"/>
              </w:rPr>
            </w:pPr>
            <w:r>
              <w:rPr>
                <w:rFonts w:ascii="Times New Roman"/>
                <w:sz w:val="18"/>
              </w:rPr>
              <w:t>43.47%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8"/>
              <w:jc w:val="right"/>
              <w:rPr>
                <w:rFonts w:ascii="Times New Roman" w:hAnsi="Times New Roman" w:cs="Times New Roman" w:eastAsia="Times New Roman" w:hint="default"/>
                <w:sz w:val="18"/>
                <w:szCs w:val="18"/>
              </w:rPr>
            </w:pPr>
            <w:r>
              <w:rPr>
                <w:rFonts w:ascii="Times New Roman"/>
                <w:sz w:val="18"/>
              </w:rPr>
              <w:t>2.62%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8"/>
              <w:jc w:val="right"/>
              <w:rPr>
                <w:rFonts w:ascii="Times New Roman" w:hAnsi="Times New Roman" w:cs="Times New Roman" w:eastAsia="Times New Roman" w:hint="default"/>
                <w:sz w:val="18"/>
                <w:szCs w:val="18"/>
              </w:rPr>
            </w:pPr>
            <w:r>
              <w:rPr>
                <w:rFonts w:ascii="Times New Roman"/>
                <w:sz w:val="18"/>
              </w:rPr>
              <w:t>3.74%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z w:val="18"/>
              </w:rPr>
              <w:t>-0.60%</w:t>
            </w:r>
          </w:p>
        </w:tc>
      </w:tr>
      <w:tr>
        <w:trPr>
          <w:trHeight w:val="401"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）金融设备</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1,892,198,567.85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1,110,350,944.47</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z w:val="18"/>
              </w:rPr>
              <w:t>41.32%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z w:val="18"/>
              </w:rPr>
              <w:t>-4.47%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z w:val="18"/>
              </w:rPr>
              <w:t>-1.71%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）其他设备</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382,233,440.22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175,464,023.43</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8"/>
              <w:jc w:val="right"/>
              <w:rPr>
                <w:rFonts w:ascii="Times New Roman" w:hAnsi="Times New Roman" w:cs="Times New Roman" w:eastAsia="Times New Roman" w:hint="default"/>
                <w:sz w:val="18"/>
                <w:szCs w:val="18"/>
              </w:rPr>
            </w:pPr>
            <w:r>
              <w:rPr>
                <w:rFonts w:ascii="Times New Roman"/>
                <w:sz w:val="18"/>
              </w:rPr>
              <w:t>54.10%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5"/>
              <w:jc w:val="right"/>
              <w:rPr>
                <w:rFonts w:ascii="Times New Roman" w:hAnsi="Times New Roman" w:cs="Times New Roman" w:eastAsia="Times New Roman" w:hint="default"/>
                <w:sz w:val="18"/>
                <w:szCs w:val="18"/>
              </w:rPr>
            </w:pPr>
            <w:r>
              <w:rPr>
                <w:rFonts w:ascii="Times New Roman"/>
                <w:sz w:val="18"/>
              </w:rPr>
              <w:t>62.27%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6"/>
              <w:jc w:val="right"/>
              <w:rPr>
                <w:rFonts w:ascii="Times New Roman" w:hAnsi="Times New Roman" w:cs="Times New Roman" w:eastAsia="Times New Roman" w:hint="default"/>
                <w:sz w:val="18"/>
                <w:szCs w:val="18"/>
              </w:rPr>
            </w:pPr>
            <w:r>
              <w:rPr>
                <w:rFonts w:ascii="Times New Roman"/>
                <w:sz w:val="18"/>
              </w:rPr>
              <w:t>59.74%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z w:val="18"/>
              </w:rPr>
              <w:t>0.73%</w:t>
            </w:r>
          </w:p>
        </w:tc>
      </w:tr>
      <w:tr>
        <w:trPr>
          <w:trHeight w:val="401"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、技术服务</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3,132,699,180.60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1,878,213,692.37</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z w:val="18"/>
              </w:rPr>
              <w:t>40.04%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5"/>
              <w:jc w:val="right"/>
              <w:rPr>
                <w:rFonts w:ascii="Times New Roman" w:hAnsi="Times New Roman" w:cs="Times New Roman" w:eastAsia="Times New Roman" w:hint="default"/>
                <w:sz w:val="18"/>
                <w:szCs w:val="18"/>
              </w:rPr>
            </w:pPr>
            <w:r>
              <w:rPr>
                <w:rFonts w:ascii="Times New Roman"/>
                <w:sz w:val="18"/>
              </w:rPr>
              <w:t>47.73%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6"/>
              <w:jc w:val="right"/>
              <w:rPr>
                <w:rFonts w:ascii="Times New Roman" w:hAnsi="Times New Roman" w:cs="Times New Roman" w:eastAsia="Times New Roman" w:hint="default"/>
                <w:sz w:val="18"/>
                <w:szCs w:val="18"/>
              </w:rPr>
            </w:pPr>
            <w:r>
              <w:rPr>
                <w:rFonts w:ascii="Times New Roman"/>
                <w:sz w:val="18"/>
              </w:rPr>
              <w:t>46.96%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z w:val="18"/>
              </w:rPr>
              <w:t>0.31%</w:t>
            </w:r>
          </w:p>
        </w:tc>
      </w:tr>
      <w:tr>
        <w:trPr>
          <w:trHeight w:val="403"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51,850,580.06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35,886,572.08</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8"/>
              <w:jc w:val="right"/>
              <w:rPr>
                <w:rFonts w:ascii="Times New Roman" w:hAnsi="Times New Roman" w:cs="Times New Roman" w:eastAsia="Times New Roman" w:hint="default"/>
                <w:sz w:val="18"/>
                <w:szCs w:val="18"/>
              </w:rPr>
            </w:pPr>
            <w:r>
              <w:rPr>
                <w:rFonts w:ascii="Times New Roman"/>
                <w:sz w:val="18"/>
              </w:rPr>
              <w:t>30.79%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5"/>
              <w:jc w:val="right"/>
              <w:rPr>
                <w:rFonts w:ascii="Times New Roman" w:hAnsi="Times New Roman" w:cs="Times New Roman" w:eastAsia="Times New Roman" w:hint="default"/>
                <w:sz w:val="18"/>
                <w:szCs w:val="18"/>
              </w:rPr>
            </w:pPr>
            <w:r>
              <w:rPr>
                <w:rFonts w:ascii="Times New Roman"/>
                <w:sz w:val="18"/>
              </w:rPr>
              <w:t>11.13%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8"/>
              <w:jc w:val="right"/>
              <w:rPr>
                <w:rFonts w:ascii="Times New Roman" w:hAnsi="Times New Roman" w:cs="Times New Roman" w:eastAsia="Times New Roman" w:hint="default"/>
                <w:sz w:val="18"/>
                <w:szCs w:val="18"/>
              </w:rPr>
            </w:pPr>
            <w:r>
              <w:rPr>
                <w:rFonts w:ascii="Times New Roman"/>
                <w:sz w:val="18"/>
              </w:rPr>
              <w:t>9.14%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z w:val="18"/>
              </w:rPr>
              <w:t>1.26%</w:t>
            </w:r>
          </w:p>
        </w:tc>
      </w:tr>
      <w:tr>
        <w:trPr>
          <w:trHeight w:val="401"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4"/>
              <w:jc w:val="right"/>
              <w:rPr>
                <w:rFonts w:ascii="Times New Roman" w:hAnsi="Times New Roman" w:cs="Times New Roman" w:eastAsia="Times New Roman" w:hint="default"/>
                <w:sz w:val="18"/>
                <w:szCs w:val="18"/>
              </w:rPr>
            </w:pPr>
            <w:r>
              <w:rPr>
                <w:rFonts w:ascii="Times New Roman"/>
                <w:spacing w:val="-1"/>
                <w:sz w:val="18"/>
              </w:rPr>
              <w:t>5,458,981,768.73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3"/>
              <w:jc w:val="right"/>
              <w:rPr>
                <w:rFonts w:ascii="Times New Roman" w:hAnsi="Times New Roman" w:cs="Times New Roman" w:eastAsia="Times New Roman" w:hint="default"/>
                <w:sz w:val="18"/>
                <w:szCs w:val="18"/>
              </w:rPr>
            </w:pPr>
            <w:r>
              <w:rPr>
                <w:rFonts w:ascii="Times New Roman"/>
                <w:spacing w:val="-1"/>
                <w:sz w:val="18"/>
              </w:rPr>
              <w:t>3,199,915,232.35</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Times New Roman" w:hAnsi="Times New Roman" w:cs="Times New Roman" w:eastAsia="Times New Roman" w:hint="default"/>
                <w:sz w:val="18"/>
                <w:szCs w:val="18"/>
              </w:rPr>
            </w:pPr>
            <w:r>
              <w:rPr>
                <w:rFonts w:ascii="Times New Roman"/>
                <w:sz w:val="18"/>
              </w:rPr>
              <w:t>41.38%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5"/>
              <w:jc w:val="right"/>
              <w:rPr>
                <w:rFonts w:ascii="Times New Roman" w:hAnsi="Times New Roman" w:cs="Times New Roman" w:eastAsia="Times New Roman" w:hint="default"/>
                <w:sz w:val="18"/>
                <w:szCs w:val="18"/>
              </w:rPr>
            </w:pPr>
            <w:r>
              <w:rPr>
                <w:rFonts w:ascii="Times New Roman"/>
                <w:sz w:val="18"/>
              </w:rPr>
              <w:t>24.53%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6"/>
              <w:jc w:val="right"/>
              <w:rPr>
                <w:rFonts w:ascii="Times New Roman" w:hAnsi="Times New Roman" w:cs="Times New Roman" w:eastAsia="Times New Roman" w:hint="default"/>
                <w:sz w:val="18"/>
                <w:szCs w:val="18"/>
              </w:rPr>
            </w:pPr>
            <w:r>
              <w:rPr>
                <w:rFonts w:ascii="Times New Roman"/>
                <w:sz w:val="18"/>
              </w:rPr>
              <w:t>25.46%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Times New Roman" w:hAnsi="Times New Roman" w:cs="Times New Roman" w:eastAsia="Times New Roman" w:hint="default"/>
                <w:sz w:val="18"/>
                <w:szCs w:val="18"/>
              </w:rPr>
            </w:pPr>
            <w:r>
              <w:rPr>
                <w:rFonts w:ascii="Times New Roman"/>
                <w:sz w:val="18"/>
              </w:rPr>
              <w:t>-0.44%</w:t>
            </w:r>
          </w:p>
        </w:tc>
      </w:tr>
      <w:tr>
        <w:trPr>
          <w:trHeight w:val="403" w:hRule="exact"/>
        </w:trPr>
        <w:tc>
          <w:tcPr>
            <w:tcW w:w="9748" w:type="dxa"/>
            <w:gridSpan w:val="7"/>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4,915,468,523.46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2,884,006,756.85</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z w:val="18"/>
              </w:rPr>
              <w:t>41.33%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5"/>
              <w:jc w:val="right"/>
              <w:rPr>
                <w:rFonts w:ascii="Times New Roman" w:hAnsi="Times New Roman" w:cs="Times New Roman" w:eastAsia="Times New Roman" w:hint="default"/>
                <w:sz w:val="18"/>
                <w:szCs w:val="18"/>
              </w:rPr>
            </w:pPr>
            <w:r>
              <w:rPr>
                <w:rFonts w:ascii="Times New Roman"/>
                <w:sz w:val="18"/>
              </w:rPr>
              <w:t>29.28%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6"/>
              <w:jc w:val="right"/>
              <w:rPr>
                <w:rFonts w:ascii="Times New Roman" w:hAnsi="Times New Roman" w:cs="Times New Roman" w:eastAsia="Times New Roman" w:hint="default"/>
                <w:sz w:val="18"/>
                <w:szCs w:val="18"/>
              </w:rPr>
            </w:pPr>
            <w:r>
              <w:rPr>
                <w:rFonts w:ascii="Times New Roman"/>
                <w:sz w:val="18"/>
              </w:rPr>
              <w:t>29.24%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0.02%</w:t>
            </w:r>
          </w:p>
        </w:tc>
      </w:tr>
      <w:tr>
        <w:trPr>
          <w:trHeight w:val="403"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543,513,245.27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315,908,475.50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8"/>
              <w:jc w:val="right"/>
              <w:rPr>
                <w:rFonts w:ascii="Times New Roman" w:hAnsi="Times New Roman" w:cs="Times New Roman" w:eastAsia="Times New Roman" w:hint="default"/>
                <w:sz w:val="18"/>
                <w:szCs w:val="18"/>
              </w:rPr>
            </w:pPr>
            <w:r>
              <w:rPr>
                <w:rFonts w:ascii="Times New Roman"/>
                <w:sz w:val="18"/>
              </w:rPr>
              <w:t>41.88%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-3.25%</w:t>
            </w:r>
          </w:p>
        </w:tc>
      </w:tr>
      <w:tr>
        <w:trPr>
          <w:trHeight w:val="401"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5,458,981,768.73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3,199,915,232.35</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z w:val="18"/>
              </w:rPr>
              <w:t>41.38%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5"/>
              <w:jc w:val="right"/>
              <w:rPr>
                <w:rFonts w:ascii="Times New Roman" w:hAnsi="Times New Roman" w:cs="Times New Roman" w:eastAsia="Times New Roman" w:hint="default"/>
                <w:sz w:val="18"/>
                <w:szCs w:val="18"/>
              </w:rPr>
            </w:pPr>
            <w:r>
              <w:rPr>
                <w:rFonts w:ascii="Times New Roman"/>
                <w:sz w:val="18"/>
              </w:rPr>
              <w:t>24.53%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6"/>
              <w:jc w:val="right"/>
              <w:rPr>
                <w:rFonts w:ascii="Times New Roman" w:hAnsi="Times New Roman" w:cs="Times New Roman" w:eastAsia="Times New Roman" w:hint="default"/>
                <w:sz w:val="18"/>
                <w:szCs w:val="18"/>
              </w:rPr>
            </w:pPr>
            <w:r>
              <w:rPr>
                <w:rFonts w:ascii="Times New Roman"/>
                <w:sz w:val="18"/>
              </w:rPr>
              <w:t>25.46%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-0.44%</w:t>
            </w:r>
          </w:p>
        </w:tc>
      </w:tr>
    </w:tbl>
    <w:p>
      <w:pPr>
        <w:pStyle w:val="BodyText"/>
        <w:spacing w:line="360" w:lineRule="auto" w:before="49"/>
        <w:ind w:left="486" w:right="207" w:hanging="275"/>
        <w:jc w:val="left"/>
      </w:pPr>
      <w:r>
        <w:rPr/>
        <w:t>变更口径的理由 </w:t>
      </w:r>
      <w:r>
        <w:rPr>
          <w:spacing w:val="-4"/>
        </w:rPr>
        <w:t>随着新一代科技革命的兴起，公司主动变革，把人工智能技术作为提升客户业务运营效率和质量的关键，全面布局场景、</w:t>
      </w:r>
    </w:p>
    <w:p>
      <w:pPr>
        <w:pStyle w:val="BodyText"/>
        <w:spacing w:line="222" w:lineRule="exact"/>
        <w:ind w:left="212" w:right="207"/>
        <w:jc w:val="left"/>
      </w:pPr>
      <w:r>
        <w:rPr/>
        <w:t>数据、算法及算力四大人工智能要素，积极构建面向未来的竞争力，战略聚焦智能金融、智能交通、智能安全、智能便民四</w:t>
      </w:r>
    </w:p>
    <w:p>
      <w:pPr>
        <w:pStyle w:val="BodyText"/>
        <w:spacing w:line="357" w:lineRule="auto" w:before="76"/>
        <w:ind w:left="212" w:right="1129"/>
        <w:jc w:val="left"/>
      </w:pPr>
      <w:r>
        <w:rPr>
          <w:spacing w:val="-5"/>
        </w:rPr>
        <w:t>大领域，科技赋能并推动传统产业升级。为顺应公司战略升级需要，公司对分行业、分产品、分地区的类别进行了重新划分。</w:t>
      </w:r>
      <w:r>
        <w:rPr>
          <w:spacing w:val="-80"/>
        </w:rPr>
        <w:t> </w:t>
      </w:r>
      <w:r>
        <w:rPr>
          <w:spacing w:val="-80"/>
        </w:rPr>
      </w: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6"/>
        <w:ind w:left="212" w:right="207"/>
        <w:jc w:val="left"/>
      </w:pPr>
      <w:r>
        <w:rPr/>
        <w:t>行业分类情况说明：</w:t>
      </w:r>
    </w:p>
    <w:p>
      <w:pPr>
        <w:spacing w:after="0" w:line="240" w:lineRule="auto"/>
        <w:jc w:val="left"/>
        <w:sectPr>
          <w:pgSz w:w="11910" w:h="16840"/>
          <w:pgMar w:header="877" w:footer="979" w:top="1100" w:bottom="1160" w:left="920" w:right="0"/>
        </w:sectPr>
      </w:pPr>
    </w:p>
    <w:p>
      <w:pPr>
        <w:spacing w:line="240" w:lineRule="auto" w:before="11"/>
        <w:rPr>
          <w:rFonts w:ascii="宋体" w:hAnsi="宋体" w:cs="宋体" w:eastAsia="宋体" w:hint="default"/>
          <w:sz w:val="21"/>
          <w:szCs w:val="21"/>
        </w:rPr>
      </w:pPr>
    </w:p>
    <w:p>
      <w:pPr>
        <w:pStyle w:val="BodyText"/>
        <w:spacing w:line="300" w:lineRule="auto" w:before="44"/>
        <w:ind w:right="1123" w:firstLine="360"/>
        <w:jc w:val="left"/>
      </w:pPr>
      <w:r>
        <w:rPr/>
        <w:t>①智能交通营业收入 </w:t>
      </w:r>
      <w:r>
        <w:rPr>
          <w:rFonts w:ascii="Times New Roman" w:hAnsi="Times New Roman" w:cs="Times New Roman" w:eastAsia="Times New Roman" w:hint="default"/>
        </w:rPr>
        <w:t>29,687.84 </w:t>
      </w:r>
      <w:r>
        <w:rPr/>
        <w:t>万元，比上年同期增长</w:t>
      </w:r>
      <w:r>
        <w:rPr>
          <w:spacing w:val="-59"/>
        </w:rPr>
        <w:t> </w:t>
      </w:r>
      <w:r>
        <w:rPr>
          <w:rFonts w:ascii="Times New Roman" w:hAnsi="Times New Roman" w:cs="Times New Roman" w:eastAsia="Times New Roman" w:hint="default"/>
        </w:rPr>
        <w:t>137.10%</w:t>
      </w:r>
      <w:r>
        <w:rPr/>
        <w:t>，主要是城市轨道交通行业整体保持较快增速；销售毛 利率同比上升</w:t>
      </w:r>
      <w:r>
        <w:rPr>
          <w:spacing w:val="-46"/>
        </w:rPr>
        <w:t> </w:t>
      </w:r>
      <w:r>
        <w:rPr>
          <w:rFonts w:ascii="Times New Roman" w:hAnsi="Times New Roman" w:cs="Times New Roman" w:eastAsia="Times New Roman" w:hint="default"/>
        </w:rPr>
        <w:t>4.61</w:t>
      </w:r>
      <w:r>
        <w:rPr>
          <w:rFonts w:ascii="Times New Roman" w:hAnsi="Times New Roman" w:cs="Times New Roman" w:eastAsia="Times New Roman" w:hint="default"/>
          <w:spacing w:val="-1"/>
        </w:rPr>
        <w:t> </w:t>
      </w:r>
      <w:r>
        <w:rPr/>
        <w:t>个百分点，主要是产品销售结构变化及优化核心模块所致。</w:t>
      </w:r>
    </w:p>
    <w:p>
      <w:pPr>
        <w:pStyle w:val="BodyText"/>
        <w:spacing w:line="300" w:lineRule="auto" w:before="53"/>
        <w:ind w:right="1160" w:firstLine="360"/>
        <w:jc w:val="left"/>
      </w:pPr>
      <w:r>
        <w:rPr/>
        <w:t>②智能安全营业收入</w:t>
      </w:r>
      <w:r>
        <w:rPr>
          <w:spacing w:val="-48"/>
        </w:rPr>
        <w:t> </w:t>
      </w:r>
      <w:r>
        <w:rPr>
          <w:rFonts w:ascii="Times New Roman" w:hAnsi="Times New Roman" w:cs="Times New Roman" w:eastAsia="Times New Roman" w:hint="default"/>
        </w:rPr>
        <w:t>195,080.25 </w:t>
      </w:r>
      <w:r>
        <w:rPr/>
        <w:t>万元，比上年同期增长</w:t>
      </w:r>
      <w:r>
        <w:rPr>
          <w:spacing w:val="-48"/>
        </w:rPr>
        <w:t> </w:t>
      </w:r>
      <w:r>
        <w:rPr>
          <w:rFonts w:ascii="Times New Roman" w:hAnsi="Times New Roman" w:cs="Times New Roman" w:eastAsia="Times New Roman" w:hint="default"/>
        </w:rPr>
        <w:t>48.57%</w:t>
      </w:r>
      <w:r>
        <w:rPr/>
        <w:t>，主要是通过并购切入公共安全新领域，继续保持较快 增长势头；销售毛利率同比上升</w:t>
      </w:r>
      <w:r>
        <w:rPr>
          <w:spacing w:val="-47"/>
        </w:rPr>
        <w:t> </w:t>
      </w:r>
      <w:r>
        <w:rPr>
          <w:rFonts w:ascii="Times New Roman" w:hAnsi="Times New Roman" w:cs="Times New Roman" w:eastAsia="Times New Roman" w:hint="default"/>
        </w:rPr>
        <w:t>2.14</w:t>
      </w:r>
      <w:r>
        <w:rPr>
          <w:rFonts w:ascii="Times New Roman" w:hAnsi="Times New Roman" w:cs="Times New Roman" w:eastAsia="Times New Roman" w:hint="default"/>
          <w:spacing w:val="-1"/>
        </w:rPr>
        <w:t> </w:t>
      </w:r>
      <w:r>
        <w:rPr/>
        <w:t>个百分点，主要是降本增效所致。</w:t>
      </w:r>
    </w:p>
    <w:p>
      <w:pPr>
        <w:pStyle w:val="BodyText"/>
        <w:spacing w:line="240" w:lineRule="auto" w:before="51"/>
        <w:ind w:right="1034"/>
        <w:jc w:val="left"/>
      </w:pPr>
      <w:r>
        <w:rPr/>
        <w:t>产品分类情况说明：</w:t>
      </w:r>
    </w:p>
    <w:p>
      <w:pPr>
        <w:pStyle w:val="BodyText"/>
        <w:spacing w:line="300" w:lineRule="auto" w:before="117"/>
        <w:ind w:right="1247" w:firstLine="360"/>
        <w:jc w:val="left"/>
      </w:pPr>
      <w:r>
        <w:rPr/>
        <w:t>①其他设备营业收入</w:t>
      </w:r>
      <w:r>
        <w:rPr>
          <w:spacing w:val="-46"/>
        </w:rPr>
        <w:t> </w:t>
      </w:r>
      <w:r>
        <w:rPr>
          <w:rFonts w:ascii="Times New Roman" w:hAnsi="Times New Roman" w:cs="Times New Roman" w:eastAsia="Times New Roman" w:hint="default"/>
        </w:rPr>
        <w:t>38,223.34</w:t>
      </w:r>
      <w:r>
        <w:rPr>
          <w:rFonts w:ascii="Times New Roman" w:hAnsi="Times New Roman" w:cs="Times New Roman" w:eastAsia="Times New Roman" w:hint="default"/>
          <w:spacing w:val="-1"/>
        </w:rPr>
        <w:t> </w:t>
      </w:r>
      <w:r>
        <w:rPr/>
        <w:t>万元，比上年同期增长</w:t>
      </w:r>
      <w:r>
        <w:rPr>
          <w:spacing w:val="-46"/>
        </w:rPr>
        <w:t> </w:t>
      </w:r>
      <w:r>
        <w:rPr>
          <w:rFonts w:ascii="Times New Roman" w:hAnsi="Times New Roman" w:cs="Times New Roman" w:eastAsia="Times New Roman" w:hint="default"/>
        </w:rPr>
        <w:t>62.27%</w:t>
      </w:r>
      <w:r>
        <w:rPr/>
        <w:t>，主要是智能交通行业增长所致；销售毛利率同比上升 </w:t>
      </w:r>
      <w:r>
        <w:rPr>
          <w:rFonts w:ascii="Times New Roman" w:hAnsi="Times New Roman" w:cs="Times New Roman" w:eastAsia="Times New Roman" w:hint="default"/>
        </w:rPr>
        <w:t>0.73</w:t>
      </w:r>
      <w:r>
        <w:rPr>
          <w:rFonts w:ascii="Times New Roman" w:hAnsi="Times New Roman" w:cs="Times New Roman" w:eastAsia="Times New Roman" w:hint="default"/>
          <w:spacing w:val="-2"/>
        </w:rPr>
        <w:t> </w:t>
      </w:r>
      <w:r>
        <w:rPr/>
        <w:t>个百分点，主要是产品销售结构变化及优化核心模块所致。</w:t>
      </w:r>
    </w:p>
    <w:p>
      <w:pPr>
        <w:pStyle w:val="BodyText"/>
        <w:spacing w:line="300" w:lineRule="auto" w:before="53"/>
        <w:ind w:right="1160" w:firstLine="360"/>
        <w:jc w:val="left"/>
      </w:pPr>
      <w:r>
        <w:rPr/>
        <w:t>②技术服务营业收入</w:t>
      </w:r>
      <w:r>
        <w:rPr>
          <w:spacing w:val="-48"/>
        </w:rPr>
        <w:t> </w:t>
      </w:r>
      <w:r>
        <w:rPr>
          <w:rFonts w:ascii="Times New Roman" w:hAnsi="Times New Roman" w:cs="Times New Roman" w:eastAsia="Times New Roman" w:hint="default"/>
        </w:rPr>
        <w:t>313,269.92 </w:t>
      </w:r>
      <w:r>
        <w:rPr/>
        <w:t>万元，比上年同期增长</w:t>
      </w:r>
      <w:r>
        <w:rPr>
          <w:spacing w:val="-48"/>
        </w:rPr>
        <w:t> </w:t>
      </w:r>
      <w:r>
        <w:rPr>
          <w:rFonts w:ascii="Times New Roman" w:hAnsi="Times New Roman" w:cs="Times New Roman" w:eastAsia="Times New Roman" w:hint="default"/>
        </w:rPr>
        <w:t>47.73%</w:t>
      </w:r>
      <w:r>
        <w:rPr/>
        <w:t>，主要是智能安全行业增长所致；销售毛利率同比上升 </w:t>
      </w:r>
      <w:r>
        <w:rPr>
          <w:rFonts w:ascii="Times New Roman" w:hAnsi="Times New Roman" w:cs="Times New Roman" w:eastAsia="Times New Roman" w:hint="default"/>
        </w:rPr>
        <w:t>0.31</w:t>
      </w:r>
      <w:r>
        <w:rPr>
          <w:rFonts w:ascii="Times New Roman" w:hAnsi="Times New Roman" w:cs="Times New Roman" w:eastAsia="Times New Roman" w:hint="default"/>
          <w:spacing w:val="-3"/>
        </w:rPr>
        <w:t> </w:t>
      </w:r>
      <w:r>
        <w:rPr/>
        <w:t>个百分点，主要是降本增效及并购的智能财政领域毛利率较高所致。</w:t>
      </w:r>
    </w:p>
    <w:p>
      <w:pPr>
        <w:spacing w:line="240" w:lineRule="auto" w:before="10"/>
        <w:rPr>
          <w:rFonts w:ascii="宋体" w:hAnsi="宋体" w:cs="宋体" w:eastAsia="宋体" w:hint="default"/>
          <w:sz w:val="22"/>
          <w:szCs w:val="22"/>
        </w:rPr>
      </w:pPr>
    </w:p>
    <w:p>
      <w:pPr>
        <w:pStyle w:val="Heading4"/>
        <w:spacing w:line="240" w:lineRule="auto"/>
        <w:ind w:right="1034"/>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0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9"/>
        <w:rPr>
          <w:rFonts w:ascii="宋体" w:hAnsi="宋体" w:cs="宋体" w:eastAsia="宋体" w:hint="default"/>
          <w:sz w:val="26"/>
          <w:szCs w:val="26"/>
        </w:rPr>
      </w:pPr>
    </w:p>
    <w:p>
      <w:pPr>
        <w:pStyle w:val="Heading4"/>
        <w:spacing w:line="240" w:lineRule="auto"/>
        <w:ind w:right="1034"/>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6"/>
          <w:szCs w:val="26"/>
        </w:rPr>
      </w:pPr>
    </w:p>
    <w:p>
      <w:pPr>
        <w:pStyle w:val="Heading4"/>
        <w:spacing w:line="240" w:lineRule="auto"/>
        <w:ind w:right="1034"/>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right="1034"/>
        <w:jc w:val="left"/>
      </w:pPr>
      <w:r>
        <w:rPr/>
        <w:t>行业和产品分类</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1275"/>
        <w:gridCol w:w="1560"/>
        <w:gridCol w:w="1419"/>
        <w:gridCol w:w="1418"/>
        <w:gridCol w:w="1417"/>
        <w:gridCol w:w="924"/>
      </w:tblGrid>
      <w:tr>
        <w:trPr>
          <w:trHeight w:val="401"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0"/>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92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智能金融</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1,288,626,466.62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z w:val="18"/>
              </w:rPr>
              <w:t>40.27%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1,164,572,075.56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
              <w:jc w:val="right"/>
              <w:rPr>
                <w:rFonts w:ascii="Times New Roman" w:hAnsi="Times New Roman" w:cs="Times New Roman" w:eastAsia="Times New Roman" w:hint="default"/>
                <w:sz w:val="18"/>
                <w:szCs w:val="18"/>
              </w:rPr>
            </w:pPr>
            <w:r>
              <w:rPr>
                <w:rFonts w:ascii="Times New Roman"/>
                <w:sz w:val="18"/>
              </w:rPr>
              <w:t>45.66%</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
              <w:jc w:val="right"/>
              <w:rPr>
                <w:rFonts w:ascii="Times New Roman" w:hAnsi="Times New Roman" w:cs="Times New Roman" w:eastAsia="Times New Roman" w:hint="default"/>
                <w:sz w:val="18"/>
                <w:szCs w:val="18"/>
              </w:rPr>
            </w:pPr>
            <w:r>
              <w:rPr>
                <w:rFonts w:ascii="Times New Roman"/>
                <w:sz w:val="18"/>
              </w:rPr>
              <w:t>10.65%</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智能交通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133,701,244.47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62,165,817.09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115.07%</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智能安全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1,391,983,286.18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z w:val="18"/>
              </w:rPr>
              <w:t>43.50%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964,994,820.56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
              <w:jc w:val="right"/>
              <w:rPr>
                <w:rFonts w:ascii="Times New Roman" w:hAnsi="Times New Roman" w:cs="Times New Roman" w:eastAsia="Times New Roman" w:hint="default"/>
                <w:sz w:val="18"/>
                <w:szCs w:val="18"/>
              </w:rPr>
            </w:pPr>
            <w:r>
              <w:rPr>
                <w:rFonts w:ascii="Times New Roman"/>
                <w:sz w:val="18"/>
              </w:rPr>
              <w:t>37.83%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
              <w:jc w:val="right"/>
              <w:rPr>
                <w:rFonts w:ascii="Times New Roman" w:hAnsi="Times New Roman" w:cs="Times New Roman" w:eastAsia="Times New Roman" w:hint="default"/>
                <w:sz w:val="18"/>
                <w:szCs w:val="18"/>
              </w:rPr>
            </w:pPr>
            <w:r>
              <w:rPr>
                <w:rFonts w:ascii="Times New Roman"/>
                <w:sz w:val="18"/>
              </w:rPr>
              <w:t>44.25%</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智能便民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307,954,884.04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278,176,914.14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10.91%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10.70%</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77,649,351.04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z w:val="18"/>
              </w:rPr>
              <w:t>2.43%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80,555,709.05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z w:val="18"/>
              </w:rPr>
              <w:t>3.16%</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z w:val="18"/>
              </w:rPr>
              <w:t>-3.61%</w:t>
            </w:r>
          </w:p>
        </w:tc>
      </w:tr>
      <w:tr>
        <w:trPr>
          <w:trHeight w:val="40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tabs>
                <w:tab w:pos="914" w:val="left" w:leader="none"/>
              </w:tabs>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3,199,915,232.35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2,550,465,336.40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25.46%</w:t>
            </w:r>
          </w:p>
        </w:tc>
      </w:tr>
    </w:tbl>
    <w:p>
      <w:pPr>
        <w:pStyle w:val="BodyText"/>
        <w:spacing w:line="240" w:lineRule="auto" w:before="49"/>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1275"/>
        <w:gridCol w:w="1560"/>
        <w:gridCol w:w="1419"/>
        <w:gridCol w:w="1418"/>
        <w:gridCol w:w="1397"/>
        <w:gridCol w:w="1010"/>
      </w:tblGrid>
      <w:tr>
        <w:trPr>
          <w:trHeight w:val="403"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01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、金融设备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1,110,350,944.47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1,129,660,356.50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44.29%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、其他设备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175,464,023.43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z w:val="18"/>
              </w:rPr>
              <w:t>5.48%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109,841,515.94</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
              <w:jc w:val="right"/>
              <w:rPr>
                <w:rFonts w:ascii="Times New Roman" w:hAnsi="Times New Roman" w:cs="Times New Roman" w:eastAsia="Times New Roman" w:hint="default"/>
                <w:sz w:val="18"/>
                <w:szCs w:val="18"/>
              </w:rPr>
            </w:pPr>
            <w:r>
              <w:rPr>
                <w:rFonts w:ascii="Times New Roman"/>
                <w:sz w:val="18"/>
              </w:rPr>
              <w:t>4.31%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
              <w:jc w:val="right"/>
              <w:rPr>
                <w:rFonts w:ascii="Times New Roman" w:hAnsi="Times New Roman" w:cs="Times New Roman" w:eastAsia="Times New Roman" w:hint="default"/>
                <w:sz w:val="18"/>
                <w:szCs w:val="18"/>
              </w:rPr>
            </w:pPr>
            <w:r>
              <w:rPr>
                <w:rFonts w:ascii="Times New Roman"/>
                <w:sz w:val="18"/>
              </w:rPr>
              <w:t>59.74%</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、技术服务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1,878,213,692.37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1,278,083,453.76</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50.11%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46.96%</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35,886,572.08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z w:val="18"/>
              </w:rPr>
              <w:t>1.12%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32,880,010.20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
              <w:jc w:val="right"/>
              <w:rPr>
                <w:rFonts w:ascii="Times New Roman" w:hAnsi="Times New Roman" w:cs="Times New Roman" w:eastAsia="Times New Roman" w:hint="default"/>
                <w:sz w:val="18"/>
                <w:szCs w:val="18"/>
              </w:rPr>
            </w:pPr>
            <w:r>
              <w:rPr>
                <w:rFonts w:ascii="Times New Roman"/>
                <w:sz w:val="18"/>
              </w:rPr>
              <w:t>1.29%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z w:val="18"/>
              </w:rPr>
              <w:t>9.14%</w:t>
            </w:r>
          </w:p>
        </w:tc>
      </w:tr>
      <w:tr>
        <w:trPr>
          <w:trHeight w:val="40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tabs>
                <w:tab w:pos="914" w:val="left" w:leader="none"/>
              </w:tabs>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3,199,915,232.35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2,550,465,336.40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25.46%</w:t>
            </w:r>
          </w:p>
        </w:tc>
      </w:tr>
    </w:tbl>
    <w:p>
      <w:pPr>
        <w:pStyle w:val="BodyText"/>
        <w:spacing w:line="240" w:lineRule="auto" w:before="49"/>
        <w:ind w:left="244" w:right="1034"/>
        <w:jc w:val="left"/>
      </w:pPr>
      <w:r>
        <w:rPr/>
        <w:t>金融设备相关成本构成说明：</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6"/>
          <w:szCs w:val="26"/>
        </w:rPr>
      </w:pPr>
    </w:p>
    <w:tbl>
      <w:tblPr>
        <w:tblW w:w="0" w:type="auto"/>
        <w:jc w:val="left"/>
        <w:tblInd w:w="203" w:type="dxa"/>
        <w:tblLayout w:type="fixed"/>
        <w:tblCellMar>
          <w:top w:w="0" w:type="dxa"/>
          <w:left w:w="0" w:type="dxa"/>
          <w:bottom w:w="0" w:type="dxa"/>
          <w:right w:w="0" w:type="dxa"/>
        </w:tblCellMar>
        <w:tblLook w:val="01E0"/>
      </w:tblPr>
      <w:tblGrid>
        <w:gridCol w:w="4134"/>
        <w:gridCol w:w="2583"/>
        <w:gridCol w:w="2813"/>
      </w:tblGrid>
      <w:tr>
        <w:trPr>
          <w:trHeight w:val="392" w:hRule="exact"/>
        </w:trPr>
        <w:tc>
          <w:tcPr>
            <w:tcW w:w="4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成本要素</w:t>
            </w:r>
          </w:p>
        </w:tc>
        <w:tc>
          <w:tcPr>
            <w:tcW w:w="2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63" w:hRule="exact"/>
        </w:trPr>
        <w:tc>
          <w:tcPr>
            <w:tcW w:w="4134"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直接材料</w:t>
            </w:r>
          </w:p>
        </w:tc>
        <w:tc>
          <w:tcPr>
            <w:tcW w:w="2583"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129"/>
              <w:ind w:right="16"/>
              <w:jc w:val="right"/>
              <w:rPr>
                <w:rFonts w:ascii="Times New Roman" w:hAnsi="Times New Roman" w:cs="Times New Roman" w:eastAsia="Times New Roman" w:hint="default"/>
                <w:sz w:val="18"/>
                <w:szCs w:val="18"/>
              </w:rPr>
            </w:pPr>
            <w:r>
              <w:rPr>
                <w:rFonts w:ascii="Times New Roman"/>
                <w:sz w:val="18"/>
              </w:rPr>
              <w:t>89.17%</w:t>
            </w:r>
          </w:p>
        </w:tc>
        <w:tc>
          <w:tcPr>
            <w:tcW w:w="2813"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z w:val="18"/>
              </w:rPr>
              <w:t>90.84%</w:t>
            </w:r>
          </w:p>
        </w:tc>
      </w:tr>
      <w:tr>
        <w:trPr>
          <w:trHeight w:val="430" w:hRule="exact"/>
        </w:trPr>
        <w:tc>
          <w:tcPr>
            <w:tcW w:w="4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直接人工</w:t>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4.04%</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3.31%</w:t>
            </w:r>
          </w:p>
        </w:tc>
      </w:tr>
      <w:tr>
        <w:trPr>
          <w:trHeight w:val="430" w:hRule="exact"/>
        </w:trPr>
        <w:tc>
          <w:tcPr>
            <w:tcW w:w="4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6.79%</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5.85%</w:t>
            </w:r>
          </w:p>
        </w:tc>
      </w:tr>
      <w:tr>
        <w:trPr>
          <w:trHeight w:val="444" w:hRule="exact"/>
        </w:trPr>
        <w:tc>
          <w:tcPr>
            <w:tcW w:w="4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8"/>
        <w:rPr>
          <w:rFonts w:ascii="宋体" w:hAnsi="宋体" w:cs="宋体" w:eastAsia="宋体" w:hint="default"/>
          <w:sz w:val="19"/>
          <w:szCs w:val="19"/>
        </w:rPr>
      </w:pPr>
    </w:p>
    <w:p>
      <w:pPr>
        <w:pStyle w:val="Heading4"/>
        <w:spacing w:line="240" w:lineRule="auto" w:before="37"/>
        <w:ind w:right="1034"/>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0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BodyText"/>
        <w:spacing w:line="304" w:lineRule="auto" w:before="102"/>
        <w:ind w:right="1133" w:firstLine="360"/>
        <w:jc w:val="both"/>
      </w:pPr>
      <w:r>
        <w:rPr/>
        <w:t>与上年度相比本年度新增合并单位</w:t>
      </w:r>
      <w:r>
        <w:rPr>
          <w:rFonts w:ascii="Times New Roman" w:hAnsi="Times New Roman" w:cs="Times New Roman" w:eastAsia="Times New Roman" w:hint="default"/>
        </w:rPr>
        <w:t>15</w:t>
      </w:r>
      <w:r>
        <w:rPr/>
        <w:t>家，减少合并单位</w:t>
      </w:r>
      <w:r>
        <w:rPr>
          <w:rFonts w:ascii="Times New Roman" w:hAnsi="Times New Roman" w:cs="Times New Roman" w:eastAsia="Times New Roman" w:hint="default"/>
        </w:rPr>
        <w:t>2</w:t>
      </w:r>
      <w:r>
        <w:rPr/>
        <w:t>家，原因为：新设立</w:t>
      </w:r>
      <w:r>
        <w:rPr>
          <w:rFonts w:ascii="Times New Roman" w:hAnsi="Times New Roman" w:cs="Times New Roman" w:eastAsia="Times New Roman" w:hint="default"/>
        </w:rPr>
        <w:t>5</w:t>
      </w:r>
      <w:r>
        <w:rPr/>
        <w:t>家公司</w:t>
      </w:r>
      <w:r>
        <w:rPr>
          <w:rFonts w:ascii="Times New Roman" w:hAnsi="Times New Roman" w:cs="Times New Roman" w:eastAsia="Times New Roman" w:hint="default"/>
        </w:rPr>
        <w:t>-</w:t>
      </w:r>
      <w:r>
        <w:rPr/>
        <w:t>运通购快、成都平云小匠网络有 限公司、</w:t>
      </w:r>
      <w:r>
        <w:rPr>
          <w:rFonts w:ascii="Times New Roman" w:hAnsi="Times New Roman" w:cs="Times New Roman" w:eastAsia="Times New Roman" w:hint="default"/>
        </w:rPr>
        <w:t>GRG AMERICA INC.</w:t>
      </w:r>
      <w:r>
        <w:rPr/>
        <w:t>（</w:t>
      </w:r>
      <w:r>
        <w:rPr>
          <w:rFonts w:ascii="Times New Roman" w:hAnsi="Times New Roman" w:cs="Times New Roman" w:eastAsia="Times New Roman" w:hint="default"/>
        </w:rPr>
        <w:t>GRG</w:t>
      </w:r>
      <w:r>
        <w:rPr/>
        <w:t>美国）、</w:t>
      </w:r>
      <w:r>
        <w:rPr>
          <w:rFonts w:ascii="Times New Roman" w:hAnsi="Times New Roman" w:cs="Times New Roman" w:eastAsia="Times New Roman" w:hint="default"/>
        </w:rPr>
        <w:t>GRGBanking</w:t>
      </w:r>
      <w:r>
        <w:rPr>
          <w:rFonts w:ascii="Times New Roman" w:hAnsi="Times New Roman" w:cs="Times New Roman" w:eastAsia="Times New Roman" w:hint="default"/>
          <w:spacing w:val="-8"/>
        </w:rPr>
        <w:t> </w:t>
      </w:r>
      <w:r>
        <w:rPr>
          <w:rFonts w:ascii="Times New Roman" w:hAnsi="Times New Roman" w:cs="Times New Roman" w:eastAsia="Times New Roman" w:hint="default"/>
        </w:rPr>
        <w:t>LLC.</w:t>
      </w:r>
      <w:r>
        <w:rPr/>
        <w:t>（</w:t>
      </w:r>
      <w:r>
        <w:rPr>
          <w:rFonts w:ascii="Times New Roman" w:hAnsi="Times New Roman" w:cs="Times New Roman" w:eastAsia="Times New Roman" w:hint="default"/>
        </w:rPr>
        <w:t>GRG</w:t>
      </w:r>
      <w:r>
        <w:rPr/>
        <w:t>俄罗斯）、广电运通国际商贸（广州）有限公司， 并购</w:t>
      </w:r>
      <w:r>
        <w:rPr>
          <w:rFonts w:ascii="Times New Roman" w:hAnsi="Times New Roman" w:cs="Times New Roman" w:eastAsia="Times New Roman" w:hint="default"/>
        </w:rPr>
        <w:t>10</w:t>
      </w:r>
      <w:r>
        <w:rPr/>
        <w:t>家公司</w:t>
      </w:r>
      <w:r>
        <w:rPr>
          <w:rFonts w:ascii="Times New Roman" w:hAnsi="Times New Roman" w:cs="Times New Roman" w:eastAsia="Times New Roman" w:hint="default"/>
        </w:rPr>
        <w:t>-</w:t>
      </w:r>
      <w:r>
        <w:rPr/>
        <w:t>中科江南、北京中科江南政易信息技术有限公司、云南云财科技技术有限公司、石家庄翰海信息技术有限公 </w:t>
      </w:r>
      <w:r>
        <w:rPr>
          <w:spacing w:val="-2"/>
        </w:rPr>
        <w:t>司、信义科技、深圳市深安信信息技术有限公司、锡林郭勒盟保安、锡林郭勒盟金盾押运服务有限公司、锡林郭勒盟安逸物</w:t>
      </w:r>
      <w:r>
        <w:rPr>
          <w:spacing w:val="-66"/>
        </w:rPr>
        <w:t> </w:t>
      </w:r>
      <w:r>
        <w:rPr>
          <w:spacing w:val="-66"/>
        </w:rPr>
      </w:r>
      <w:r>
        <w:rPr/>
        <w:t>业服务有限责任公司、湖北融信；注销</w:t>
      </w:r>
      <w:r>
        <w:rPr>
          <w:rFonts w:ascii="Times New Roman" w:hAnsi="Times New Roman" w:cs="Times New Roman" w:eastAsia="Times New Roman" w:hint="default"/>
        </w:rPr>
        <w:t>2</w:t>
      </w:r>
      <w:r>
        <w:rPr/>
        <w:t>家公司</w:t>
      </w:r>
      <w:r>
        <w:rPr>
          <w:rFonts w:ascii="Times New Roman" w:hAnsi="Times New Roman" w:cs="Times New Roman" w:eastAsia="Times New Roman" w:hint="default"/>
        </w:rPr>
        <w:t>-</w:t>
      </w:r>
      <w:r>
        <w:rPr/>
        <w:t>安化保安、北京广电运通科技有限公司。</w:t>
      </w:r>
    </w:p>
    <w:p>
      <w:pPr>
        <w:spacing w:line="240" w:lineRule="auto" w:before="7"/>
        <w:rPr>
          <w:rFonts w:ascii="宋体" w:hAnsi="宋体" w:cs="宋体" w:eastAsia="宋体" w:hint="default"/>
          <w:sz w:val="22"/>
          <w:szCs w:val="22"/>
        </w:rPr>
      </w:pPr>
    </w:p>
    <w:p>
      <w:pPr>
        <w:pStyle w:val="Heading4"/>
        <w:spacing w:line="240" w:lineRule="auto"/>
        <w:ind w:right="1034"/>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4"/>
        <w:spacing w:line="240" w:lineRule="auto"/>
        <w:ind w:right="1034"/>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034"/>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43" w:type="dxa"/>
        <w:tblLayout w:type="fixed"/>
        <w:tblCellMar>
          <w:top w:w="0" w:type="dxa"/>
          <w:left w:w="0" w:type="dxa"/>
          <w:bottom w:w="0" w:type="dxa"/>
          <w:right w:w="0" w:type="dxa"/>
        </w:tblCellMar>
        <w:tblLook w:val="01E0"/>
      </w:tblPr>
      <w:tblGrid>
        <w:gridCol w:w="4820"/>
        <w:gridCol w:w="4755"/>
      </w:tblGrid>
      <w:tr>
        <w:trPr>
          <w:trHeight w:val="403"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1,593,839,094.66</w:t>
            </w:r>
          </w:p>
        </w:tc>
      </w:tr>
      <w:tr>
        <w:trPr>
          <w:trHeight w:val="401"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29.19%</w:t>
            </w: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034"/>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416,046,214.78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7.62%</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342,383,708.68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6.27%</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292,445,598.96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5.36%</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288,898,088.81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5.29%</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254,065,483.43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4.65%</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1,593,839,094.66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29.19%</w:t>
            </w:r>
          </w:p>
        </w:tc>
      </w:tr>
    </w:tbl>
    <w:p>
      <w:pPr>
        <w:pStyle w:val="BodyText"/>
        <w:spacing w:line="240" w:lineRule="auto" w:before="49"/>
        <w:ind w:right="1034"/>
        <w:jc w:val="left"/>
      </w:pPr>
      <w:r>
        <w:rPr/>
        <w:t>主要客户其他情况说明</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677"/>
        <w:gridCol w:w="4892"/>
      </w:tblGrid>
      <w:tr>
        <w:trPr>
          <w:trHeight w:val="401"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234,801,540.72</w:t>
            </w:r>
          </w:p>
        </w:tc>
      </w:tr>
      <w:tr>
        <w:trPr>
          <w:trHeight w:val="403"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16.47%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677"/>
        <w:gridCol w:w="4892"/>
      </w:tblGrid>
      <w:tr>
        <w:trPr>
          <w:trHeight w:val="404"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034"/>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85,662,190.20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6.01%</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44,791,320.13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42,436,119.83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2.98%</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33,637,946.22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28,273,964.34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w:t>
            </w:r>
          </w:p>
        </w:tc>
      </w:tr>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234,801,540.72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16.47%</w:t>
            </w:r>
          </w:p>
        </w:tc>
      </w:tr>
    </w:tbl>
    <w:p>
      <w:pPr>
        <w:pStyle w:val="BodyText"/>
        <w:spacing w:line="240" w:lineRule="auto" w:before="49"/>
        <w:ind w:right="1034"/>
        <w:jc w:val="left"/>
      </w:pPr>
      <w:r>
        <w:rPr/>
        <w:t>主要供应商其他情况说明</w:t>
      </w:r>
    </w:p>
    <w:p>
      <w:pPr>
        <w:pStyle w:val="BodyText"/>
        <w:spacing w:line="240" w:lineRule="auto" w:before="115"/>
        <w:ind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4"/>
        <w:spacing w:line="240" w:lineRule="auto"/>
        <w:ind w:right="1034"/>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12"/>
        <w:gridCol w:w="1286"/>
        <w:gridCol w:w="1561"/>
        <w:gridCol w:w="1275"/>
        <w:gridCol w:w="4325"/>
      </w:tblGrid>
      <w:tr>
        <w:trPr>
          <w:trHeight w:val="403"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714,652,647.71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627,834,007.98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13.83%</w:t>
            </w:r>
          </w:p>
        </w:tc>
        <w:tc>
          <w:tcPr>
            <w:tcW w:w="432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385,796,093.24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326,122,592.55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18.30%</w:t>
            </w:r>
          </w:p>
        </w:tc>
        <w:tc>
          <w:tcPr>
            <w:tcW w:w="43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-57,408,791.20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-10,779,321.56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-432.58%</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主要是汇兑收益增加。</w:t>
            </w:r>
          </w:p>
        </w:tc>
      </w:tr>
      <w:tr>
        <w:trPr>
          <w:trHeight w:val="403"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359,029,719.13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308,413,840.28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16.41%</w:t>
            </w:r>
          </w:p>
        </w:tc>
        <w:tc>
          <w:tcPr>
            <w:tcW w:w="43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44,793,467.22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39,258,542.14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14.10%</w:t>
            </w:r>
          </w:p>
        </w:tc>
        <w:tc>
          <w:tcPr>
            <w:tcW w:w="432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115,679,883.64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157,998,190.63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-26.78%</w:t>
            </w:r>
          </w:p>
        </w:tc>
        <w:tc>
          <w:tcPr>
            <w:tcW w:w="43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pStyle w:val="Heading4"/>
        <w:spacing w:line="240" w:lineRule="auto" w:before="37"/>
        <w:ind w:right="1034"/>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left="513" w:right="1034"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一直以来，公司高度重视技术研发，把研发放在战略高度，坚持研发高投入，以市场为导向，不断开发新产品，完善核</w:t>
      </w:r>
    </w:p>
    <w:p>
      <w:pPr>
        <w:pStyle w:val="BodyText"/>
        <w:spacing w:line="360" w:lineRule="auto" w:before="1"/>
        <w:ind w:right="6614"/>
        <w:jc w:val="left"/>
      </w:pPr>
      <w:r>
        <w:rPr/>
        <w:t>心技术，升级产品结构，全面提升公司综合竞争力。 公司研发投入情况</w:t>
      </w:r>
    </w:p>
    <w:tbl>
      <w:tblPr>
        <w:tblW w:w="0" w:type="auto"/>
        <w:jc w:val="left"/>
        <w:tblInd w:w="160" w:type="dxa"/>
        <w:tblLayout w:type="fixed"/>
        <w:tblCellMar>
          <w:top w:w="0" w:type="dxa"/>
          <w:left w:w="0" w:type="dxa"/>
          <w:bottom w:w="0" w:type="dxa"/>
          <w:right w:w="0" w:type="dxa"/>
        </w:tblCellMar>
        <w:tblLook w:val="01E0"/>
      </w:tblPr>
      <w:tblGrid>
        <w:gridCol w:w="2813"/>
        <w:gridCol w:w="2565"/>
        <w:gridCol w:w="2410"/>
        <w:gridCol w:w="1771"/>
      </w:tblGrid>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1,109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10.37%</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4.72%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0.15%</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453,373,163.06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369,017,475.84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22.86%</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8.31%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8.42%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-0.11%</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5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65"/>
        <w:ind w:right="1034"/>
        <w:jc w:val="left"/>
      </w:pPr>
      <w:r>
        <w:rPr/>
        <w:t>研发投入总额占营业收入的比重较上年发生显著变化的原因</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40" w:lineRule="auto" w:before="44"/>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39"/>
        <w:ind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4"/>
        <w:spacing w:line="240" w:lineRule="auto"/>
        <w:ind w:right="1034"/>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672"/>
        <w:gridCol w:w="2705"/>
        <w:gridCol w:w="2410"/>
        <w:gridCol w:w="1771"/>
      </w:tblGrid>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705"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6,424,895,345.26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5,369,565,744.65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19.65%</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705"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5,457,961,537.05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4,697,115,611.30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16.20%</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705"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966,933,808.21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672,450,133.35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43.79%</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705"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9,394,287,885.01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9,939,472,682.27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705"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9,292,950,287.33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9,935,385,760.32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-6.47%</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705"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101,337,597.68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4,086,921.95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2,379.56%</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705"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282,686,302.00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205,914,790.10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37.28%</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705"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830,243,060.00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369,995,662.04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124.39%</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705"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-547,556,758.00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-164,080,871.94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-233.71%</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705"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532,881,420.11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496,060,347.93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7.42%</w:t>
            </w:r>
          </w:p>
        </w:tc>
      </w:tr>
    </w:tbl>
    <w:p>
      <w:pPr>
        <w:pStyle w:val="BodyText"/>
        <w:spacing w:line="240" w:lineRule="auto" w:before="49"/>
        <w:ind w:right="1034"/>
        <w:jc w:val="left"/>
      </w:pPr>
      <w:r>
        <w:rPr/>
        <w:t>相关数据同比发生重大变动的主要影响因素说明</w:t>
      </w:r>
    </w:p>
    <w:p>
      <w:pPr>
        <w:pStyle w:val="BodyText"/>
        <w:spacing w:line="240" w:lineRule="auto" w:before="117"/>
        <w:ind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424" w:right="1034"/>
        <w:jc w:val="left"/>
      </w:pPr>
      <w:r>
        <w:rPr/>
        <w:t>（</w:t>
      </w:r>
      <w:r>
        <w:rPr>
          <w:rFonts w:ascii="Times New Roman" w:hAnsi="Times New Roman" w:cs="Times New Roman" w:eastAsia="Times New Roman" w:hint="default"/>
        </w:rPr>
        <w:t>1</w:t>
      </w:r>
      <w:r>
        <w:rPr/>
        <w:t>）经营活动现金流量</w:t>
      </w:r>
    </w:p>
    <w:p>
      <w:pPr>
        <w:pStyle w:val="BodyText"/>
        <w:spacing w:line="300" w:lineRule="auto" w:before="63"/>
        <w:ind w:right="1034" w:firstLine="360"/>
        <w:jc w:val="left"/>
      </w:pPr>
      <w:r>
        <w:rPr>
          <w:rFonts w:ascii="Times New Roman" w:hAnsi="Times New Roman" w:cs="Times New Roman" w:eastAsia="Times New Roman" w:hint="default"/>
          <w:spacing w:val="-2"/>
        </w:rPr>
        <w:t>2018</w:t>
      </w:r>
      <w:r>
        <w:rPr>
          <w:spacing w:val="-2"/>
        </w:rPr>
        <w:t>年，公司经营活动产生的现金流量净额</w:t>
      </w:r>
      <w:r>
        <w:rPr>
          <w:rFonts w:ascii="Times New Roman" w:hAnsi="Times New Roman" w:cs="Times New Roman" w:eastAsia="Times New Roman" w:hint="default"/>
          <w:spacing w:val="-2"/>
        </w:rPr>
        <w:t>96,693.38</w:t>
      </w:r>
      <w:r>
        <w:rPr>
          <w:spacing w:val="-2"/>
        </w:rPr>
        <w:t>万元，比上年同期</w:t>
      </w:r>
      <w:r>
        <w:rPr>
          <w:rFonts w:ascii="Times New Roman" w:hAnsi="Times New Roman" w:cs="Times New Roman" w:eastAsia="Times New Roman" w:hint="default"/>
          <w:spacing w:val="-2"/>
        </w:rPr>
        <w:t>67,245.01</w:t>
      </w:r>
      <w:r>
        <w:rPr>
          <w:spacing w:val="-2"/>
        </w:rPr>
        <w:t>万元增加</w:t>
      </w:r>
      <w:r>
        <w:rPr>
          <w:rFonts w:ascii="Times New Roman" w:hAnsi="Times New Roman" w:cs="Times New Roman" w:eastAsia="Times New Roman" w:hint="default"/>
          <w:spacing w:val="-2"/>
        </w:rPr>
        <w:t>29,448.37</w:t>
      </w:r>
      <w:r>
        <w:rPr>
          <w:spacing w:val="-2"/>
        </w:rPr>
        <w:t>万元，同比增长幅度</w:t>
      </w:r>
      <w:r>
        <w:rPr/>
        <w:t> 为</w:t>
      </w:r>
      <w:r>
        <w:rPr>
          <w:rFonts w:ascii="Times New Roman" w:hAnsi="Times New Roman" w:cs="Times New Roman" w:eastAsia="Times New Roman" w:hint="default"/>
        </w:rPr>
        <w:t>43.79%</w:t>
      </w:r>
      <w:r>
        <w:rPr/>
        <w:t>，主要是销售商品、提供劳务收到的现金增加所致。</w:t>
      </w:r>
    </w:p>
    <w:p>
      <w:pPr>
        <w:pStyle w:val="BodyText"/>
        <w:spacing w:line="240" w:lineRule="auto" w:before="13"/>
        <w:ind w:left="424" w:right="1034"/>
        <w:jc w:val="left"/>
      </w:pPr>
      <w:r>
        <w:rPr/>
        <w:t>（</w:t>
      </w:r>
      <w:r>
        <w:rPr>
          <w:rFonts w:ascii="Times New Roman" w:hAnsi="Times New Roman" w:cs="Times New Roman" w:eastAsia="Times New Roman" w:hint="default"/>
        </w:rPr>
        <w:t>2</w:t>
      </w:r>
      <w:r>
        <w:rPr/>
        <w:t>）投资活动现金流量</w:t>
      </w:r>
    </w:p>
    <w:p>
      <w:pPr>
        <w:pStyle w:val="BodyText"/>
        <w:spacing w:line="300" w:lineRule="auto" w:before="63"/>
        <w:ind w:right="1169" w:firstLine="360"/>
        <w:jc w:val="left"/>
      </w:pPr>
      <w:r>
        <w:rPr>
          <w:rFonts w:ascii="Times New Roman" w:hAnsi="Times New Roman" w:cs="Times New Roman" w:eastAsia="Times New Roman" w:hint="default"/>
        </w:rPr>
        <w:t>2018</w:t>
      </w:r>
      <w:r>
        <w:rPr/>
        <w:t>年，公司投资活动产生的现金流量净额</w:t>
      </w:r>
      <w:r>
        <w:rPr>
          <w:rFonts w:ascii="Times New Roman" w:hAnsi="Times New Roman" w:cs="Times New Roman" w:eastAsia="Times New Roman" w:hint="default"/>
        </w:rPr>
        <w:t>10,133.76</w:t>
      </w:r>
      <w:r>
        <w:rPr/>
        <w:t>万元，与上年同期的</w:t>
      </w:r>
      <w:r>
        <w:rPr>
          <w:rFonts w:ascii="Times New Roman" w:hAnsi="Times New Roman" w:cs="Times New Roman" w:eastAsia="Times New Roman" w:hint="default"/>
        </w:rPr>
        <w:t>408.69</w:t>
      </w:r>
      <w:r>
        <w:rPr/>
        <w:t>万元相比，增加</w:t>
      </w:r>
      <w:r>
        <w:rPr>
          <w:rFonts w:ascii="Times New Roman" w:hAnsi="Times New Roman" w:cs="Times New Roman" w:eastAsia="Times New Roman" w:hint="default"/>
        </w:rPr>
        <w:t>9,725.07</w:t>
      </w:r>
      <w:r>
        <w:rPr/>
        <w:t>万元，增长幅 度为</w:t>
      </w:r>
      <w:r>
        <w:rPr>
          <w:rFonts w:ascii="Times New Roman" w:hAnsi="Times New Roman" w:cs="Times New Roman" w:eastAsia="Times New Roman" w:hint="default"/>
        </w:rPr>
        <w:t>2,379.56%</w:t>
      </w:r>
      <w:r>
        <w:rPr/>
        <w:t>，主要是投资支付的现金减少所致。</w:t>
      </w:r>
    </w:p>
    <w:p>
      <w:pPr>
        <w:pStyle w:val="BodyText"/>
        <w:spacing w:line="240" w:lineRule="auto" w:before="13"/>
        <w:ind w:left="424" w:right="1034"/>
        <w:jc w:val="left"/>
      </w:pPr>
      <w:r>
        <w:rPr/>
        <w:t>（</w:t>
      </w:r>
      <w:r>
        <w:rPr>
          <w:rFonts w:ascii="Times New Roman" w:hAnsi="Times New Roman" w:cs="Times New Roman" w:eastAsia="Times New Roman" w:hint="default"/>
        </w:rPr>
        <w:t>3</w:t>
      </w:r>
      <w:r>
        <w:rPr/>
        <w:t>）筹资活动现金流量</w:t>
      </w:r>
    </w:p>
    <w:p>
      <w:pPr>
        <w:pStyle w:val="BodyText"/>
        <w:spacing w:line="300" w:lineRule="auto" w:before="63"/>
        <w:ind w:right="1034" w:firstLine="360"/>
        <w:jc w:val="left"/>
      </w:pPr>
      <w:r>
        <w:rPr>
          <w:rFonts w:ascii="Times New Roman" w:hAnsi="Times New Roman" w:cs="Times New Roman" w:eastAsia="Times New Roman" w:hint="default"/>
          <w:spacing w:val="-4"/>
        </w:rPr>
        <w:t>2018</w:t>
      </w:r>
      <w:r>
        <w:rPr>
          <w:spacing w:val="-4"/>
        </w:rPr>
        <w:t>年，公司筹资活动现金流入</w:t>
      </w:r>
      <w:r>
        <w:rPr>
          <w:rFonts w:ascii="Times New Roman" w:hAnsi="Times New Roman" w:cs="Times New Roman" w:eastAsia="Times New Roman" w:hint="default"/>
          <w:spacing w:val="-4"/>
        </w:rPr>
        <w:t>28,268.63</w:t>
      </w:r>
      <w:r>
        <w:rPr>
          <w:spacing w:val="-4"/>
        </w:rPr>
        <w:t>万元，与上年同期的</w:t>
      </w:r>
      <w:r>
        <w:rPr>
          <w:rFonts w:ascii="Times New Roman" w:hAnsi="Times New Roman" w:cs="Times New Roman" w:eastAsia="Times New Roman" w:hint="default"/>
          <w:spacing w:val="-4"/>
        </w:rPr>
        <w:t>20,591.48</w:t>
      </w:r>
      <w:r>
        <w:rPr>
          <w:spacing w:val="-4"/>
        </w:rPr>
        <w:t>万元相比，增加</w:t>
      </w:r>
      <w:r>
        <w:rPr>
          <w:rFonts w:ascii="Times New Roman" w:hAnsi="Times New Roman" w:cs="Times New Roman" w:eastAsia="Times New Roman" w:hint="default"/>
          <w:spacing w:val="-4"/>
        </w:rPr>
        <w:t>7,677.15</w:t>
      </w:r>
      <w:r>
        <w:rPr>
          <w:spacing w:val="-4"/>
        </w:rPr>
        <w:t>万元，增长幅度为</w:t>
      </w:r>
      <w:r>
        <w:rPr>
          <w:rFonts w:ascii="Times New Roman" w:hAnsi="Times New Roman" w:cs="Times New Roman" w:eastAsia="Times New Roman" w:hint="default"/>
          <w:spacing w:val="-4"/>
        </w:rPr>
        <w:t>37.28%</w:t>
      </w:r>
      <w:r>
        <w:rPr>
          <w:spacing w:val="-4"/>
        </w:rPr>
        <w:t>，</w:t>
      </w:r>
      <w:r>
        <w:rPr/>
        <w:t> 主要是取得借款收到的现金增加所致。</w:t>
      </w:r>
    </w:p>
    <w:p>
      <w:pPr>
        <w:pStyle w:val="BodyText"/>
        <w:spacing w:line="300" w:lineRule="auto" w:before="31"/>
        <w:ind w:right="1034" w:firstLine="360"/>
        <w:jc w:val="left"/>
      </w:pPr>
      <w:r>
        <w:rPr>
          <w:spacing w:val="-1"/>
        </w:rPr>
        <w:t>公司筹资活动现金流出</w:t>
      </w:r>
      <w:r>
        <w:rPr>
          <w:rFonts w:ascii="Times New Roman" w:hAnsi="Times New Roman" w:cs="Times New Roman" w:eastAsia="Times New Roman" w:hint="default"/>
          <w:spacing w:val="-1"/>
        </w:rPr>
        <w:t>83,024.31</w:t>
      </w:r>
      <w:r>
        <w:rPr>
          <w:spacing w:val="-1"/>
        </w:rPr>
        <w:t>万元，与上年同期的</w:t>
      </w:r>
      <w:r>
        <w:rPr>
          <w:rFonts w:ascii="Times New Roman" w:hAnsi="Times New Roman" w:cs="Times New Roman" w:eastAsia="Times New Roman" w:hint="default"/>
          <w:spacing w:val="-1"/>
        </w:rPr>
        <w:t>36,999.57</w:t>
      </w:r>
      <w:r>
        <w:rPr>
          <w:spacing w:val="-1"/>
        </w:rPr>
        <w:t>万元相比，增加</w:t>
      </w:r>
      <w:r>
        <w:rPr>
          <w:rFonts w:ascii="Times New Roman" w:hAnsi="Times New Roman" w:cs="Times New Roman" w:eastAsia="Times New Roman" w:hint="default"/>
          <w:spacing w:val="-1"/>
        </w:rPr>
        <w:t>46,024.74</w:t>
      </w:r>
      <w:r>
        <w:rPr>
          <w:spacing w:val="-1"/>
        </w:rPr>
        <w:t>万元，增长幅度为</w:t>
      </w:r>
      <w:r>
        <w:rPr>
          <w:rFonts w:ascii="Times New Roman" w:hAnsi="Times New Roman" w:cs="Times New Roman" w:eastAsia="Times New Roman" w:hint="default"/>
          <w:spacing w:val="-1"/>
        </w:rPr>
        <w:t>124.39%</w:t>
      </w:r>
      <w:r>
        <w:rPr>
          <w:spacing w:val="-1"/>
        </w:rPr>
        <w:t>，主</w:t>
      </w:r>
      <w:r>
        <w:rPr>
          <w:spacing w:val="-3"/>
        </w:rPr>
        <w:t> </w:t>
      </w:r>
      <w:r>
        <w:rPr/>
        <w:t>要是分配股利及支付其他与筹资活动有关的现金增加所致。</w:t>
      </w:r>
    </w:p>
    <w:p>
      <w:pPr>
        <w:pStyle w:val="BodyText"/>
        <w:spacing w:line="319" w:lineRule="auto" w:before="31"/>
        <w:ind w:right="1183" w:firstLine="271"/>
        <w:jc w:val="left"/>
      </w:pPr>
      <w:r>
        <w:rPr>
          <w:rFonts w:ascii="Times New Roman" w:hAnsi="Times New Roman" w:cs="Times New Roman" w:eastAsia="Times New Roman" w:hint="default"/>
        </w:rPr>
        <w:t>2018</w:t>
      </w:r>
      <w:r>
        <w:rPr/>
        <w:t>年，公司筹资活动产生的现金流量净额</w:t>
      </w:r>
      <w:r>
        <w:rPr>
          <w:rFonts w:ascii="Times New Roman" w:hAnsi="Times New Roman" w:cs="Times New Roman" w:eastAsia="Times New Roman" w:hint="default"/>
        </w:rPr>
        <w:t>-54,755.68</w:t>
      </w:r>
      <w:r>
        <w:rPr/>
        <w:t>万元，与上年同期的</w:t>
      </w:r>
      <w:r>
        <w:rPr>
          <w:rFonts w:ascii="Times New Roman" w:hAnsi="Times New Roman" w:cs="Times New Roman" w:eastAsia="Times New Roman" w:hint="default"/>
        </w:rPr>
        <w:t>-16,408.09</w:t>
      </w:r>
      <w:r>
        <w:rPr/>
        <w:t>万元相比，减少</w:t>
      </w:r>
      <w:r>
        <w:rPr>
          <w:rFonts w:ascii="Times New Roman" w:hAnsi="Times New Roman" w:cs="Times New Roman" w:eastAsia="Times New Roman" w:hint="default"/>
        </w:rPr>
        <w:t>38,347.59</w:t>
      </w:r>
      <w:r>
        <w:rPr/>
        <w:t>万元，减 少幅度为</w:t>
      </w:r>
      <w:r>
        <w:rPr>
          <w:rFonts w:ascii="Times New Roman" w:hAnsi="Times New Roman" w:cs="Times New Roman" w:eastAsia="Times New Roman" w:hint="default"/>
        </w:rPr>
        <w:t>233.71%</w:t>
      </w:r>
      <w:r>
        <w:rPr/>
        <w:t>，主要是分配股利及支付其他与筹资活动有关的现金增加所致。 报告期内公司经营活动产生的现金净流量与本年度净利润存在重大差异的原因说明</w:t>
      </w:r>
    </w:p>
    <w:p>
      <w:pPr>
        <w:pStyle w:val="BodyText"/>
        <w:spacing w:line="240" w:lineRule="auto" w:before="58"/>
        <w:ind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34"/>
        <w:jc w:val="left"/>
        <w:rPr>
          <w:b w:val="0"/>
          <w:bCs w:val="0"/>
        </w:rPr>
      </w:pPr>
      <w:r>
        <w:rPr/>
        <w:t>三、非主营业务分析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after="0" w:line="240" w:lineRule="auto"/>
        <w:jc w:val="right"/>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396"/>
        <w:gridCol w:w="1713"/>
        <w:gridCol w:w="1558"/>
        <w:gridCol w:w="3263"/>
        <w:gridCol w:w="1630"/>
      </w:tblGrid>
      <w:tr>
        <w:trPr>
          <w:trHeight w:val="401"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103,973,184.96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11.56%</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主要是委托理财的投资收益。</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157,503,938.63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17.51%</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12"/>
              <w:jc w:val="left"/>
              <w:rPr>
                <w:rFonts w:ascii="宋体" w:hAnsi="宋体" w:cs="宋体" w:eastAsia="宋体" w:hint="default"/>
                <w:sz w:val="18"/>
                <w:szCs w:val="18"/>
              </w:rPr>
            </w:pPr>
            <w:r>
              <w:rPr>
                <w:rFonts w:ascii="宋体" w:hAnsi="宋体" w:cs="宋体" w:eastAsia="宋体" w:hint="default"/>
                <w:sz w:val="18"/>
                <w:szCs w:val="18"/>
              </w:rPr>
              <w:t>主要是存货、商誉和应收账款计提减值。</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6,114,680.22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0.68%</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主要是违约金赔偿利得及其他。</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13,433,131.81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主要是流动资产处置损失。</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147,504,231.81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16.40%</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主要是政府补助。</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826,749.98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0.09%</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主要是资产处置利得。</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1034"/>
        <w:jc w:val="left"/>
        <w:rPr>
          <w:b w:val="0"/>
          <w:bCs w:val="0"/>
        </w:rPr>
      </w:pPr>
      <w:r>
        <w:rPr/>
        <w:t>四、资产及负债状况分析</w:t>
      </w:r>
      <w:r>
        <w:rPr>
          <w:b w:val="0"/>
          <w:bCs w:val="0"/>
        </w:rPr>
      </w:r>
    </w:p>
    <w:p>
      <w:pPr>
        <w:spacing w:line="240" w:lineRule="auto" w:before="4"/>
        <w:rPr>
          <w:rFonts w:ascii="宋体" w:hAnsi="宋体" w:cs="宋体" w:eastAsia="宋体" w:hint="default"/>
          <w:b/>
          <w:bCs/>
          <w:sz w:val="25"/>
          <w:szCs w:val="25"/>
        </w:rPr>
      </w:pPr>
    </w:p>
    <w:p>
      <w:pPr>
        <w:pStyle w:val="Heading4"/>
        <w:spacing w:line="240" w:lineRule="auto"/>
        <w:ind w:right="1034"/>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39"/>
        <w:gridCol w:w="708"/>
        <w:gridCol w:w="1416"/>
        <w:gridCol w:w="711"/>
        <w:gridCol w:w="708"/>
        <w:gridCol w:w="3401"/>
      </w:tblGrid>
      <w:tr>
        <w:trPr>
          <w:trHeight w:val="187" w:hRule="exact"/>
        </w:trPr>
        <w:tc>
          <w:tcPr>
            <w:tcW w:w="1346" w:type="dxa"/>
            <w:vMerge w:val="restart"/>
            <w:tcBorders>
              <w:top w:val="single" w:sz="4" w:space="0" w:color="000000"/>
              <w:left w:val="single" w:sz="4" w:space="0" w:color="000000"/>
              <w:right w:val="single" w:sz="4" w:space="0" w:color="000000"/>
            </w:tcBorders>
            <w:shd w:val="clear" w:color="auto" w:fill="D2D2D2"/>
          </w:tcPr>
          <w:p>
            <w:pPr/>
          </w:p>
        </w:tc>
        <w:tc>
          <w:tcPr>
            <w:tcW w:w="204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1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3401" w:type="dxa"/>
            <w:vMerge w:val="restart"/>
            <w:tcBorders>
              <w:top w:val="single" w:sz="4" w:space="0" w:color="000000"/>
              <w:left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2047" w:type="dxa"/>
            <w:gridSpan w:val="2"/>
            <w:vMerge/>
            <w:tcBorders>
              <w:left w:val="single" w:sz="4" w:space="0" w:color="000000"/>
              <w:bottom w:val="single" w:sz="4" w:space="0" w:color="000000"/>
              <w:right w:val="single" w:sz="4" w:space="0" w:color="000000"/>
            </w:tcBorders>
            <w:shd w:val="clear" w:color="auto" w:fill="D2D2D2"/>
          </w:tcPr>
          <w:p>
            <w:pPr/>
          </w:p>
        </w:tc>
        <w:tc>
          <w:tcPr>
            <w:tcW w:w="2127" w:type="dxa"/>
            <w:gridSpan w:val="2"/>
            <w:vMerge/>
            <w:tcBorders>
              <w:left w:val="single" w:sz="4" w:space="0" w:color="000000"/>
              <w:bottom w:val="single" w:sz="4" w:space="0" w:color="000000"/>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357" w:lineRule="auto" w:before="49"/>
              <w:ind w:left="170" w:right="167"/>
              <w:jc w:val="left"/>
              <w:rPr>
                <w:rFonts w:ascii="宋体" w:hAnsi="宋体" w:cs="宋体" w:eastAsia="宋体" w:hint="default"/>
                <w:sz w:val="18"/>
                <w:szCs w:val="18"/>
              </w:rPr>
            </w:pPr>
            <w:r>
              <w:rPr>
                <w:rFonts w:ascii="宋体" w:hAnsi="宋体" w:cs="宋体" w:eastAsia="宋体" w:hint="default"/>
                <w:sz w:val="18"/>
                <w:szCs w:val="18"/>
              </w:rPr>
              <w:t>比重 增减</w:t>
            </w:r>
          </w:p>
        </w:tc>
        <w:tc>
          <w:tcPr>
            <w:tcW w:w="3401" w:type="dxa"/>
            <w:vMerge/>
            <w:tcBorders>
              <w:left w:val="single" w:sz="4" w:space="0" w:color="000000"/>
              <w:bottom w:val="nil" w:sz="6" w:space="0" w:color="auto"/>
              <w:right w:val="single" w:sz="4" w:space="0" w:color="000000"/>
            </w:tcBorders>
            <w:shd w:val="clear" w:color="auto" w:fill="D2D2D2"/>
          </w:tcPr>
          <w:p>
            <w:pPr/>
          </w:p>
        </w:tc>
      </w:tr>
      <w:tr>
        <w:trPr>
          <w:trHeight w:val="181"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39"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79" w:right="77"/>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79" w:right="81"/>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708" w:type="dxa"/>
            <w:vMerge/>
            <w:tcBorders>
              <w:left w:val="single" w:sz="4" w:space="0" w:color="000000"/>
              <w:right w:val="single" w:sz="4" w:space="0" w:color="000000"/>
            </w:tcBorders>
            <w:shd w:val="clear" w:color="auto" w:fill="D2D2D2"/>
          </w:tcPr>
          <w:p>
            <w:pPr/>
          </w:p>
        </w:tc>
        <w:tc>
          <w:tcPr>
            <w:tcW w:w="34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3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tcBorders>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1"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340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39"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3401" w:type="dxa"/>
            <w:vMerge w:val="restart"/>
            <w:tcBorders>
              <w:top w:val="nil" w:sz="6" w:space="0" w:color="auto"/>
              <w:left w:val="single" w:sz="4" w:space="0" w:color="000000"/>
              <w:right w:val="single" w:sz="4" w:space="0" w:color="000000"/>
            </w:tcBorders>
            <w:shd w:val="clear" w:color="auto" w:fill="D2D2D2"/>
          </w:tcPr>
          <w:p>
            <w:pPr/>
          </w:p>
        </w:tc>
      </w:tr>
      <w:tr>
        <w:trPr>
          <w:trHeight w:val="173"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339"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340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4,249,788,473.33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center"/>
              <w:rPr>
                <w:rFonts w:ascii="Times New Roman" w:hAnsi="Times New Roman" w:cs="Times New Roman" w:eastAsia="Times New Roman" w:hint="default"/>
                <w:sz w:val="18"/>
                <w:szCs w:val="18"/>
              </w:rPr>
            </w:pPr>
            <w:r>
              <w:rPr>
                <w:rFonts w:ascii="Times New Roman"/>
                <w:sz w:val="18"/>
              </w:rPr>
              <w:t>31.62%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3,701,348,844.63</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29.16%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2.46%</w:t>
            </w: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1,311,545,965.04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center"/>
              <w:rPr>
                <w:rFonts w:ascii="Times New Roman" w:hAnsi="Times New Roman" w:cs="Times New Roman" w:eastAsia="Times New Roman" w:hint="default"/>
                <w:sz w:val="18"/>
                <w:szCs w:val="18"/>
              </w:rPr>
            </w:pPr>
            <w:r>
              <w:rPr>
                <w:rFonts w:ascii="Times New Roman"/>
                <w:sz w:val="18"/>
              </w:rPr>
              <w:t>9.76%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800,262,574.88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主要是企业合并增加所致。</w:t>
            </w:r>
          </w:p>
        </w:tc>
      </w:tr>
      <w:tr>
        <w:trPr>
          <w:trHeight w:val="40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1,864,961,109.68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center"/>
              <w:rPr>
                <w:rFonts w:ascii="Times New Roman" w:hAnsi="Times New Roman" w:cs="Times New Roman" w:eastAsia="Times New Roman" w:hint="default"/>
                <w:sz w:val="18"/>
                <w:szCs w:val="18"/>
              </w:rPr>
            </w:pPr>
            <w:r>
              <w:rPr>
                <w:rFonts w:ascii="Times New Roman"/>
                <w:sz w:val="18"/>
              </w:rPr>
              <w:t>13.88%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1,934,947,764.68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15.25%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-1.37%</w:t>
            </w: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52,892,220.34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center"/>
              <w:rPr>
                <w:rFonts w:ascii="Times New Roman" w:hAnsi="Times New Roman" w:cs="Times New Roman" w:eastAsia="Times New Roman" w:hint="default"/>
                <w:sz w:val="18"/>
                <w:szCs w:val="18"/>
              </w:rPr>
            </w:pPr>
            <w:r>
              <w:rPr>
                <w:rFonts w:ascii="Times New Roman"/>
                <w:sz w:val="18"/>
              </w:rPr>
              <w:t>0.39%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50,979,540.02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626,464,621.74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0" w:right="0"/>
              <w:jc w:val="center"/>
              <w:rPr>
                <w:rFonts w:ascii="Times New Roman" w:hAnsi="Times New Roman" w:cs="Times New Roman" w:eastAsia="Times New Roman" w:hint="default"/>
                <w:sz w:val="18"/>
                <w:szCs w:val="18"/>
              </w:rPr>
            </w:pPr>
            <w:r>
              <w:rPr>
                <w:rFonts w:ascii="Times New Roman"/>
                <w:sz w:val="18"/>
              </w:rPr>
              <w:t>4.66%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686,770,039.84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5.41%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-0.75%</w:t>
            </w: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1,089,049,675.78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center"/>
              <w:rPr>
                <w:rFonts w:ascii="Times New Roman" w:hAnsi="Times New Roman" w:cs="Times New Roman" w:eastAsia="Times New Roman" w:hint="default"/>
                <w:sz w:val="18"/>
                <w:szCs w:val="18"/>
              </w:rPr>
            </w:pPr>
            <w:r>
              <w:rPr>
                <w:rFonts w:ascii="Times New Roman"/>
                <w:sz w:val="18"/>
              </w:rPr>
              <w:t>8.10%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966,316,457.46</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0.49%</w:t>
            </w: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48,288,502.94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0" w:right="0"/>
              <w:jc w:val="center"/>
              <w:rPr>
                <w:rFonts w:ascii="Times New Roman" w:hAnsi="Times New Roman" w:cs="Times New Roman" w:eastAsia="Times New Roman" w:hint="default"/>
                <w:sz w:val="18"/>
                <w:szCs w:val="18"/>
              </w:rPr>
            </w:pPr>
            <w:r>
              <w:rPr>
                <w:rFonts w:ascii="Times New Roman"/>
                <w:sz w:val="18"/>
              </w:rPr>
              <w:t>0.36%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57,356,821.81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0.45%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-0.09%</w:t>
            </w: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23,331,000.00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center"/>
              <w:rPr>
                <w:rFonts w:ascii="Times New Roman" w:hAnsi="Times New Roman" w:cs="Times New Roman" w:eastAsia="Times New Roman" w:hint="default"/>
                <w:sz w:val="18"/>
                <w:szCs w:val="18"/>
              </w:rPr>
            </w:pPr>
            <w:r>
              <w:rPr>
                <w:rFonts w:ascii="Times New Roman"/>
                <w:sz w:val="18"/>
              </w:rPr>
              <w:t>0.17%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35,870,110.14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-0.11%</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主要是期初借款到期归还所致。</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0" w:right="0"/>
              <w:jc w:val="center"/>
              <w:rPr>
                <w:rFonts w:ascii="Times New Roman" w:hAnsi="Times New Roman" w:cs="Times New Roman" w:eastAsia="Times New Roman" w:hint="default"/>
                <w:sz w:val="18"/>
                <w:szCs w:val="18"/>
              </w:rPr>
            </w:pPr>
            <w:r>
              <w:rPr>
                <w:rFonts w:ascii="Times New Roman"/>
                <w:sz w:val="18"/>
              </w:rPr>
              <w:t>0.01%</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主要是并购的公司经营规模扩张所致。</w:t>
            </w: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41,882,197.77</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0.31%</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12,628,058.00</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0.10%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0.21%</w:t>
            </w:r>
          </w:p>
        </w:tc>
        <w:tc>
          <w:tcPr>
            <w:tcW w:w="3401" w:type="dxa"/>
            <w:vMerge w:val="restart"/>
            <w:tcBorders>
              <w:top w:val="single" w:sz="4" w:space="0" w:color="000000"/>
              <w:left w:val="single" w:sz="4" w:space="0" w:color="000000"/>
              <w:right w:val="single" w:sz="4" w:space="0" w:color="000000"/>
            </w:tcBorders>
          </w:tcPr>
          <w:p>
            <w:pPr>
              <w:pStyle w:val="TableParagraph"/>
              <w:spacing w:line="319" w:lineRule="auto" w:before="49"/>
              <w:ind w:left="23" w:right="125"/>
              <w:jc w:val="left"/>
              <w:rPr>
                <w:rFonts w:ascii="宋体" w:hAnsi="宋体" w:cs="宋体" w:eastAsia="宋体" w:hint="default"/>
                <w:sz w:val="18"/>
                <w:szCs w:val="18"/>
              </w:rPr>
            </w:pPr>
            <w:r>
              <w:rPr>
                <w:rFonts w:ascii="宋体" w:hAnsi="宋体" w:cs="宋体" w:eastAsia="宋体" w:hint="default"/>
                <w:sz w:val="18"/>
                <w:szCs w:val="18"/>
              </w:rPr>
              <w:t>主要是收到的银行承兑票据增加且期末未 背书转让所致。</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339" w:type="dxa"/>
            <w:vMerge/>
            <w:tcBorders>
              <w:left w:val="single" w:sz="9"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3401"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vMerge/>
            <w:tcBorders>
              <w:left w:val="single" w:sz="9"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3401" w:type="dxa"/>
            <w:vMerge/>
            <w:tcBorders>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68,507,879.62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0" w:right="0"/>
              <w:jc w:val="center"/>
              <w:rPr>
                <w:rFonts w:ascii="Times New Roman" w:hAnsi="Times New Roman" w:cs="Times New Roman" w:eastAsia="Times New Roman" w:hint="default"/>
                <w:sz w:val="18"/>
                <w:szCs w:val="18"/>
              </w:rPr>
            </w:pPr>
            <w:r>
              <w:rPr>
                <w:rFonts w:ascii="Times New Roman"/>
                <w:sz w:val="18"/>
              </w:rPr>
              <w:t>0.51%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16,769,749.29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0.38%</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主要是企业合并增加所致。</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54,932,269.00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center"/>
              <w:rPr>
                <w:rFonts w:ascii="Times New Roman" w:hAnsi="Times New Roman" w:cs="Times New Roman" w:eastAsia="Times New Roman" w:hint="default"/>
                <w:sz w:val="18"/>
                <w:szCs w:val="18"/>
              </w:rPr>
            </w:pPr>
            <w:r>
              <w:rPr>
                <w:rFonts w:ascii="Times New Roman"/>
                <w:sz w:val="18"/>
              </w:rPr>
              <w:t>0.41%</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主要是持有待售的长期股权投资。</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1,649,187,547.95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center"/>
              <w:rPr>
                <w:rFonts w:ascii="Times New Roman" w:hAnsi="Times New Roman" w:cs="Times New Roman" w:eastAsia="Times New Roman" w:hint="default"/>
                <w:sz w:val="18"/>
                <w:szCs w:val="18"/>
              </w:rPr>
            </w:pPr>
            <w:r>
              <w:rPr>
                <w:rFonts w:ascii="Times New Roman"/>
                <w:sz w:val="18"/>
              </w:rPr>
              <w:t>12.27%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2,407,598,407.00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18.97%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-6.70%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主要是委托理财减少所致。</w:t>
            </w:r>
          </w:p>
        </w:tc>
      </w:tr>
      <w:tr>
        <w:trPr>
          <w:trHeight w:val="71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906,570,668.31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6.75%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1,133,532,039.09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-2.18%</w:t>
            </w: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1,014,427,563.83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0" w:right="0"/>
              <w:jc w:val="center"/>
              <w:rPr>
                <w:rFonts w:ascii="Times New Roman" w:hAnsi="Times New Roman" w:cs="Times New Roman" w:eastAsia="Times New Roman" w:hint="default"/>
                <w:sz w:val="18"/>
                <w:szCs w:val="18"/>
              </w:rPr>
            </w:pPr>
            <w:r>
              <w:rPr>
                <w:rFonts w:ascii="Times New Roman"/>
                <w:sz w:val="18"/>
              </w:rPr>
              <w:t>7.55%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530,623,513.21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3.37%</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主要是溢价收购所致。</w:t>
            </w: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163,572,370.81</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1.22%</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98,128,201.26</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0.77%</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0.45%</w:t>
            </w:r>
          </w:p>
        </w:tc>
        <w:tc>
          <w:tcPr>
            <w:tcW w:w="3401"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25"/>
              <w:jc w:val="left"/>
              <w:rPr>
                <w:rFonts w:ascii="宋体" w:hAnsi="宋体" w:cs="宋体" w:eastAsia="宋体" w:hint="default"/>
                <w:sz w:val="18"/>
                <w:szCs w:val="18"/>
              </w:rPr>
            </w:pPr>
            <w:r>
              <w:rPr>
                <w:rFonts w:ascii="宋体" w:hAnsi="宋体" w:cs="宋体" w:eastAsia="宋体" w:hint="default"/>
                <w:sz w:val="18"/>
                <w:szCs w:val="18"/>
              </w:rPr>
              <w:t>主要是可供出售金融资产公允价值变动所 致。</w:t>
            </w: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339" w:type="dxa"/>
            <w:vMerge/>
            <w:tcBorders>
              <w:left w:val="single" w:sz="9"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3401"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vMerge/>
            <w:tcBorders>
              <w:left w:val="single" w:sz="9"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3401" w:type="dxa"/>
            <w:vMerge/>
            <w:tcBorders>
              <w:left w:val="single" w:sz="4" w:space="0" w:color="000000"/>
              <w:bottom w:val="single" w:sz="4" w:space="0" w:color="000000"/>
              <w:right w:val="single" w:sz="4" w:space="0" w:color="000000"/>
            </w:tcBorders>
          </w:tcPr>
          <w:p>
            <w:pPr/>
          </w:p>
        </w:tc>
      </w:tr>
      <w:tr>
        <w:trPr>
          <w:trHeight w:val="164"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9"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18,091,297.30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0.13%</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33,415,580.45</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0.26%</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-0.13%</w:t>
            </w:r>
          </w:p>
        </w:tc>
        <w:tc>
          <w:tcPr>
            <w:tcW w:w="3401"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125"/>
              <w:jc w:val="left"/>
              <w:rPr>
                <w:rFonts w:ascii="宋体" w:hAnsi="宋体" w:cs="宋体" w:eastAsia="宋体" w:hint="default"/>
                <w:sz w:val="18"/>
                <w:szCs w:val="18"/>
              </w:rPr>
            </w:pPr>
            <w:r>
              <w:rPr>
                <w:rFonts w:ascii="宋体" w:hAnsi="宋体" w:cs="宋体" w:eastAsia="宋体" w:hint="default"/>
                <w:sz w:val="18"/>
                <w:szCs w:val="18"/>
              </w:rPr>
              <w:t>主要是预付的固定资产购置款转为固定资 产所致。</w:t>
            </w: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339" w:type="dxa"/>
            <w:vMerge/>
            <w:tcBorders>
              <w:left w:val="single" w:sz="9"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3401"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vMerge/>
            <w:tcBorders>
              <w:left w:val="single" w:sz="9"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3401"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69" w:type="dxa"/>
        <w:tblLayout w:type="fixed"/>
        <w:tblCellMar>
          <w:top w:w="0" w:type="dxa"/>
          <w:left w:w="0" w:type="dxa"/>
          <w:bottom w:w="0" w:type="dxa"/>
          <w:right w:w="0" w:type="dxa"/>
        </w:tblCellMar>
        <w:tblLook w:val="01E0"/>
      </w:tblPr>
      <w:tblGrid>
        <w:gridCol w:w="1367"/>
        <w:gridCol w:w="1328"/>
        <w:gridCol w:w="708"/>
        <w:gridCol w:w="1416"/>
        <w:gridCol w:w="711"/>
        <w:gridCol w:w="708"/>
        <w:gridCol w:w="3401"/>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106,681,293.96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69,445,798.97</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0.24%</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主要是期末开具承兑汇票增加。</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823,555,261.61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6.13%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437,761,073.18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3.45%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2.68%</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主要是企业合并增加所致。</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356,624,282.87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221,218,415.40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0.91%</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主要是企业合并增加所致。</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113,006,514.72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0.84%</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主要是公司回购股份所致。</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-368,279,676.59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-92,846,447.41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-2.01%</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5"/>
              <w:jc w:val="left"/>
              <w:rPr>
                <w:rFonts w:ascii="宋体" w:hAnsi="宋体" w:cs="宋体" w:eastAsia="宋体" w:hint="default"/>
                <w:sz w:val="18"/>
                <w:szCs w:val="18"/>
              </w:rPr>
            </w:pPr>
            <w:r>
              <w:rPr>
                <w:rFonts w:ascii="宋体" w:hAnsi="宋体" w:cs="宋体" w:eastAsia="宋体" w:hint="default"/>
                <w:sz w:val="18"/>
                <w:szCs w:val="18"/>
              </w:rPr>
              <w:t>主要是可供出售金融资产公允价值的变动 所致。</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822,612,566.22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593,329,839.28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4.68%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1.44%</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主要是控股式并购公司增加所致。</w:t>
            </w:r>
          </w:p>
        </w:tc>
      </w:tr>
    </w:tbl>
    <w:p>
      <w:pPr>
        <w:spacing w:line="240" w:lineRule="auto" w:before="8"/>
        <w:rPr>
          <w:rFonts w:ascii="宋体" w:hAnsi="宋体" w:cs="宋体" w:eastAsia="宋体" w:hint="default"/>
          <w:sz w:val="19"/>
          <w:szCs w:val="19"/>
        </w:rPr>
      </w:pPr>
    </w:p>
    <w:p>
      <w:pPr>
        <w:pStyle w:val="Heading4"/>
        <w:spacing w:line="240" w:lineRule="auto" w:before="37"/>
        <w:ind w:left="172"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1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36"/>
        <w:gridCol w:w="1435"/>
        <w:gridCol w:w="988"/>
        <w:gridCol w:w="1275"/>
        <w:gridCol w:w="684"/>
        <w:gridCol w:w="1213"/>
        <w:gridCol w:w="1213"/>
        <w:gridCol w:w="1426"/>
      </w:tblGrid>
      <w:tr>
        <w:trPr>
          <w:trHeight w:val="161" w:hRule="exact"/>
        </w:trPr>
        <w:tc>
          <w:tcPr>
            <w:tcW w:w="1536" w:type="dxa"/>
            <w:vMerge w:val="restart"/>
            <w:tcBorders>
              <w:top w:val="single" w:sz="4" w:space="0" w:color="000000"/>
              <w:left w:val="single" w:sz="4" w:space="0" w:color="000000"/>
              <w:right w:val="single" w:sz="4" w:space="0" w:color="000000"/>
            </w:tcBorders>
            <w:shd w:val="clear" w:color="auto" w:fill="D2D2D2"/>
          </w:tcPr>
          <w:p>
            <w:pPr/>
          </w:p>
        </w:tc>
        <w:tc>
          <w:tcPr>
            <w:tcW w:w="1435" w:type="dxa"/>
            <w:vMerge w:val="restart"/>
            <w:tcBorders>
              <w:top w:val="single" w:sz="4" w:space="0" w:color="000000"/>
              <w:left w:val="single" w:sz="4" w:space="0" w:color="000000"/>
              <w:right w:val="single" w:sz="4" w:space="0" w:color="000000"/>
            </w:tcBorders>
            <w:shd w:val="clear" w:color="auto" w:fill="D2D2D2"/>
          </w:tcPr>
          <w:p>
            <w:pPr/>
          </w:p>
        </w:tc>
        <w:tc>
          <w:tcPr>
            <w:tcW w:w="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3" w:right="90"/>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8" w:right="65"/>
              <w:jc w:val="center"/>
              <w:rPr>
                <w:rFonts w:ascii="宋体" w:hAnsi="宋体" w:cs="宋体" w:eastAsia="宋体" w:hint="default"/>
                <w:sz w:val="18"/>
                <w:szCs w:val="18"/>
              </w:rPr>
            </w:pPr>
            <w:r>
              <w:rPr>
                <w:rFonts w:ascii="宋体" w:hAnsi="宋体" w:cs="宋体" w:eastAsia="宋体" w:hint="default"/>
                <w:sz w:val="18"/>
                <w:szCs w:val="18"/>
              </w:rPr>
              <w:t>本期计 提的减 值</w:t>
            </w:r>
          </w:p>
        </w:tc>
        <w:tc>
          <w:tcPr>
            <w:tcW w:w="1213" w:type="dxa"/>
            <w:vMerge w:val="restart"/>
            <w:tcBorders>
              <w:top w:val="single" w:sz="4" w:space="0" w:color="000000"/>
              <w:left w:val="single" w:sz="4" w:space="0" w:color="000000"/>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
        </w:tc>
        <w:tc>
          <w:tcPr>
            <w:tcW w:w="1426"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536" w:type="dxa"/>
            <w:vMerge/>
            <w:tcBorders>
              <w:left w:val="single" w:sz="4" w:space="0" w:color="000000"/>
              <w:bottom w:val="nil" w:sz="6" w:space="0" w:color="auto"/>
              <w:right w:val="single" w:sz="4" w:space="0" w:color="000000"/>
            </w:tcBorders>
            <w:shd w:val="clear" w:color="auto" w:fill="D2D2D2"/>
          </w:tcPr>
          <w:p>
            <w:pPr/>
          </w:p>
        </w:tc>
        <w:tc>
          <w:tcPr>
            <w:tcW w:w="1435" w:type="dxa"/>
            <w:vMerge/>
            <w:tcBorders>
              <w:left w:val="single" w:sz="4" w:space="0" w:color="000000"/>
              <w:bottom w:val="nil" w:sz="6" w:space="0" w:color="auto"/>
              <w:right w:val="single" w:sz="4" w:space="0" w:color="000000"/>
            </w:tcBorders>
            <w:shd w:val="clear" w:color="auto" w:fill="D2D2D2"/>
          </w:tcPr>
          <w:p>
            <w:pPr/>
          </w:p>
        </w:tc>
        <w:tc>
          <w:tcPr>
            <w:tcW w:w="98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6" w:right="3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275"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1426" w:type="dxa"/>
            <w:vMerge/>
            <w:tcBorders>
              <w:left w:val="single" w:sz="4" w:space="0" w:color="000000"/>
              <w:bottom w:val="nil" w:sz="6" w:space="0" w:color="auto"/>
              <w:right w:val="single" w:sz="4" w:space="0" w:color="000000"/>
            </w:tcBorders>
            <w:shd w:val="clear" w:color="auto" w:fill="D2D2D2"/>
          </w:tcPr>
          <w:p>
            <w:pPr/>
          </w:p>
        </w:tc>
      </w:tr>
      <w:tr>
        <w:trPr>
          <w:trHeight w:val="394" w:hRule="exact"/>
        </w:trPr>
        <w:tc>
          <w:tcPr>
            <w:tcW w:w="15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988"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2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59"/>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2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58"/>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9"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536" w:type="dxa"/>
            <w:vMerge w:val="restart"/>
            <w:tcBorders>
              <w:top w:val="nil" w:sz="6" w:space="0" w:color="auto"/>
              <w:left w:val="single" w:sz="4" w:space="0" w:color="000000"/>
              <w:right w:val="single" w:sz="4" w:space="0" w:color="000000"/>
            </w:tcBorders>
            <w:shd w:val="clear" w:color="auto" w:fill="D2D2D2"/>
          </w:tcPr>
          <w:p>
            <w:pPr/>
          </w:p>
        </w:tc>
        <w:tc>
          <w:tcPr>
            <w:tcW w:w="1435" w:type="dxa"/>
            <w:vMerge w:val="restart"/>
            <w:tcBorders>
              <w:top w:val="nil" w:sz="6" w:space="0" w:color="auto"/>
              <w:left w:val="single" w:sz="4" w:space="0" w:color="000000"/>
              <w:right w:val="single" w:sz="4" w:space="0" w:color="000000"/>
            </w:tcBorders>
            <w:shd w:val="clear" w:color="auto" w:fill="D2D2D2"/>
          </w:tcPr>
          <w:p>
            <w:pPr/>
          </w:p>
        </w:tc>
        <w:tc>
          <w:tcPr>
            <w:tcW w:w="988" w:type="dxa"/>
            <w:vMerge/>
            <w:tcBorders>
              <w:left w:val="single" w:sz="4" w:space="0" w:color="000000"/>
              <w:bottom w:val="nil" w:sz="6" w:space="0" w:color="auto"/>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
        </w:tc>
        <w:tc>
          <w:tcPr>
            <w:tcW w:w="1426"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536" w:type="dxa"/>
            <w:vMerge/>
            <w:tcBorders>
              <w:left w:val="single" w:sz="4" w:space="0" w:color="000000"/>
              <w:bottom w:val="single" w:sz="4" w:space="0" w:color="000000"/>
              <w:right w:val="single" w:sz="4" w:space="0" w:color="000000"/>
            </w:tcBorders>
            <w:shd w:val="clear" w:color="auto" w:fill="D2D2D2"/>
          </w:tcPr>
          <w:p>
            <w:pPr/>
          </w:p>
        </w:tc>
        <w:tc>
          <w:tcPr>
            <w:tcW w:w="1435" w:type="dxa"/>
            <w:vMerge/>
            <w:tcBorders>
              <w:left w:val="single" w:sz="4" w:space="0" w:color="000000"/>
              <w:bottom w:val="single" w:sz="4" w:space="0" w:color="000000"/>
              <w:right w:val="single" w:sz="4" w:space="0" w:color="000000"/>
            </w:tcBorders>
            <w:shd w:val="clear" w:color="auto" w:fill="D2D2D2"/>
          </w:tcPr>
          <w:p>
            <w:pPr/>
          </w:p>
        </w:tc>
        <w:tc>
          <w:tcPr>
            <w:tcW w:w="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426"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234"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52" w:hRule="exact"/>
        </w:trPr>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7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 且其变动计入当期 损益的金融资产</w:t>
            </w:r>
          </w:p>
          <w:p>
            <w:pPr>
              <w:pStyle w:val="TableParagraph"/>
              <w:spacing w:line="316" w:lineRule="auto" w:before="24"/>
              <w:ind w:left="12" w:right="72"/>
              <w:jc w:val="both"/>
              <w:rPr>
                <w:rFonts w:ascii="宋体" w:hAnsi="宋体" w:cs="宋体" w:eastAsia="宋体" w:hint="default"/>
                <w:sz w:val="18"/>
                <w:szCs w:val="18"/>
              </w:rPr>
            </w:pPr>
            <w:r>
              <w:rPr>
                <w:rFonts w:ascii="宋体" w:hAnsi="宋体" w:cs="宋体" w:eastAsia="宋体" w:hint="default"/>
                <w:sz w:val="18"/>
                <w:szCs w:val="18"/>
              </w:rPr>
              <w:t>（不含衍生金融资 产）</w:t>
            </w:r>
          </w:p>
        </w:tc>
        <w:tc>
          <w:tcPr>
            <w:tcW w:w="1435" w:type="dxa"/>
            <w:tcBorders>
              <w:top w:val="single" w:sz="4" w:space="0" w:color="000000"/>
              <w:left w:val="single" w:sz="13" w:space="0" w:color="D2D2D2"/>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435" w:type="dxa"/>
            <w:tcBorders>
              <w:top w:val="single" w:sz="4" w:space="0" w:color="000000"/>
              <w:left w:val="single" w:sz="13" w:space="0" w:color="D2D2D2"/>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 产</w:t>
            </w:r>
          </w:p>
        </w:tc>
        <w:tc>
          <w:tcPr>
            <w:tcW w:w="14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1,080,145,915.44</w:t>
            </w:r>
          </w:p>
        </w:tc>
        <w:tc>
          <w:tcPr>
            <w:tcW w:w="98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-429,882,868.66</w:t>
            </w:r>
          </w:p>
        </w:tc>
        <w:tc>
          <w:tcPr>
            <w:tcW w:w="68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93,322,533.51</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5,084,045.43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843,295,785.40</w:t>
            </w:r>
          </w:p>
        </w:tc>
      </w:tr>
      <w:tr>
        <w:trPr>
          <w:trHeight w:val="401" w:hRule="exact"/>
        </w:trPr>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4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0" w:right="0"/>
              <w:jc w:val="center"/>
              <w:rPr>
                <w:rFonts w:ascii="Times New Roman" w:hAnsi="Times New Roman" w:cs="Times New Roman" w:eastAsia="Times New Roman" w:hint="default"/>
                <w:sz w:val="18"/>
                <w:szCs w:val="18"/>
              </w:rPr>
            </w:pPr>
            <w:r>
              <w:rPr>
                <w:rFonts w:ascii="Times New Roman"/>
                <w:sz w:val="18"/>
              </w:rPr>
              <w:t>1,080,145,915.44</w:t>
            </w:r>
          </w:p>
        </w:tc>
        <w:tc>
          <w:tcPr>
            <w:tcW w:w="98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-429,882,868.66</w:t>
            </w:r>
          </w:p>
        </w:tc>
        <w:tc>
          <w:tcPr>
            <w:tcW w:w="68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93,322,533.51</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5,084,045.43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843,295,785.40</w:t>
            </w:r>
          </w:p>
        </w:tc>
      </w:tr>
      <w:tr>
        <w:trPr>
          <w:trHeight w:val="403" w:hRule="exact"/>
        </w:trPr>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35" w:type="dxa"/>
            <w:tcBorders>
              <w:top w:val="single" w:sz="4" w:space="0" w:color="000000"/>
              <w:left w:val="single" w:sz="13" w:space="0" w:color="D2D2D2"/>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435" w:type="dxa"/>
            <w:tcBorders>
              <w:top w:val="single" w:sz="4" w:space="0" w:color="000000"/>
              <w:left w:val="single" w:sz="13" w:space="0" w:color="D2D2D2"/>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35" w:type="dxa"/>
            <w:tcBorders>
              <w:top w:val="single" w:sz="4" w:space="0" w:color="000000"/>
              <w:left w:val="single" w:sz="13" w:space="0" w:color="D2D2D2"/>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4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0" w:right="0"/>
              <w:jc w:val="center"/>
              <w:rPr>
                <w:rFonts w:ascii="Times New Roman" w:hAnsi="Times New Roman" w:cs="Times New Roman" w:eastAsia="Times New Roman" w:hint="default"/>
                <w:sz w:val="18"/>
                <w:szCs w:val="18"/>
              </w:rPr>
            </w:pPr>
            <w:r>
              <w:rPr>
                <w:rFonts w:ascii="Times New Roman"/>
                <w:sz w:val="18"/>
              </w:rPr>
              <w:t>1,080,145,915.44</w:t>
            </w:r>
          </w:p>
        </w:tc>
        <w:tc>
          <w:tcPr>
            <w:tcW w:w="98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-429,882,868.66</w:t>
            </w:r>
          </w:p>
        </w:tc>
        <w:tc>
          <w:tcPr>
            <w:tcW w:w="68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93,322,533.51</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5,084,045.43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843,295,785.40</w:t>
            </w:r>
          </w:p>
        </w:tc>
      </w:tr>
      <w:tr>
        <w:trPr>
          <w:trHeight w:val="403" w:hRule="exact"/>
        </w:trPr>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435" w:type="dxa"/>
            <w:tcBorders>
              <w:top w:val="single" w:sz="4" w:space="0" w:color="000000"/>
              <w:left w:val="single" w:sz="13" w:space="0" w:color="D2D2D2"/>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172" w:right="0"/>
        <w:jc w:val="left"/>
      </w:pPr>
      <w:r>
        <w:rPr/>
        <w:t>报告期内公司主要资产计量属性是否发生重大变化</w:t>
      </w:r>
    </w:p>
    <w:p>
      <w:pPr>
        <w:pStyle w:val="BodyText"/>
        <w:spacing w:line="240" w:lineRule="auto" w:before="115"/>
        <w:ind w:left="172"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9"/>
        <w:rPr>
          <w:rFonts w:ascii="宋体" w:hAnsi="宋体" w:cs="宋体" w:eastAsia="宋体" w:hint="default"/>
          <w:sz w:val="26"/>
          <w:szCs w:val="26"/>
        </w:rPr>
      </w:pPr>
    </w:p>
    <w:p>
      <w:pPr>
        <w:pStyle w:val="Heading4"/>
        <w:spacing w:line="240" w:lineRule="auto"/>
        <w:ind w:left="172"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3305"/>
        <w:gridCol w:w="2498"/>
        <w:gridCol w:w="3757"/>
      </w:tblGrid>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9"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24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422" w:right="0"/>
              <w:jc w:val="left"/>
              <w:rPr>
                <w:rFonts w:ascii="Times New Roman" w:hAnsi="Times New Roman" w:cs="Times New Roman" w:eastAsia="Times New Roman" w:hint="default"/>
                <w:sz w:val="18"/>
                <w:szCs w:val="18"/>
              </w:rPr>
            </w:pPr>
            <w:r>
              <w:rPr>
                <w:rFonts w:ascii="Times New Roman"/>
                <w:sz w:val="18"/>
              </w:rPr>
              <w:t>15,719,362.11</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银行保证金、履约保证金和财政监管资金</w:t>
            </w:r>
          </w:p>
        </w:tc>
      </w:tr>
    </w:tbl>
    <w:p>
      <w:pPr>
        <w:spacing w:after="0" w:line="240" w:lineRule="auto"/>
        <w:jc w:val="left"/>
        <w:rPr>
          <w:rFonts w:ascii="宋体" w:hAnsi="宋体" w:cs="宋体" w:eastAsia="宋体" w:hint="default"/>
          <w:sz w:val="18"/>
          <w:szCs w:val="18"/>
        </w:rPr>
        <w:sectPr>
          <w:pgSz w:w="11910" w:h="16840"/>
          <w:pgMar w:header="877" w:footer="979" w:top="1100" w:bottom="1160" w:left="960" w:right="0"/>
        </w:sectPr>
      </w:pPr>
    </w:p>
    <w:p>
      <w:pPr>
        <w:spacing w:line="240" w:lineRule="auto" w:before="8"/>
        <w:rPr>
          <w:rFonts w:ascii="宋体" w:hAnsi="宋体" w:cs="宋体" w:eastAsia="宋体" w:hint="default"/>
          <w:sz w:val="24"/>
          <w:szCs w:val="24"/>
        </w:rPr>
      </w:pPr>
      <w:r>
        <w:rPr/>
        <w:pict>
          <v:shape style="position:absolute;margin-left:304.970001pt;margin-top:430.869995pt;width:19.850pt;height:109.2pt;mso-position-horizontal-relative:page;mso-position-vertical-relative:page;z-index:-129030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0"/>
                    <w:ind w:left="0" w:right="0"/>
                    <w:jc w:val="left"/>
                  </w:pPr>
                  <w:r>
                    <w:rPr/>
                    <w:t>、</w:t>
                  </w:r>
                </w:p>
              </w:txbxContent>
            </v:textbox>
            <w10:wrap type="none"/>
          </v:shape>
        </w:pict>
      </w:r>
      <w:r>
        <w:rPr/>
        <w:pict>
          <v:group style="position:absolute;margin-left:311.089996pt;margin-top:430.869995pt;width:13.75pt;height:109.2pt;mso-position-horizontal-relative:page;mso-position-vertical-relative:page;z-index:-1290280" coordorigin="6222,8617" coordsize="275,2184">
            <v:shape style="position:absolute;left:6222;top:8617;width:275;height:2184" coordorigin="6222,8617" coordsize="275,2184" path="m6222,10801l6496,10801,6496,8617,6222,8617,6222,10801xe" filled="true" fillcolor="#ffffff" stroked="false">
              <v:path arrowok="t"/>
              <v:fill type="solid"/>
            </v:shape>
            <w10:wrap type="none"/>
          </v:group>
        </w:pict>
      </w:r>
      <w:r>
        <w:rPr/>
        <w:pict>
          <v:group style="position:absolute;margin-left:312.290009pt;margin-top:558.195984pt;width:11.45pt;height:17.55pt;mso-position-horizontal-relative:page;mso-position-vertical-relative:page;z-index:-1290256" coordorigin="6246,11164" coordsize="229,351">
            <v:shape style="position:absolute;left:6246;top:11164;width:229;height:351" coordorigin="6246,11164" coordsize="229,351" path="m6246,11515l6474,11515,6474,11164,6246,11164,6246,11515xe" filled="true" fillcolor="#ffffff" stroked="false">
              <v:path arrowok="t"/>
              <v:fill type="solid"/>
            </v:shape>
            <w10:wrap type="none"/>
          </v:group>
        </w:pict>
      </w:r>
    </w:p>
    <w:tbl>
      <w:tblPr>
        <w:tblW w:w="0" w:type="auto"/>
        <w:jc w:val="left"/>
        <w:tblInd w:w="309" w:type="dxa"/>
        <w:tblLayout w:type="fixed"/>
        <w:tblCellMar>
          <w:top w:w="0" w:type="dxa"/>
          <w:left w:w="0" w:type="dxa"/>
          <w:bottom w:w="0" w:type="dxa"/>
          <w:right w:w="0" w:type="dxa"/>
        </w:tblCellMar>
        <w:tblLook w:val="01E0"/>
      </w:tblPr>
      <w:tblGrid>
        <w:gridCol w:w="3326"/>
        <w:gridCol w:w="2487"/>
        <w:gridCol w:w="3757"/>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11,302,650.00</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银行质押</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87"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27,022,012.11</w:t>
            </w:r>
          </w:p>
        </w:tc>
        <w:tc>
          <w:tcPr>
            <w:tcW w:w="3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left="312" w:right="0"/>
        <w:jc w:val="left"/>
        <w:rPr>
          <w:b w:val="0"/>
          <w:bCs w:val="0"/>
        </w:rPr>
      </w:pPr>
      <w:r>
        <w:rPr/>
        <w:t>五、投资状况分析</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left="312"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3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307"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0" w:right="0"/>
              <w:jc w:val="left"/>
              <w:rPr>
                <w:rFonts w:ascii="Times New Roman" w:hAnsi="Times New Roman" w:cs="Times New Roman" w:eastAsia="Times New Roman" w:hint="default"/>
                <w:sz w:val="18"/>
                <w:szCs w:val="18"/>
              </w:rPr>
            </w:pPr>
            <w:r>
              <w:rPr>
                <w:rFonts w:ascii="Times New Roman"/>
                <w:sz w:val="18"/>
              </w:rPr>
              <w:t>722,609,612.81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358,696,000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101.45%</w:t>
            </w:r>
          </w:p>
        </w:tc>
      </w:tr>
    </w:tbl>
    <w:p>
      <w:pPr>
        <w:spacing w:line="240" w:lineRule="auto" w:before="8"/>
        <w:rPr>
          <w:rFonts w:ascii="宋体" w:hAnsi="宋体" w:cs="宋体" w:eastAsia="宋体" w:hint="default"/>
          <w:sz w:val="19"/>
          <w:szCs w:val="19"/>
        </w:rPr>
      </w:pPr>
    </w:p>
    <w:p>
      <w:pPr>
        <w:pStyle w:val="Heading4"/>
        <w:spacing w:line="240" w:lineRule="auto" w:before="37"/>
        <w:ind w:left="312"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3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764"/>
        <w:gridCol w:w="569"/>
        <w:gridCol w:w="425"/>
        <w:gridCol w:w="566"/>
        <w:gridCol w:w="425"/>
        <w:gridCol w:w="284"/>
        <w:gridCol w:w="2249"/>
        <w:gridCol w:w="284"/>
        <w:gridCol w:w="871"/>
        <w:gridCol w:w="850"/>
        <w:gridCol w:w="283"/>
        <w:gridCol w:w="689"/>
        <w:gridCol w:w="425"/>
        <w:gridCol w:w="569"/>
        <w:gridCol w:w="782"/>
      </w:tblGrid>
      <w:tr>
        <w:trPr>
          <w:trHeight w:val="1337" w:hRule="exact"/>
        </w:trPr>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8" w:right="104"/>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8" w:right="98"/>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8" w:right="24"/>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8" w:right="96"/>
              <w:jc w:val="left"/>
              <w:rPr>
                <w:rFonts w:ascii="宋体" w:hAnsi="宋体" w:cs="宋体" w:eastAsia="宋体" w:hint="default"/>
                <w:sz w:val="18"/>
                <w:szCs w:val="18"/>
              </w:rPr>
            </w:pPr>
            <w:r>
              <w:rPr>
                <w:rFonts w:ascii="宋体" w:hAnsi="宋体" w:cs="宋体" w:eastAsia="宋体" w:hint="default"/>
                <w:sz w:val="18"/>
                <w:szCs w:val="18"/>
              </w:rPr>
              <w:t>投资 金额</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8" w:right="24"/>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4"/>
              <w:jc w:val="both"/>
              <w:rPr>
                <w:rFonts w:ascii="宋体" w:hAnsi="宋体" w:cs="宋体" w:eastAsia="宋体" w:hint="default"/>
                <w:sz w:val="18"/>
                <w:szCs w:val="18"/>
              </w:rPr>
            </w:pPr>
            <w:r>
              <w:rPr>
                <w:rFonts w:ascii="宋体" w:hAnsi="宋体" w:cs="宋体" w:eastAsia="宋体" w:hint="default"/>
                <w:sz w:val="18"/>
                <w:szCs w:val="18"/>
              </w:rPr>
              <w:t>资 金 来 源</w:t>
            </w:r>
          </w:p>
        </w:tc>
        <w:tc>
          <w:tcPr>
            <w:tcW w:w="2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5"/>
              <w:jc w:val="both"/>
              <w:rPr>
                <w:rFonts w:ascii="宋体" w:hAnsi="宋体" w:cs="宋体" w:eastAsia="宋体" w:hint="default"/>
                <w:sz w:val="18"/>
                <w:szCs w:val="18"/>
              </w:rPr>
            </w:pPr>
            <w:r>
              <w:rPr>
                <w:rFonts w:ascii="宋体" w:hAnsi="宋体" w:cs="宋体" w:eastAsia="宋体" w:hint="default"/>
                <w:sz w:val="18"/>
                <w:szCs w:val="18"/>
              </w:rPr>
              <w:t>投 资 期 限</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产品类型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 w:right="59"/>
              <w:jc w:val="center"/>
              <w:rPr>
                <w:rFonts w:ascii="宋体" w:hAnsi="宋体" w:cs="宋体" w:eastAsia="宋体" w:hint="default"/>
                <w:sz w:val="18"/>
                <w:szCs w:val="18"/>
              </w:rPr>
            </w:pPr>
            <w:r>
              <w:rPr>
                <w:rFonts w:ascii="宋体" w:hAnsi="宋体" w:cs="宋体" w:eastAsia="宋体" w:hint="default"/>
                <w:sz w:val="18"/>
                <w:szCs w:val="18"/>
              </w:rPr>
              <w:t>截至资产 负债表日 的进展情 况</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3"/>
              <w:jc w:val="both"/>
              <w:rPr>
                <w:rFonts w:ascii="宋体" w:hAnsi="宋体" w:cs="宋体" w:eastAsia="宋体" w:hint="default"/>
                <w:sz w:val="18"/>
                <w:szCs w:val="18"/>
              </w:rPr>
            </w:pPr>
            <w:r>
              <w:rPr>
                <w:rFonts w:ascii="宋体" w:hAnsi="宋体" w:cs="宋体" w:eastAsia="宋体" w:hint="default"/>
                <w:sz w:val="18"/>
                <w:szCs w:val="18"/>
              </w:rPr>
              <w:t>预 计 收 益</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9" w:right="68"/>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8" w:right="24"/>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0" w:right="96"/>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2900" w:hRule="exact"/>
        </w:trPr>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8" w:right="104"/>
              <w:jc w:val="both"/>
              <w:rPr>
                <w:rFonts w:ascii="宋体" w:hAnsi="宋体" w:cs="宋体" w:eastAsia="宋体" w:hint="default"/>
                <w:sz w:val="18"/>
                <w:szCs w:val="18"/>
              </w:rPr>
            </w:pPr>
            <w:r>
              <w:rPr>
                <w:rFonts w:ascii="宋体" w:hAnsi="宋体" w:cs="宋体" w:eastAsia="宋体" w:hint="default"/>
                <w:sz w:val="18"/>
                <w:szCs w:val="18"/>
              </w:rPr>
              <w:t>深圳市 信义科 技有限 公司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 w:hanging="32"/>
              <w:jc w:val="center"/>
              <w:rPr>
                <w:rFonts w:ascii="宋体" w:hAnsi="宋体" w:cs="宋体" w:eastAsia="宋体" w:hint="default"/>
                <w:sz w:val="18"/>
                <w:szCs w:val="18"/>
              </w:rPr>
            </w:pPr>
            <w:r>
              <w:rPr>
                <w:rFonts w:ascii="宋体" w:hAnsi="宋体" w:cs="宋体" w:eastAsia="宋体" w:hint="default"/>
                <w:sz w:val="18"/>
                <w:szCs w:val="18"/>
              </w:rPr>
              <w:t>视频 及大 数据、 公共 安全</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收购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1" w:right="0"/>
              <w:jc w:val="left"/>
              <w:rPr>
                <w:rFonts w:ascii="Times New Roman" w:hAnsi="Times New Roman" w:cs="Times New Roman" w:eastAsia="Times New Roman" w:hint="default"/>
                <w:sz w:val="18"/>
                <w:szCs w:val="18"/>
              </w:rPr>
            </w:pPr>
            <w:r>
              <w:rPr>
                <w:rFonts w:ascii="Times New Roman"/>
                <w:sz w:val="18"/>
              </w:rPr>
              <w:t>327,25</w:t>
            </w:r>
          </w:p>
          <w:p>
            <w:pPr>
              <w:pStyle w:val="TableParagraph"/>
              <w:spacing w:line="240" w:lineRule="auto" w:before="102"/>
              <w:ind w:left="76" w:right="0"/>
              <w:jc w:val="left"/>
              <w:rPr>
                <w:rFonts w:ascii="Times New Roman" w:hAnsi="Times New Roman" w:cs="Times New Roman" w:eastAsia="Times New Roman" w:hint="default"/>
                <w:sz w:val="18"/>
                <w:szCs w:val="18"/>
              </w:rPr>
            </w:pPr>
            <w:r>
              <w:rPr>
                <w:rFonts w:ascii="Times New Roman"/>
                <w:sz w:val="18"/>
              </w:rPr>
              <w:t>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 w:right="0"/>
              <w:jc w:val="center"/>
              <w:rPr>
                <w:rFonts w:ascii="Times New Roman" w:hAnsi="Times New Roman" w:cs="Times New Roman" w:eastAsia="Times New Roman" w:hint="default"/>
                <w:sz w:val="18"/>
                <w:szCs w:val="18"/>
              </w:rPr>
            </w:pPr>
            <w:r>
              <w:rPr>
                <w:rFonts w:ascii="Times New Roman"/>
                <w:sz w:val="18"/>
              </w:rPr>
              <w:t>85%</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8" w:right="44"/>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日照秉信网络科技合伙企业</w:t>
            </w:r>
          </w:p>
          <w:p>
            <w:pPr>
              <w:pStyle w:val="TableParagraph"/>
              <w:spacing w:line="316" w:lineRule="auto" w:before="74"/>
              <w:ind w:left="24" w:right="53"/>
              <w:jc w:val="both"/>
              <w:rPr>
                <w:rFonts w:ascii="宋体" w:hAnsi="宋体" w:cs="宋体" w:eastAsia="宋体" w:hint="default"/>
                <w:sz w:val="18"/>
                <w:szCs w:val="18"/>
              </w:rPr>
            </w:pPr>
            <w:r>
              <w:rPr>
                <w:rFonts w:ascii="宋体" w:hAnsi="宋体" w:cs="宋体" w:eastAsia="宋体" w:hint="default"/>
                <w:sz w:val="18"/>
                <w:szCs w:val="18"/>
              </w:rPr>
              <w:t>（有限合伙）、五莲正本清 源网络科技合伙企业（有限 合伙）、天津华霖股权投资 </w:t>
            </w:r>
            <w:r>
              <w:rPr>
                <w:rFonts w:ascii="宋体" w:hAnsi="宋体" w:cs="宋体" w:eastAsia="宋体" w:hint="default"/>
                <w:spacing w:val="-3"/>
                <w:sz w:val="18"/>
                <w:szCs w:val="18"/>
              </w:rPr>
              <w:t>基金合伙企业（有限合伙）</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深圳市致诚博瑞投资合伙企 业（有限合伙）、姜盈顺、 叶国庆、程良钰、黄琼</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47" w:right="45"/>
              <w:jc w:val="left"/>
              <w:rPr>
                <w:rFonts w:ascii="宋体" w:hAnsi="宋体" w:cs="宋体" w:eastAsia="宋体" w:hint="default"/>
                <w:sz w:val="18"/>
                <w:szCs w:val="18"/>
              </w:rPr>
            </w:pPr>
            <w:r>
              <w:rPr>
                <w:rFonts w:ascii="宋体" w:hAnsi="宋体" w:cs="宋体" w:eastAsia="宋体" w:hint="default"/>
                <w:sz w:val="18"/>
                <w:szCs w:val="18"/>
              </w:rPr>
              <w:t>长 期</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center"/>
              <w:rPr>
                <w:rFonts w:ascii="宋体" w:hAnsi="宋体" w:cs="宋体" w:eastAsia="宋体" w:hint="default"/>
                <w:sz w:val="18"/>
                <w:szCs w:val="18"/>
              </w:rPr>
            </w:pPr>
            <w:r>
              <w:rPr>
                <w:rFonts w:ascii="宋体" w:hAnsi="宋体" w:cs="宋体" w:eastAsia="宋体" w:hint="default"/>
                <w:sz w:val="18"/>
                <w:szCs w:val="18"/>
              </w:rPr>
              <w:t>人脸识别 及</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AI</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行业 应用解决 </w:t>
            </w:r>
            <w:r>
              <w:rPr>
                <w:rFonts w:ascii="宋体" w:hAnsi="宋体" w:cs="宋体" w:eastAsia="宋体" w:hint="default"/>
                <w:spacing w:val="-17"/>
                <w:sz w:val="18"/>
                <w:szCs w:val="18"/>
              </w:rPr>
              <w:t>方案、警务</w:t>
            </w:r>
            <w:r>
              <w:rPr>
                <w:rFonts w:ascii="宋体" w:hAnsi="宋体" w:cs="宋体" w:eastAsia="宋体" w:hint="default"/>
                <w:sz w:val="18"/>
                <w:szCs w:val="18"/>
              </w:rPr>
              <w:t> </w:t>
            </w:r>
            <w:r>
              <w:rPr>
                <w:rFonts w:ascii="宋体" w:hAnsi="宋体" w:cs="宋体" w:eastAsia="宋体" w:hint="default"/>
                <w:spacing w:val="-17"/>
                <w:sz w:val="18"/>
                <w:szCs w:val="18"/>
              </w:rPr>
              <w:t>大数据、云</w:t>
            </w:r>
            <w:r>
              <w:rPr>
                <w:rFonts w:ascii="宋体" w:hAnsi="宋体" w:cs="宋体" w:eastAsia="宋体" w:hint="default"/>
                <w:sz w:val="18"/>
                <w:szCs w:val="18"/>
              </w:rPr>
              <w:t> 计算等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316" w:lineRule="auto" w:before="60"/>
              <w:ind w:left="59" w:right="59"/>
              <w:jc w:val="center"/>
              <w:rPr>
                <w:rFonts w:ascii="宋体" w:hAnsi="宋体" w:cs="宋体" w:eastAsia="宋体" w:hint="default"/>
                <w:sz w:val="18"/>
                <w:szCs w:val="18"/>
              </w:rPr>
            </w:pPr>
            <w:r>
              <w:rPr>
                <w:rFonts w:ascii="宋体" w:hAnsi="宋体" w:cs="宋体" w:eastAsia="宋体" w:hint="default"/>
                <w:sz w:val="18"/>
                <w:szCs w:val="18"/>
              </w:rPr>
              <w:t>月完成工 商变更登 记</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45,319,1</w:t>
            </w:r>
          </w:p>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41.75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 w:right="0"/>
              <w:jc w:val="center"/>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7"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6"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75"/>
                <w:sz w:val="18"/>
                <w:szCs w:val="18"/>
              </w:rPr>
              <w:t>、</w:t>
            </w:r>
            <w:r>
              <w:rPr>
                <w:rFonts w:ascii="Times New Roman" w:hAnsi="Times New Roman" w:cs="Times New Roman" w:eastAsia="Times New Roman" w:hint="default"/>
                <w:sz w:val="18"/>
                <w:szCs w:val="18"/>
              </w:rPr>
              <w:t>1</w:t>
            </w:r>
          </w:p>
          <w:p>
            <w:pPr>
              <w:pStyle w:val="TableParagraph"/>
              <w:spacing w:line="240" w:lineRule="auto" w:before="63"/>
              <w:ind w:left="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24"/>
              <w:jc w:val="both"/>
              <w:rPr>
                <w:rFonts w:ascii="宋体" w:hAnsi="宋体" w:cs="宋体" w:eastAsia="宋体" w:hint="default"/>
                <w:sz w:val="18"/>
                <w:szCs w:val="18"/>
              </w:rPr>
            </w:pPr>
            <w:r>
              <w:rPr>
                <w:rFonts w:ascii="宋体" w:hAnsi="宋体" w:cs="宋体" w:eastAsia="宋体" w:hint="default"/>
                <w:sz w:val="18"/>
                <w:szCs w:val="18"/>
              </w:rPr>
              <w:t>《证券时 报》及巨 潮资讯网</w:t>
            </w:r>
          </w:p>
          <w:p>
            <w:pPr>
              <w:pStyle w:val="TableParagraph"/>
              <w:spacing w:line="362" w:lineRule="auto" w:before="61"/>
              <w:ind w:left="26" w:right="26" w:firstLine="33"/>
              <w:jc w:val="both"/>
              <w:rPr>
                <w:rFonts w:ascii="Times New Roman" w:hAnsi="Times New Roman" w:cs="Times New Roman" w:eastAsia="Times New Roman" w:hint="default"/>
                <w:sz w:val="18"/>
                <w:szCs w:val="18"/>
              </w:rPr>
            </w:pPr>
            <w:r>
              <w:rPr>
                <w:rFonts w:ascii="Times New Roman"/>
                <w:sz w:val="18"/>
              </w:rPr>
              <w:t>www.cni nfo.com.c</w:t>
            </w:r>
          </w:p>
          <w:p>
            <w:pPr>
              <w:pStyle w:val="TableParagraph"/>
              <w:spacing w:line="210" w:lineRule="exact"/>
              <w:ind w:left="43" w:right="0" w:firstLine="7"/>
              <w:jc w:val="both"/>
              <w:rPr>
                <w:rFonts w:ascii="宋体" w:hAnsi="宋体" w:cs="宋体" w:eastAsia="宋体" w:hint="default"/>
                <w:sz w:val="18"/>
                <w:szCs w:val="18"/>
              </w:rPr>
            </w:pPr>
            <w:r>
              <w:rPr>
                <w:rFonts w:ascii="Times New Roman" w:hAnsi="Times New Roman" w:cs="Times New Roman" w:eastAsia="Times New Roman" w:hint="default"/>
                <w:sz w:val="18"/>
                <w:szCs w:val="18"/>
              </w:rPr>
              <w:t>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上的临</w:t>
            </w:r>
          </w:p>
          <w:p>
            <w:pPr>
              <w:pStyle w:val="TableParagraph"/>
              <w:spacing w:line="240" w:lineRule="auto" w:before="105"/>
              <w:ind w:left="43" w:right="0"/>
              <w:jc w:val="both"/>
              <w:rPr>
                <w:rFonts w:ascii="Times New Roman" w:hAnsi="Times New Roman" w:cs="Times New Roman" w:eastAsia="Times New Roman" w:hint="default"/>
                <w:sz w:val="18"/>
                <w:szCs w:val="18"/>
              </w:rPr>
            </w:pPr>
            <w:r>
              <w:rPr>
                <w:rFonts w:ascii="Times New Roman"/>
                <w:sz w:val="18"/>
              </w:rPr>
              <w:t>2018-001</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宋体" w:hAnsi="宋体" w:cs="宋体" w:eastAsia="宋体" w:hint="default"/>
                <w:spacing w:val="-87"/>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2</w:t>
            </w:r>
            <w:r>
              <w:rPr>
                <w:rFonts w:ascii="宋体" w:hAnsi="宋体" w:cs="宋体" w:eastAsia="宋体" w:hint="default"/>
                <w:spacing w:val="-87"/>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3</w:t>
            </w:r>
          </w:p>
          <w:p>
            <w:pPr>
              <w:pStyle w:val="TableParagraph"/>
              <w:spacing w:line="240" w:lineRule="auto" w:before="63"/>
              <w:ind w:left="117" w:right="0"/>
              <w:jc w:val="both"/>
              <w:rPr>
                <w:rFonts w:ascii="宋体" w:hAnsi="宋体" w:cs="宋体" w:eastAsia="宋体" w:hint="default"/>
                <w:sz w:val="18"/>
                <w:szCs w:val="18"/>
              </w:rPr>
            </w:pPr>
            <w:r>
              <w:rPr>
                <w:rFonts w:ascii="宋体" w:hAnsi="宋体" w:cs="宋体" w:eastAsia="宋体" w:hint="default"/>
                <w:sz w:val="18"/>
                <w:szCs w:val="18"/>
              </w:rPr>
              <w:t>号公告</w:t>
            </w:r>
          </w:p>
        </w:tc>
      </w:tr>
      <w:tr>
        <w:trPr>
          <w:trHeight w:val="3521" w:hRule="exact"/>
        </w:trPr>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8" w:right="104"/>
              <w:jc w:val="center"/>
              <w:rPr>
                <w:rFonts w:ascii="宋体" w:hAnsi="宋体" w:cs="宋体" w:eastAsia="宋体" w:hint="default"/>
                <w:sz w:val="18"/>
                <w:szCs w:val="18"/>
              </w:rPr>
            </w:pPr>
            <w:r>
              <w:rPr>
                <w:rFonts w:ascii="宋体" w:hAnsi="宋体" w:cs="宋体" w:eastAsia="宋体" w:hint="default"/>
                <w:sz w:val="18"/>
                <w:szCs w:val="18"/>
              </w:rPr>
              <w:t>北京中 科江南 信息技 术股份 有限公 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5"/>
              <w:jc w:val="both"/>
              <w:rPr>
                <w:rFonts w:ascii="宋体" w:hAnsi="宋体" w:cs="宋体" w:eastAsia="宋体" w:hint="default"/>
                <w:sz w:val="18"/>
                <w:szCs w:val="18"/>
              </w:rPr>
            </w:pPr>
            <w:r>
              <w:rPr>
                <w:rFonts w:ascii="宋体" w:hAnsi="宋体" w:cs="宋体" w:eastAsia="宋体" w:hint="default"/>
                <w:sz w:val="18"/>
                <w:szCs w:val="18"/>
              </w:rPr>
              <w:t>智</w:t>
            </w:r>
            <w:r>
              <w:rPr>
                <w:rFonts w:ascii="宋体" w:hAnsi="宋体" w:cs="宋体" w:eastAsia="宋体" w:hint="default"/>
                <w:spacing w:val="61"/>
                <w:sz w:val="18"/>
                <w:szCs w:val="18"/>
              </w:rPr>
              <w:t> </w:t>
            </w:r>
            <w:r>
              <w:rPr>
                <w:rFonts w:ascii="宋体" w:hAnsi="宋体" w:cs="宋体" w:eastAsia="宋体" w:hint="default"/>
                <w:sz w:val="18"/>
                <w:szCs w:val="18"/>
              </w:rPr>
              <w:t>慧</w:t>
            </w:r>
            <w:r>
              <w:rPr>
                <w:rFonts w:ascii="宋体" w:hAnsi="宋体" w:cs="宋体" w:eastAsia="宋体" w:hint="default"/>
                <w:sz w:val="18"/>
                <w:szCs w:val="18"/>
              </w:rPr>
              <w:t> 金融、 政</w:t>
            </w:r>
            <w:r>
              <w:rPr>
                <w:rFonts w:ascii="宋体" w:hAnsi="宋体" w:cs="宋体" w:eastAsia="宋体" w:hint="default"/>
                <w:spacing w:val="61"/>
                <w:sz w:val="18"/>
                <w:szCs w:val="18"/>
              </w:rPr>
              <w:t> </w:t>
            </w:r>
            <w:r>
              <w:rPr>
                <w:rFonts w:ascii="宋体" w:hAnsi="宋体" w:cs="宋体" w:eastAsia="宋体" w:hint="default"/>
                <w:sz w:val="18"/>
                <w:szCs w:val="18"/>
              </w:rPr>
              <w:t>府</w:t>
            </w:r>
          </w:p>
          <w:p>
            <w:pPr>
              <w:pStyle w:val="TableParagraph"/>
              <w:spacing w:line="240" w:lineRule="auto" w:before="17"/>
              <w:ind w:left="23" w:right="0"/>
              <w:jc w:val="both"/>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pacing w:val="61"/>
                <w:sz w:val="18"/>
                <w:szCs w:val="18"/>
              </w:rPr>
              <w:t> </w:t>
            </w:r>
            <w:r>
              <w:rPr>
                <w:rFonts w:ascii="宋体" w:hAnsi="宋体" w:cs="宋体" w:eastAsia="宋体" w:hint="default"/>
                <w:sz w:val="18"/>
                <w:szCs w:val="18"/>
              </w:rPr>
              <w:t>政</w:t>
            </w:r>
          </w:p>
          <w:p>
            <w:pPr>
              <w:pStyle w:val="TableParagraph"/>
              <w:spacing w:line="240" w:lineRule="auto" w:before="76"/>
              <w:ind w:left="23" w:right="0"/>
              <w:jc w:val="both"/>
              <w:rPr>
                <w:rFonts w:ascii="宋体" w:hAnsi="宋体" w:cs="宋体" w:eastAsia="宋体" w:hint="default"/>
                <w:sz w:val="18"/>
                <w:szCs w:val="18"/>
              </w:rPr>
            </w:pPr>
            <w:r>
              <w:rPr>
                <w:rFonts w:ascii="宋体" w:hAnsi="宋体" w:cs="宋体" w:eastAsia="宋体" w:hint="default"/>
                <w:sz w:val="18"/>
                <w:szCs w:val="18"/>
              </w:rPr>
              <w:t>信</w:t>
            </w:r>
            <w:r>
              <w:rPr>
                <w:rFonts w:ascii="宋体" w:hAnsi="宋体" w:cs="宋体" w:eastAsia="宋体" w:hint="default"/>
                <w:spacing w:val="61"/>
                <w:sz w:val="18"/>
                <w:szCs w:val="18"/>
              </w:rPr>
              <w:t> </w:t>
            </w:r>
            <w:r>
              <w:rPr>
                <w:rFonts w:ascii="宋体" w:hAnsi="宋体" w:cs="宋体" w:eastAsia="宋体" w:hint="default"/>
                <w:sz w:val="18"/>
                <w:szCs w:val="18"/>
              </w:rPr>
              <w:t>息</w:t>
            </w:r>
          </w:p>
          <w:p>
            <w:pPr>
              <w:pStyle w:val="TableParagraph"/>
              <w:spacing w:line="316" w:lineRule="auto" w:before="76"/>
              <w:ind w:left="23" w:right="21"/>
              <w:jc w:val="both"/>
              <w:rPr>
                <w:rFonts w:ascii="宋体" w:hAnsi="宋体" w:cs="宋体" w:eastAsia="宋体" w:hint="default"/>
                <w:sz w:val="18"/>
                <w:szCs w:val="18"/>
              </w:rPr>
            </w:pPr>
            <w:r>
              <w:rPr>
                <w:rFonts w:ascii="宋体" w:hAnsi="宋体" w:cs="宋体" w:eastAsia="宋体" w:hint="default"/>
                <w:sz w:val="18"/>
                <w:szCs w:val="18"/>
              </w:rPr>
              <w:t>化</w:t>
            </w:r>
            <w:r>
              <w:rPr>
                <w:rFonts w:ascii="宋体" w:hAnsi="宋体" w:cs="宋体" w:eastAsia="宋体" w:hint="default"/>
                <w:spacing w:val="61"/>
                <w:sz w:val="18"/>
                <w:szCs w:val="18"/>
              </w:rPr>
              <w:t> </w:t>
            </w:r>
            <w:r>
              <w:rPr>
                <w:rFonts w:ascii="宋体" w:hAnsi="宋体" w:cs="宋体" w:eastAsia="宋体" w:hint="default"/>
                <w:sz w:val="18"/>
                <w:szCs w:val="18"/>
              </w:rPr>
              <w:t>安</w:t>
            </w:r>
            <w:r>
              <w:rPr>
                <w:rFonts w:ascii="宋体" w:hAnsi="宋体" w:cs="宋体" w:eastAsia="宋体" w:hint="default"/>
                <w:sz w:val="18"/>
                <w:szCs w:val="18"/>
              </w:rPr>
              <w:t> 全</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312,80</w:t>
            </w:r>
          </w:p>
          <w:p>
            <w:pPr>
              <w:pStyle w:val="TableParagraph"/>
              <w:spacing w:line="240" w:lineRule="auto" w:before="105"/>
              <w:ind w:left="76" w:right="0"/>
              <w:jc w:val="left"/>
              <w:rPr>
                <w:rFonts w:ascii="Times New Roman" w:hAnsi="Times New Roman" w:cs="Times New Roman" w:eastAsia="Times New Roman" w:hint="default"/>
                <w:sz w:val="18"/>
                <w:szCs w:val="18"/>
              </w:rPr>
            </w:pPr>
            <w:r>
              <w:rPr>
                <w:rFonts w:ascii="Times New Roman"/>
                <w:sz w:val="18"/>
              </w:rPr>
              <w:t>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46%</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48" w:right="44"/>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2249" w:type="dxa"/>
            <w:tcBorders>
              <w:top w:val="single" w:sz="4" w:space="0" w:color="000000"/>
              <w:left w:val="single" w:sz="4" w:space="0" w:color="000000"/>
              <w:bottom w:val="single" w:sz="4" w:space="0" w:color="000000"/>
              <w:right w:val="single" w:sz="10" w:space="0" w:color="FFFFFF"/>
            </w:tcBorders>
          </w:tcPr>
          <w:p>
            <w:pPr>
              <w:pStyle w:val="TableParagraph"/>
              <w:spacing w:line="319" w:lineRule="auto" w:before="49"/>
              <w:ind w:left="24" w:right="31" w:firstLine="14"/>
              <w:jc w:val="left"/>
              <w:rPr>
                <w:rFonts w:ascii="宋体" w:hAnsi="宋体" w:cs="宋体" w:eastAsia="宋体" w:hint="default"/>
                <w:sz w:val="18"/>
                <w:szCs w:val="18"/>
              </w:rPr>
            </w:pPr>
            <w:r>
              <w:rPr>
                <w:rFonts w:ascii="宋体" w:hAnsi="宋体" w:cs="宋体" w:eastAsia="宋体" w:hint="default"/>
                <w:sz w:val="18"/>
                <w:szCs w:val="18"/>
              </w:rPr>
              <w:t>丁绍连、天津融商力源企业 </w:t>
            </w:r>
            <w:r>
              <w:rPr>
                <w:rFonts w:ascii="宋体" w:hAnsi="宋体" w:cs="宋体" w:eastAsia="宋体" w:hint="default"/>
                <w:spacing w:val="-5"/>
                <w:sz w:val="18"/>
                <w:szCs w:val="18"/>
              </w:rPr>
              <w:t>管理咨询中心（有限合伙）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天津科鼎好友信息技术中心</w:t>
            </w:r>
          </w:p>
          <w:p>
            <w:pPr>
              <w:pStyle w:val="TableParagraph"/>
              <w:spacing w:line="316" w:lineRule="auto" w:before="17"/>
              <w:ind w:left="38" w:right="31"/>
              <w:jc w:val="center"/>
              <w:rPr>
                <w:rFonts w:ascii="宋体" w:hAnsi="宋体" w:cs="宋体" w:eastAsia="宋体" w:hint="default"/>
                <w:sz w:val="18"/>
                <w:szCs w:val="18"/>
              </w:rPr>
            </w:pPr>
            <w:r>
              <w:rPr>
                <w:rFonts w:ascii="宋体" w:hAnsi="宋体" w:cs="宋体" w:eastAsia="宋体" w:hint="default"/>
                <w:sz w:val="18"/>
                <w:szCs w:val="18"/>
              </w:rPr>
              <w:t>（有限合伙）、天津众志软 科信息技术中心（有限合 伙）、石向欣、罗泽亿、王 洋、新疆群桢股权投资有限 合伙企业、南京立睿富临股 权投资基金合伙企业（有限 合伙）、新疆贯喜君鸿股权 投资有限合伙企业</w:t>
            </w:r>
          </w:p>
        </w:tc>
        <w:tc>
          <w:tcPr>
            <w:tcW w:w="28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长</w:t>
            </w:r>
          </w:p>
          <w:p>
            <w:pPr>
              <w:pStyle w:val="TableParagraph"/>
              <w:spacing w:line="240" w:lineRule="auto" w:before="76"/>
              <w:ind w:left="-130" w:right="45"/>
              <w:jc w:val="center"/>
              <w:rPr>
                <w:rFonts w:ascii="宋体" w:hAnsi="宋体" w:cs="宋体" w:eastAsia="宋体" w:hint="default"/>
                <w:sz w:val="18"/>
                <w:szCs w:val="18"/>
              </w:rPr>
            </w:pPr>
            <w:r>
              <w:rPr>
                <w:rFonts w:ascii="宋体" w:hAnsi="宋体" w:cs="宋体" w:eastAsia="宋体" w:hint="default"/>
                <w:spacing w:val="-5"/>
                <w:sz w:val="18"/>
                <w:szCs w:val="18"/>
              </w:rPr>
              <w:t>、期</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firstLine="48"/>
              <w:jc w:val="both"/>
              <w:rPr>
                <w:rFonts w:ascii="宋体" w:hAnsi="宋体" w:cs="宋体" w:eastAsia="宋体" w:hint="default"/>
                <w:sz w:val="18"/>
                <w:szCs w:val="18"/>
              </w:rPr>
            </w:pPr>
            <w:r>
              <w:rPr>
                <w:rFonts w:ascii="宋体" w:hAnsi="宋体" w:cs="宋体" w:eastAsia="宋体" w:hint="default"/>
                <w:sz w:val="18"/>
                <w:szCs w:val="18"/>
              </w:rPr>
              <w:t>电子化安 全解决方 </w:t>
            </w:r>
            <w:r>
              <w:rPr>
                <w:rFonts w:ascii="宋体" w:hAnsi="宋体" w:cs="宋体" w:eastAsia="宋体" w:hint="default"/>
                <w:spacing w:val="-17"/>
                <w:sz w:val="18"/>
                <w:szCs w:val="18"/>
              </w:rPr>
              <w:t>案、财政综</w:t>
            </w:r>
            <w:r>
              <w:rPr>
                <w:rFonts w:ascii="宋体" w:hAnsi="宋体" w:cs="宋体" w:eastAsia="宋体" w:hint="default"/>
                <w:sz w:val="18"/>
                <w:szCs w:val="18"/>
              </w:rPr>
              <w:t> 合业务管 </w:t>
            </w:r>
            <w:r>
              <w:rPr>
                <w:rFonts w:ascii="宋体" w:hAnsi="宋体" w:cs="宋体" w:eastAsia="宋体" w:hint="default"/>
                <w:spacing w:val="-17"/>
                <w:sz w:val="18"/>
                <w:szCs w:val="18"/>
              </w:rPr>
              <w:t>理系统、行</w:t>
            </w:r>
            <w:r>
              <w:rPr>
                <w:rFonts w:ascii="宋体" w:hAnsi="宋体" w:cs="宋体" w:eastAsia="宋体" w:hint="default"/>
                <w:sz w:val="18"/>
                <w:szCs w:val="18"/>
              </w:rPr>
              <w:t> 政事业单 位财务管 </w:t>
            </w:r>
            <w:r>
              <w:rPr>
                <w:rFonts w:ascii="宋体" w:hAnsi="宋体" w:cs="宋体" w:eastAsia="宋体" w:hint="default"/>
                <w:spacing w:val="-17"/>
                <w:sz w:val="18"/>
                <w:szCs w:val="18"/>
              </w:rPr>
              <w:t>理系统、运</w:t>
            </w:r>
            <w:r>
              <w:rPr>
                <w:rFonts w:ascii="宋体" w:hAnsi="宋体" w:cs="宋体" w:eastAsia="宋体" w:hint="default"/>
                <w:sz w:val="18"/>
                <w:szCs w:val="18"/>
              </w:rPr>
              <w:t> 维服务等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319" w:lineRule="auto" w:before="63"/>
              <w:ind w:left="59" w:right="59"/>
              <w:jc w:val="center"/>
              <w:rPr>
                <w:rFonts w:ascii="宋体" w:hAnsi="宋体" w:cs="宋体" w:eastAsia="宋体" w:hint="default"/>
                <w:sz w:val="18"/>
                <w:szCs w:val="18"/>
              </w:rPr>
            </w:pPr>
            <w:r>
              <w:rPr>
                <w:rFonts w:ascii="宋体" w:hAnsi="宋体" w:cs="宋体" w:eastAsia="宋体" w:hint="default"/>
                <w:sz w:val="18"/>
                <w:szCs w:val="18"/>
              </w:rPr>
              <w:t>月完成工 商变更登 记</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25,187,5</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19.83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7"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6"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75"/>
                <w:sz w:val="18"/>
                <w:szCs w:val="18"/>
              </w:rPr>
              <w:t>、</w:t>
            </w:r>
            <w:r>
              <w:rPr>
                <w:rFonts w:ascii="Times New Roman" w:hAnsi="Times New Roman" w:cs="Times New Roman" w:eastAsia="Times New Roman" w:hint="default"/>
                <w:sz w:val="18"/>
                <w:szCs w:val="18"/>
              </w:rPr>
              <w:t>3</w:t>
            </w:r>
          </w:p>
          <w:p>
            <w:pPr>
              <w:pStyle w:val="TableParagraph"/>
              <w:spacing w:line="240" w:lineRule="auto" w:before="63"/>
              <w:ind w:left="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24"/>
              <w:jc w:val="both"/>
              <w:rPr>
                <w:rFonts w:ascii="宋体" w:hAnsi="宋体" w:cs="宋体" w:eastAsia="宋体" w:hint="default"/>
                <w:sz w:val="18"/>
                <w:szCs w:val="18"/>
              </w:rPr>
            </w:pPr>
            <w:r>
              <w:rPr>
                <w:rFonts w:ascii="宋体" w:hAnsi="宋体" w:cs="宋体" w:eastAsia="宋体" w:hint="default"/>
                <w:sz w:val="18"/>
                <w:szCs w:val="18"/>
              </w:rPr>
              <w:t>《证券时 报》及巨 潮资讯网</w:t>
            </w:r>
          </w:p>
          <w:p>
            <w:pPr>
              <w:pStyle w:val="TableParagraph"/>
              <w:spacing w:line="240" w:lineRule="auto" w:before="59"/>
              <w:ind w:left="26" w:right="0" w:firstLine="33"/>
              <w:jc w:val="both"/>
              <w:rPr>
                <w:rFonts w:ascii="Times New Roman" w:hAnsi="Times New Roman" w:cs="Times New Roman" w:eastAsia="Times New Roman" w:hint="default"/>
                <w:sz w:val="18"/>
                <w:szCs w:val="18"/>
              </w:rPr>
            </w:pPr>
            <w:r>
              <w:rPr>
                <w:rFonts w:ascii="Times New Roman"/>
                <w:sz w:val="18"/>
              </w:rPr>
              <w:t>www.cni</w:t>
            </w:r>
          </w:p>
          <w:p>
            <w:pPr>
              <w:pStyle w:val="TableParagraph"/>
              <w:spacing w:line="326" w:lineRule="auto" w:before="105"/>
              <w:ind w:left="43" w:right="26" w:hanging="17"/>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nfo.com.c 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上的临 </w:t>
            </w:r>
            <w:r>
              <w:rPr>
                <w:rFonts w:ascii="Times New Roman" w:hAnsi="Times New Roman" w:cs="Times New Roman" w:eastAsia="Times New Roman" w:hint="default"/>
                <w:sz w:val="18"/>
                <w:szCs w:val="18"/>
              </w:rPr>
              <w:t>2018-004</w:t>
            </w:r>
          </w:p>
          <w:p>
            <w:pPr>
              <w:pStyle w:val="TableParagraph"/>
              <w:spacing w:line="240" w:lineRule="exact"/>
              <w:ind w:left="24" w:right="0"/>
              <w:jc w:val="both"/>
              <w:rPr>
                <w:rFonts w:ascii="Times New Roman" w:hAnsi="Times New Roman" w:cs="Times New Roman" w:eastAsia="Times New Roman" w:hint="default"/>
                <w:sz w:val="18"/>
                <w:szCs w:val="18"/>
              </w:rPr>
            </w:pPr>
            <w:r>
              <w:rPr>
                <w:rFonts w:ascii="宋体" w:hAnsi="宋体" w:cs="宋体" w:eastAsia="宋体" w:hint="default"/>
                <w:spacing w:val="-87"/>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7</w:t>
            </w:r>
            <w:r>
              <w:rPr>
                <w:rFonts w:ascii="宋体" w:hAnsi="宋体" w:cs="宋体" w:eastAsia="宋体" w:hint="default"/>
                <w:spacing w:val="-87"/>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p>
          <w:p>
            <w:pPr>
              <w:pStyle w:val="TableParagraph"/>
              <w:spacing w:line="240" w:lineRule="auto" w:before="63"/>
              <w:ind w:left="117" w:right="0"/>
              <w:jc w:val="both"/>
              <w:rPr>
                <w:rFonts w:ascii="宋体" w:hAnsi="宋体" w:cs="宋体" w:eastAsia="宋体" w:hint="default"/>
                <w:sz w:val="18"/>
                <w:szCs w:val="18"/>
              </w:rPr>
            </w:pPr>
            <w:r>
              <w:rPr>
                <w:rFonts w:ascii="宋体" w:hAnsi="宋体" w:cs="宋体" w:eastAsia="宋体" w:hint="default"/>
                <w:sz w:val="18"/>
                <w:szCs w:val="18"/>
              </w:rPr>
              <w:t>号公告</w:t>
            </w:r>
          </w:p>
        </w:tc>
      </w:tr>
      <w:tr>
        <w:trPr>
          <w:trHeight w:val="1068" w:hRule="exact"/>
        </w:trPr>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640,05</w:t>
            </w:r>
          </w:p>
          <w:p>
            <w:pPr>
              <w:pStyle w:val="TableParagraph"/>
              <w:spacing w:line="240" w:lineRule="auto" w:before="103"/>
              <w:ind w:left="129" w:right="0"/>
              <w:jc w:val="left"/>
              <w:rPr>
                <w:rFonts w:ascii="Times New Roman" w:hAnsi="Times New Roman" w:cs="Times New Roman" w:eastAsia="Times New Roman" w:hint="default"/>
                <w:sz w:val="18"/>
                <w:szCs w:val="18"/>
              </w:rPr>
            </w:pPr>
            <w:r>
              <w:rPr>
                <w:rFonts w:ascii="Times New Roman"/>
                <w:sz w:val="18"/>
              </w:rPr>
              <w:t>0,000</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w:t>
            </w:r>
          </w:p>
        </w:tc>
        <w:tc>
          <w:tcPr>
            <w:tcW w:w="2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70,506,6</w:t>
            </w:r>
          </w:p>
          <w:p>
            <w:pPr>
              <w:pStyle w:val="TableParagraph"/>
              <w:spacing w:line="240" w:lineRule="auto" w:before="103"/>
              <w:ind w:left="23" w:right="0"/>
              <w:jc w:val="left"/>
              <w:rPr>
                <w:rFonts w:ascii="Times New Roman" w:hAnsi="Times New Roman" w:cs="Times New Roman" w:eastAsia="Times New Roman" w:hint="default"/>
                <w:sz w:val="18"/>
                <w:szCs w:val="18"/>
              </w:rPr>
            </w:pPr>
            <w:r>
              <w:rPr>
                <w:rFonts w:ascii="Times New Roman"/>
                <w:sz w:val="18"/>
              </w:rPr>
              <w:t>61.58</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820" w:right="0"/>
        </w:sectPr>
      </w:pPr>
    </w:p>
    <w:p>
      <w:pPr>
        <w:spacing w:line="240" w:lineRule="auto" w:before="4"/>
        <w:rPr>
          <w:rFonts w:ascii="宋体" w:hAnsi="宋体" w:cs="宋体" w:eastAsia="宋体" w:hint="default"/>
          <w:sz w:val="21"/>
          <w:szCs w:val="21"/>
        </w:rPr>
      </w:pPr>
    </w:p>
    <w:p>
      <w:pPr>
        <w:pStyle w:val="Heading4"/>
        <w:spacing w:line="240" w:lineRule="auto" w:before="37"/>
        <w:ind w:left="332"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3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6"/>
          <w:szCs w:val="26"/>
        </w:rPr>
      </w:pPr>
    </w:p>
    <w:p>
      <w:pPr>
        <w:pStyle w:val="Heading4"/>
        <w:spacing w:line="240" w:lineRule="auto"/>
        <w:ind w:left="332"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3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425"/>
        <w:gridCol w:w="1418"/>
        <w:gridCol w:w="1133"/>
        <w:gridCol w:w="1418"/>
        <w:gridCol w:w="1349"/>
        <w:gridCol w:w="1202"/>
        <w:gridCol w:w="1277"/>
        <w:gridCol w:w="1416"/>
        <w:gridCol w:w="427"/>
      </w:tblGrid>
      <w:tr>
        <w:trPr>
          <w:trHeight w:val="715" w:hRule="exact"/>
        </w:trPr>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8" w:right="24"/>
              <w:jc w:val="left"/>
              <w:rPr>
                <w:rFonts w:ascii="宋体" w:hAnsi="宋体" w:cs="宋体" w:eastAsia="宋体" w:hint="default"/>
                <w:sz w:val="18"/>
                <w:szCs w:val="18"/>
              </w:rPr>
            </w:pPr>
            <w:r>
              <w:rPr>
                <w:rFonts w:ascii="宋体" w:hAnsi="宋体" w:cs="宋体" w:eastAsia="宋体" w:hint="default"/>
                <w:sz w:val="18"/>
                <w:szCs w:val="18"/>
              </w:rPr>
              <w:t>资产 类别</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初始投资成本</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2" w:right="110"/>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65" w:right="72" w:hanging="92"/>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580" w:right="36" w:hanging="540"/>
              <w:jc w:val="left"/>
              <w:rPr>
                <w:rFonts w:ascii="宋体" w:hAnsi="宋体" w:cs="宋体" w:eastAsia="宋体" w:hint="default"/>
                <w:sz w:val="18"/>
                <w:szCs w:val="18"/>
              </w:rPr>
            </w:pPr>
            <w:r>
              <w:rPr>
                <w:rFonts w:ascii="宋体" w:hAnsi="宋体" w:cs="宋体" w:eastAsia="宋体" w:hint="default"/>
                <w:sz w:val="18"/>
                <w:szCs w:val="18"/>
              </w:rPr>
              <w:t>报告期内购入金 额</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17" w:right="53" w:hanging="360"/>
              <w:jc w:val="left"/>
              <w:rPr>
                <w:rFonts w:ascii="宋体" w:hAnsi="宋体" w:cs="宋体" w:eastAsia="宋体" w:hint="default"/>
                <w:sz w:val="18"/>
                <w:szCs w:val="18"/>
              </w:rPr>
            </w:pPr>
            <w:r>
              <w:rPr>
                <w:rFonts w:ascii="宋体" w:hAnsi="宋体" w:cs="宋体" w:eastAsia="宋体" w:hint="default"/>
                <w:sz w:val="18"/>
                <w:szCs w:val="18"/>
              </w:rPr>
              <w:t>报告期内售出 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2"/>
              <w:jc w:val="right"/>
              <w:rPr>
                <w:rFonts w:ascii="宋体" w:hAnsi="宋体" w:cs="宋体" w:eastAsia="宋体" w:hint="default"/>
                <w:sz w:val="18"/>
                <w:szCs w:val="18"/>
              </w:rPr>
            </w:pPr>
            <w:r>
              <w:rPr>
                <w:rFonts w:ascii="宋体" w:hAnsi="宋体" w:cs="宋体" w:eastAsia="宋体" w:hint="default"/>
                <w:sz w:val="18"/>
                <w:szCs w:val="18"/>
              </w:rPr>
              <w:t>累计投资收益</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8" w:right="26"/>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713"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股票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1,186,032,682.93</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-429,882,868.66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93,322,533.51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5,084,045.43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-1,092,516.95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843,295,785.40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1"/>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403" w:hRule="exact"/>
        </w:trPr>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center"/>
              <w:rPr>
                <w:rFonts w:ascii="Times New Roman" w:hAnsi="Times New Roman" w:cs="Times New Roman" w:eastAsia="Times New Roman" w:hint="default"/>
                <w:sz w:val="18"/>
                <w:szCs w:val="18"/>
              </w:rPr>
            </w:pPr>
            <w:r>
              <w:rPr>
                <w:rFonts w:ascii="Times New Roman"/>
                <w:sz w:val="18"/>
              </w:rPr>
              <w:t>1,186,032,682.93</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-429,882,868.66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93,322,533.51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5,084,045.43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-1,092,516.95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843,295,785.40</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693" w:right="0"/>
        <w:jc w:val="left"/>
        <w:rPr>
          <w:rFonts w:ascii="Times New Roman" w:hAnsi="Times New Roman" w:cs="Times New Roman" w:eastAsia="Times New Roman" w:hint="default"/>
        </w:rPr>
      </w:pPr>
      <w:r>
        <w:rPr/>
        <w:t>截止</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spacing w:val="-5"/>
        </w:rPr>
        <w:t>日，公司持有神州控股</w:t>
      </w:r>
      <w:r>
        <w:rPr>
          <w:spacing w:val="-45"/>
        </w:rPr>
        <w:t> </w:t>
      </w:r>
      <w:r>
        <w:rPr>
          <w:rFonts w:ascii="Times New Roman" w:hAnsi="Times New Roman" w:cs="Times New Roman" w:eastAsia="Times New Roman" w:hint="default"/>
        </w:rPr>
        <w:t>26,586.93</w:t>
      </w:r>
      <w:r>
        <w:rPr>
          <w:rFonts w:ascii="Times New Roman" w:hAnsi="Times New Roman" w:cs="Times New Roman" w:eastAsia="Times New Roman" w:hint="default"/>
          <w:spacing w:val="1"/>
        </w:rPr>
        <w:t> </w:t>
      </w:r>
      <w:r>
        <w:rPr>
          <w:spacing w:val="-13"/>
        </w:rPr>
        <w:t>万股，其</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日的收盘价为</w:t>
      </w:r>
      <w:r>
        <w:rPr>
          <w:spacing w:val="-45"/>
        </w:rPr>
        <w:t> </w:t>
      </w:r>
      <w:r>
        <w:rPr>
          <w:rFonts w:ascii="Times New Roman" w:hAnsi="Times New Roman" w:cs="Times New Roman" w:eastAsia="Times New Roman" w:hint="default"/>
        </w:rPr>
        <w:t>3.62</w:t>
      </w:r>
      <w:r>
        <w:rPr>
          <w:rFonts w:ascii="Times New Roman" w:hAnsi="Times New Roman" w:cs="Times New Roman" w:eastAsia="Times New Roman" w:hint="default"/>
          <w:spacing w:val="1"/>
        </w:rPr>
        <w:t> </w:t>
      </w:r>
      <w:r>
        <w:rPr>
          <w:spacing w:val="-7"/>
        </w:rPr>
        <w:t>港元</w:t>
      </w:r>
      <w:r>
        <w:rPr>
          <w:rFonts w:ascii="Times New Roman" w:hAnsi="Times New Roman" w:cs="Times New Roman" w:eastAsia="Times New Roman" w:hint="default"/>
          <w:spacing w:val="-7"/>
        </w:rPr>
        <w:t>/</w:t>
      </w:r>
      <w:r>
        <w:rPr>
          <w:spacing w:val="-7"/>
        </w:rPr>
        <w:t>股，按照</w:t>
      </w:r>
      <w:r>
        <w:rPr>
          <w:spacing w:val="-46"/>
        </w:rPr>
        <w:t> </w:t>
      </w:r>
      <w:r>
        <w:rPr>
          <w:rFonts w:ascii="Times New Roman" w:hAnsi="Times New Roman" w:cs="Times New Roman" w:eastAsia="Times New Roman" w:hint="default"/>
        </w:rPr>
        <w:t>2018</w:t>
      </w:r>
    </w:p>
    <w:p>
      <w:pPr>
        <w:pStyle w:val="BodyText"/>
        <w:spacing w:line="240" w:lineRule="auto" w:before="63"/>
        <w:ind w:left="332" w:right="0"/>
        <w:jc w:val="left"/>
      </w:pP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 </w:t>
      </w:r>
      <w:r>
        <w:rPr/>
        <w:t>日的汇率折算公允价值为</w:t>
      </w:r>
      <w:r>
        <w:rPr>
          <w:spacing w:val="-45"/>
        </w:rPr>
        <w:t> </w:t>
      </w:r>
      <w:r>
        <w:rPr>
          <w:rFonts w:ascii="Times New Roman" w:hAnsi="Times New Roman" w:cs="Times New Roman" w:eastAsia="Times New Roman" w:hint="default"/>
        </w:rPr>
        <w:t>84,329.58</w:t>
      </w:r>
      <w:r>
        <w:rPr>
          <w:rFonts w:ascii="Times New Roman" w:hAnsi="Times New Roman" w:cs="Times New Roman" w:eastAsia="Times New Roman" w:hint="default"/>
          <w:spacing w:val="1"/>
        </w:rPr>
        <w:t> </w:t>
      </w:r>
      <w:r>
        <w:rPr/>
        <w:t>万元。</w:t>
      </w:r>
    </w:p>
    <w:p>
      <w:pPr>
        <w:spacing w:line="240" w:lineRule="auto" w:before="6"/>
        <w:rPr>
          <w:rFonts w:ascii="宋体" w:hAnsi="宋体" w:cs="宋体" w:eastAsia="宋体" w:hint="default"/>
          <w:sz w:val="26"/>
          <w:szCs w:val="26"/>
        </w:rPr>
      </w:pPr>
    </w:p>
    <w:p>
      <w:pPr>
        <w:pStyle w:val="Heading4"/>
        <w:spacing w:line="240" w:lineRule="auto"/>
        <w:ind w:left="332"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3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9"/>
        <w:rPr>
          <w:rFonts w:ascii="宋体" w:hAnsi="宋体" w:cs="宋体" w:eastAsia="宋体" w:hint="default"/>
          <w:sz w:val="26"/>
          <w:szCs w:val="26"/>
        </w:rPr>
      </w:pPr>
    </w:p>
    <w:p>
      <w:pPr>
        <w:pStyle w:val="Heading4"/>
        <w:spacing w:line="240" w:lineRule="auto"/>
        <w:ind w:left="332"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3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BodyText"/>
        <w:spacing w:line="240" w:lineRule="auto" w:before="44"/>
        <w:ind w:left="0" w:right="1143"/>
        <w:jc w:val="right"/>
      </w:pPr>
      <w:r>
        <w:rPr/>
        <w:pict>
          <v:shape style="position:absolute;margin-left:56.400002pt;margin-top:-176.798294pt;width:479.05pt;height:292.2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08"/>
                    <w:gridCol w:w="710"/>
                    <w:gridCol w:w="991"/>
                    <w:gridCol w:w="853"/>
                    <w:gridCol w:w="991"/>
                    <w:gridCol w:w="963"/>
                    <w:gridCol w:w="869"/>
                    <w:gridCol w:w="871"/>
                    <w:gridCol w:w="869"/>
                    <w:gridCol w:w="1106"/>
                    <w:gridCol w:w="634"/>
                  </w:tblGrid>
                  <w:tr>
                    <w:trPr>
                      <w:trHeight w:val="1378"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60" w:lineRule="auto" w:before="125"/>
                          <w:ind w:left="170" w:right="167"/>
                          <w:jc w:val="left"/>
                          <w:rPr>
                            <w:rFonts w:ascii="宋体" w:hAnsi="宋体" w:cs="宋体" w:eastAsia="宋体" w:hint="default"/>
                            <w:sz w:val="18"/>
                            <w:szCs w:val="18"/>
                          </w:rPr>
                        </w:pPr>
                        <w:r>
                          <w:rPr>
                            <w:rFonts w:ascii="宋体" w:hAnsi="宋体" w:cs="宋体" w:eastAsia="宋体" w:hint="default"/>
                            <w:sz w:val="18"/>
                            <w:szCs w:val="18"/>
                          </w:rPr>
                          <w:t>募集 年份</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60" w:lineRule="auto" w:before="125"/>
                          <w:ind w:left="172" w:right="167"/>
                          <w:jc w:val="left"/>
                          <w:rPr>
                            <w:rFonts w:ascii="宋体" w:hAnsi="宋体" w:cs="宋体" w:eastAsia="宋体" w:hint="default"/>
                            <w:sz w:val="18"/>
                            <w:szCs w:val="18"/>
                          </w:rPr>
                        </w:pPr>
                        <w:r>
                          <w:rPr>
                            <w:rFonts w:ascii="宋体" w:hAnsi="宋体" w:cs="宋体" w:eastAsia="宋体" w:hint="default"/>
                            <w:sz w:val="18"/>
                            <w:szCs w:val="18"/>
                          </w:rPr>
                          <w:t>募集 方式</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60" w:lineRule="auto" w:before="125"/>
                          <w:ind w:left="311" w:right="127"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316" w:lineRule="auto"/>
                          <w:ind w:left="60" w:right="62"/>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40" w:right="38"/>
                          <w:jc w:val="center"/>
                          <w:rPr>
                            <w:rFonts w:ascii="宋体" w:hAnsi="宋体" w:cs="宋体" w:eastAsia="宋体" w:hint="default"/>
                            <w:sz w:val="18"/>
                            <w:szCs w:val="18"/>
                          </w:rPr>
                        </w:pPr>
                        <w:r>
                          <w:rPr>
                            <w:rFonts w:ascii="宋体" w:hAnsi="宋体" w:cs="宋体" w:eastAsia="宋体" w:hint="default"/>
                            <w:sz w:val="18"/>
                            <w:szCs w:val="18"/>
                          </w:rPr>
                          <w:t>已累计使用 募集资金 总额</w:t>
                        </w:r>
                      </w:p>
                    </w:tc>
                    <w:tc>
                      <w:tcPr>
                        <w:tcW w:w="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316" w:lineRule="auto"/>
                          <w:ind w:left="26" w:right="24"/>
                          <w:jc w:val="both"/>
                          <w:rPr>
                            <w:rFonts w:ascii="宋体" w:hAnsi="宋体" w:cs="宋体" w:eastAsia="宋体" w:hint="default"/>
                            <w:sz w:val="18"/>
                            <w:szCs w:val="18"/>
                          </w:rPr>
                        </w:pPr>
                        <w:r>
                          <w:rPr>
                            <w:rFonts w:ascii="宋体" w:hAnsi="宋体" w:cs="宋体" w:eastAsia="宋体" w:hint="default"/>
                            <w:sz w:val="18"/>
                            <w:szCs w:val="18"/>
                          </w:rPr>
                          <w:t>报告期内变 更用途的募 集资金总额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w:t>
                        </w:r>
                      </w:p>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316" w:lineRule="auto"/>
                          <w:ind w:left="100" w:right="95"/>
                          <w:jc w:val="center"/>
                          <w:rPr>
                            <w:rFonts w:ascii="宋体" w:hAnsi="宋体" w:cs="宋体" w:eastAsia="宋体" w:hint="default"/>
                            <w:sz w:val="18"/>
                            <w:szCs w:val="18"/>
                          </w:rPr>
                        </w:pPr>
                        <w:r>
                          <w:rPr>
                            <w:rFonts w:ascii="宋体" w:hAnsi="宋体" w:cs="宋体" w:eastAsia="宋体" w:hint="default"/>
                            <w:sz w:val="18"/>
                            <w:szCs w:val="18"/>
                          </w:rPr>
                          <w:t>尚未使用募 集资金用途 及去向</w:t>
                        </w:r>
                      </w:p>
                    </w:tc>
                    <w:tc>
                      <w:tcPr>
                        <w:tcW w:w="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40" w:right="41"/>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r>
                    <w:trPr>
                      <w:trHeight w:val="134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6" w:right="132"/>
                          <w:jc w:val="left"/>
                          <w:rPr>
                            <w:rFonts w:ascii="宋体" w:hAnsi="宋体" w:cs="宋体" w:eastAsia="宋体" w:hint="default"/>
                            <w:sz w:val="18"/>
                            <w:szCs w:val="18"/>
                          </w:rPr>
                        </w:pPr>
                        <w:r>
                          <w:rPr>
                            <w:rFonts w:ascii="宋体" w:hAnsi="宋体" w:cs="宋体" w:eastAsia="宋体" w:hint="default"/>
                            <w:sz w:val="18"/>
                            <w:szCs w:val="18"/>
                          </w:rPr>
                          <w:t>非公开 发行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311,552.98</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3,604.34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151,445.38</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w:t>
                        </w:r>
                      </w:p>
                    </w:tc>
                    <w:tc>
                      <w:tcPr>
                        <w:tcW w:w="871"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174,065.19</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168"/>
                          <w:jc w:val="both"/>
                          <w:rPr>
                            <w:rFonts w:ascii="宋体" w:hAnsi="宋体" w:cs="宋体" w:eastAsia="宋体" w:hint="default"/>
                            <w:sz w:val="18"/>
                            <w:szCs w:val="18"/>
                          </w:rPr>
                        </w:pPr>
                        <w:r>
                          <w:rPr>
                            <w:rFonts w:ascii="宋体" w:hAnsi="宋体" w:cs="宋体" w:eastAsia="宋体" w:hint="default"/>
                            <w:sz w:val="18"/>
                            <w:szCs w:val="18"/>
                          </w:rPr>
                          <w:t>尚未使用的 募集资金存 放于募集资 金专户</w:t>
                        </w:r>
                      </w:p>
                    </w:tc>
                    <w:tc>
                      <w:tcPr>
                        <w:tcW w:w="63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5"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311,552.98</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3,604.34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151,445.38</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4.49%</w:t>
                        </w:r>
                      </w:p>
                    </w:tc>
                    <w:tc>
                      <w:tcPr>
                        <w:tcW w:w="86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174,065.19</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6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314"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经中国证券监督管理委员会核准（证监许可【</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3135</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号），公司非公开发行</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182,820,000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股 股票，发行价格为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股，募集资金总额为人民币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3,137,191,200.00 </w:t>
                        </w:r>
                        <w:r>
                          <w:rPr>
                            <w:rFonts w:ascii="宋体" w:hAnsi="宋体" w:cs="宋体" w:eastAsia="宋体" w:hint="default"/>
                            <w:sz w:val="18"/>
                            <w:szCs w:val="18"/>
                          </w:rPr>
                          <w:t>元，扣除与发行有关的费用人民币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21,661,435.10</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元，公司实际募集资金净额为人民币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3,115,529,764.90 </w:t>
                        </w:r>
                        <w:r>
                          <w:rPr>
                            <w:rFonts w:ascii="宋体" w:hAnsi="宋体" w:cs="宋体" w:eastAsia="宋体" w:hint="default"/>
                            <w:sz w:val="18"/>
                            <w:szCs w:val="18"/>
                          </w:rPr>
                          <w:t>元。</w:t>
                        </w:r>
                      </w:p>
                      <w:p>
                        <w:pPr>
                          <w:pStyle w:val="TableParagraph"/>
                          <w:spacing w:line="240" w:lineRule="auto" w:before="101"/>
                          <w:ind w:left="38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日，公司募集资金使用情况为：用于补充流动资金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1,155,239,764.90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元，置换先期自筹资金投入</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81,645,397.82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元，直接投入募集资金项目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266,715,665.52 </w:t>
                        </w:r>
                        <w:r>
                          <w:rPr>
                            <w:rFonts w:ascii="宋体" w:hAnsi="宋体" w:cs="宋体" w:eastAsia="宋体" w:hint="default"/>
                            <w:sz w:val="18"/>
                            <w:szCs w:val="18"/>
                          </w:rPr>
                          <w:t>元，合计已使用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1,503,600,828.24 </w:t>
                        </w:r>
                        <w:r>
                          <w:rPr>
                            <w:rFonts w:ascii="宋体" w:hAnsi="宋体" w:cs="宋体" w:eastAsia="宋体" w:hint="default"/>
                            <w:sz w:val="18"/>
                            <w:szCs w:val="18"/>
                          </w:rPr>
                          <w:t>元。截至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日，公司募集资金专户余额为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1,740,651,924.07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元（包含银行理财产品余额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900,000,000.00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元、募集资金银行存款利息收入</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34,744,518.27 </w:t>
                        </w:r>
                        <w:r>
                          <w:rPr>
                            <w:rFonts w:ascii="宋体" w:hAnsi="宋体" w:cs="宋体" w:eastAsia="宋体" w:hint="default"/>
                            <w:sz w:val="18"/>
                            <w:szCs w:val="18"/>
                          </w:rPr>
                          <w:t>元和理财收益</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104,831,326.47 </w:t>
                        </w:r>
                        <w:r>
                          <w:rPr>
                            <w:rFonts w:ascii="宋体" w:hAnsi="宋体" w:cs="宋体" w:eastAsia="宋体" w:hint="default"/>
                            <w:sz w:val="18"/>
                            <w:szCs w:val="18"/>
                          </w:rPr>
                          <w:t>元）。</w:t>
                        </w:r>
                      </w:p>
                    </w:tc>
                  </w:tr>
                </w:tbl>
                <w:p>
                  <w:pPr/>
                </w:p>
              </w:txbxContent>
            </v:textbox>
            <w10:wrap type="none"/>
          </v:shape>
        </w:pict>
      </w:r>
      <w:r>
        <w:rPr/>
        <w:t>）</w:t>
      </w:r>
    </w:p>
    <w:p>
      <w:pPr>
        <w:spacing w:after="0" w:line="240" w:lineRule="auto"/>
        <w:jc w:val="right"/>
        <w:sectPr>
          <w:pgSz w:w="11910" w:h="16840"/>
          <w:pgMar w:header="877" w:footer="979" w:top="1100" w:bottom="1160" w:left="800" w:right="0"/>
        </w:sectPr>
      </w:pPr>
    </w:p>
    <w:p>
      <w:pPr>
        <w:spacing w:line="240" w:lineRule="auto" w:before="4"/>
        <w:rPr>
          <w:rFonts w:ascii="宋体" w:hAnsi="宋体" w:cs="宋体" w:eastAsia="宋体" w:hint="default"/>
          <w:sz w:val="21"/>
          <w:szCs w:val="21"/>
        </w:rPr>
      </w:pPr>
    </w:p>
    <w:p>
      <w:pPr>
        <w:pStyle w:val="Heading4"/>
        <w:spacing w:line="240" w:lineRule="auto" w:before="37"/>
        <w:ind w:right="1034"/>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2"/>
        <w:gridCol w:w="774"/>
        <w:gridCol w:w="1000"/>
        <w:gridCol w:w="991"/>
        <w:gridCol w:w="852"/>
        <w:gridCol w:w="1133"/>
        <w:gridCol w:w="854"/>
        <w:gridCol w:w="703"/>
        <w:gridCol w:w="433"/>
        <w:gridCol w:w="421"/>
        <w:gridCol w:w="638"/>
      </w:tblGrid>
      <w:tr>
        <w:trPr>
          <w:trHeight w:val="1649"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24" w:right="18"/>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1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6" w:right="41"/>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06" w:right="38" w:hanging="16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0" w:right="60"/>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25"/>
              <w:ind w:left="112" w:right="108"/>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截至期末累 计投入金额 </w:t>
            </w:r>
            <w:r>
              <w:rPr>
                <w:rFonts w:ascii="Times New Roman" w:hAnsi="Times New Roman" w:cs="Times New Roman" w:eastAsia="Times New Roman" w:hint="default"/>
                <w:sz w:val="18"/>
                <w:szCs w:val="18"/>
              </w:rPr>
              <w:t>(2)</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26" w:lineRule="auto"/>
              <w:ind w:left="59" w:right="6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5" w:right="76"/>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 w:right="28"/>
              <w:jc w:val="both"/>
              <w:rPr>
                <w:rFonts w:ascii="宋体" w:hAnsi="宋体" w:cs="宋体" w:eastAsia="宋体" w:hint="default"/>
                <w:sz w:val="18"/>
                <w:szCs w:val="18"/>
              </w:rPr>
            </w:pPr>
            <w:r>
              <w:rPr>
                <w:rFonts w:ascii="宋体" w:hAnsi="宋体" w:cs="宋体" w:eastAsia="宋体" w:hint="default"/>
                <w:sz w:val="18"/>
                <w:szCs w:val="18"/>
              </w:rPr>
              <w:t>本报 告期 实现 的效 益</w:t>
            </w:r>
          </w:p>
        </w:tc>
        <w:tc>
          <w:tcPr>
            <w:tcW w:w="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4"/>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2" w:right="43"/>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3"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、建设广州金融外包 服务总部平台</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部分变更</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36,029.00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22,029.00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11,738.23</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53.29%</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9"/>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9" w:right="10"/>
              <w:jc w:val="left"/>
              <w:rPr>
                <w:rFonts w:ascii="宋体" w:hAnsi="宋体" w:cs="宋体" w:eastAsia="宋体" w:hint="default"/>
                <w:sz w:val="18"/>
                <w:szCs w:val="18"/>
              </w:rPr>
            </w:pPr>
            <w:r>
              <w:rPr>
                <w:rFonts w:ascii="宋体" w:hAnsi="宋体" w:cs="宋体" w:eastAsia="宋体" w:hint="default"/>
                <w:spacing w:val="9"/>
                <w:sz w:val="18"/>
                <w:szCs w:val="18"/>
              </w:rPr>
              <w:t>不适 </w:t>
            </w:r>
            <w:r>
              <w:rPr>
                <w:rFonts w:ascii="宋体" w:hAnsi="宋体" w:cs="宋体" w:eastAsia="宋体" w:hint="default"/>
                <w:sz w:val="18"/>
                <w:szCs w:val="18"/>
              </w:rPr>
              <w:t>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、建设区域金融外包 服务平台</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160,000.00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1,764.05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23,097.88</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14.44%</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9" w:right="10"/>
              <w:jc w:val="left"/>
              <w:rPr>
                <w:rFonts w:ascii="宋体" w:hAnsi="宋体" w:cs="宋体" w:eastAsia="宋体" w:hint="default"/>
                <w:sz w:val="18"/>
                <w:szCs w:val="18"/>
              </w:rPr>
            </w:pPr>
            <w:r>
              <w:rPr>
                <w:rFonts w:ascii="宋体" w:hAnsi="宋体" w:cs="宋体" w:eastAsia="宋体" w:hint="default"/>
                <w:spacing w:val="9"/>
                <w:sz w:val="18"/>
                <w:szCs w:val="18"/>
              </w:rPr>
              <w:t>不适 </w:t>
            </w:r>
            <w:r>
              <w:rPr>
                <w:rFonts w:ascii="宋体" w:hAnsi="宋体" w:cs="宋体" w:eastAsia="宋体" w:hint="default"/>
                <w:sz w:val="18"/>
                <w:szCs w:val="18"/>
              </w:rPr>
              <w:t>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、补充流动资金</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115,523.98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115,523.98</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115,523.98</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8" w:right="15"/>
              <w:jc w:val="left"/>
              <w:rPr>
                <w:rFonts w:ascii="宋体" w:hAnsi="宋体" w:cs="宋体" w:eastAsia="宋体" w:hint="default"/>
                <w:sz w:val="18"/>
                <w:szCs w:val="18"/>
              </w:rPr>
            </w:pPr>
            <w:r>
              <w:rPr>
                <w:rFonts w:ascii="宋体" w:hAnsi="宋体" w:cs="宋体" w:eastAsia="宋体" w:hint="default"/>
                <w:spacing w:val="9"/>
                <w:sz w:val="18"/>
                <w:szCs w:val="18"/>
              </w:rPr>
              <w:t>不适 </w:t>
            </w:r>
            <w:r>
              <w:rPr>
                <w:rFonts w:ascii="宋体" w:hAnsi="宋体" w:cs="宋体" w:eastAsia="宋体" w:hint="default"/>
                <w:sz w:val="18"/>
                <w:szCs w:val="18"/>
              </w:rPr>
              <w:t>用</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9" w:right="10"/>
              <w:jc w:val="left"/>
              <w:rPr>
                <w:rFonts w:ascii="宋体" w:hAnsi="宋体" w:cs="宋体" w:eastAsia="宋体" w:hint="default"/>
                <w:sz w:val="18"/>
                <w:szCs w:val="18"/>
              </w:rPr>
            </w:pPr>
            <w:r>
              <w:rPr>
                <w:rFonts w:ascii="宋体" w:hAnsi="宋体" w:cs="宋体" w:eastAsia="宋体" w:hint="default"/>
                <w:spacing w:val="9"/>
                <w:sz w:val="18"/>
                <w:szCs w:val="18"/>
              </w:rPr>
              <w:t>不适 </w:t>
            </w:r>
            <w:r>
              <w:rPr>
                <w:rFonts w:ascii="宋体" w:hAnsi="宋体" w:cs="宋体" w:eastAsia="宋体" w:hint="default"/>
                <w:sz w:val="18"/>
                <w:szCs w:val="18"/>
              </w:rPr>
              <w:t>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、智能便民项目</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1,085.29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1,085.29</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7.75%</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4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9" w:right="10"/>
              <w:jc w:val="left"/>
              <w:rPr>
                <w:rFonts w:ascii="宋体" w:hAnsi="宋体" w:cs="宋体" w:eastAsia="宋体" w:hint="default"/>
                <w:sz w:val="18"/>
                <w:szCs w:val="18"/>
              </w:rPr>
            </w:pPr>
            <w:r>
              <w:rPr>
                <w:rFonts w:ascii="宋体" w:hAnsi="宋体" w:cs="宋体" w:eastAsia="宋体" w:hint="default"/>
                <w:spacing w:val="9"/>
                <w:sz w:val="18"/>
                <w:szCs w:val="18"/>
              </w:rPr>
              <w:t>不适 </w:t>
            </w:r>
            <w:r>
              <w:rPr>
                <w:rFonts w:ascii="宋体" w:hAnsi="宋体" w:cs="宋体" w:eastAsia="宋体" w:hint="default"/>
                <w:sz w:val="18"/>
                <w:szCs w:val="18"/>
              </w:rPr>
              <w:t>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0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311,552.98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311,552.98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3,604.34</w:t>
            </w:r>
          </w:p>
        </w:tc>
        <w:tc>
          <w:tcPr>
            <w:tcW w:w="1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151,445.38</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33"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4" w:right="0"/>
              <w:jc w:val="left"/>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4"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归还银行贷款</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1000" w:type="dxa"/>
            <w:tcBorders>
              <w:top w:val="single" w:sz="4" w:space="0" w:color="000000"/>
              <w:left w:val="single" w:sz="12"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13" w:space="0" w:color="D2D2D2"/>
            </w:tcBorders>
          </w:tcPr>
          <w:p>
            <w:pP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44" w:right="0"/>
              <w:jc w:val="left"/>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000" w:type="dxa"/>
            <w:tcBorders>
              <w:top w:val="single" w:sz="4" w:space="0" w:color="000000"/>
              <w:left w:val="single" w:sz="12"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13" w:space="0" w:color="D2D2D2"/>
            </w:tcBorders>
          </w:tcPr>
          <w:p>
            <w:pP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4" w:right="0"/>
              <w:jc w:val="left"/>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1000" w:type="dxa"/>
            <w:tcBorders>
              <w:top w:val="single" w:sz="4" w:space="0" w:color="000000"/>
              <w:left w:val="single" w:sz="12"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13" w:space="0" w:color="D2D2D2"/>
            </w:tcBorders>
          </w:tcPr>
          <w:p>
            <w:pP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33"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44" w:right="0"/>
              <w:jc w:val="left"/>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0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311,552.98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311,552.98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3,604.34</w:t>
            </w:r>
          </w:p>
        </w:tc>
        <w:tc>
          <w:tcPr>
            <w:tcW w:w="1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56" w:right="0"/>
              <w:jc w:val="left"/>
              <w:rPr>
                <w:rFonts w:ascii="Times New Roman" w:hAnsi="Times New Roman" w:cs="Times New Roman" w:eastAsia="Times New Roman" w:hint="default"/>
                <w:sz w:val="18"/>
                <w:szCs w:val="18"/>
              </w:rPr>
            </w:pPr>
            <w:r>
              <w:rPr>
                <w:rFonts w:ascii="Times New Roman"/>
                <w:sz w:val="18"/>
              </w:rPr>
              <w:t>151,445.38</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33"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4" w:right="0"/>
              <w:jc w:val="left"/>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338"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97" w:lineRule="auto" w:before="51"/>
              <w:ind w:left="16" w:right="21"/>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、广州金融外包服务总部平台主体工程和内部装修都已经完成，达到可使用状态，已经暂估结转为</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固定资产，尚有部分工程款未结算；设备部分陆续投入，尚未完成。</w:t>
            </w:r>
          </w:p>
          <w:p>
            <w:pPr>
              <w:pStyle w:val="TableParagraph"/>
              <w:spacing w:line="309" w:lineRule="auto" w:before="74"/>
              <w:ind w:left="16" w:right="21"/>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、受押运公司改制进度低于预期及收购竞争加剧的影响，押运公司收购进度低于预期，导致收购押</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运公司后的相关配套投入进度有所放缓，从而影响了区域金融外包服务平台建设的进度，实际投入 与预期进度有所差异。</w:t>
            </w:r>
          </w:p>
        </w:tc>
      </w:tr>
      <w:tr>
        <w:trPr>
          <w:trHeight w:val="1016"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vMerge/>
            <w:tcBorders>
              <w:left w:val="single" w:sz="10" w:space="0" w:color="D2D2D2"/>
              <w:right w:val="single" w:sz="4" w:space="0" w:color="000000"/>
            </w:tcBorders>
          </w:tcPr>
          <w:p>
            <w:pPr/>
          </w:p>
        </w:tc>
      </w:tr>
      <w:tr>
        <w:trPr>
          <w:trHeight w:val="338"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未发生该情况。</w:t>
            </w:r>
          </w:p>
        </w:tc>
      </w:tr>
      <w:tr>
        <w:trPr>
          <w:trHeight w:val="804"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94"/>
              <w:ind w:left="24"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6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3"/>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gridSpan w:val="10"/>
            <w:tcBorders>
              <w:top w:val="single" w:sz="4" w:space="0" w:color="000000"/>
              <w:left w:val="single" w:sz="10" w:space="0" w:color="D2D2D2"/>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7"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用募集资金置换预先已投入募集资金投资项目的自筹资金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8,164.54 </w:t>
            </w:r>
            <w:r>
              <w:rPr>
                <w:rFonts w:ascii="宋体" w:hAnsi="宋体" w:cs="宋体" w:eastAsia="宋体" w:hint="default"/>
                <w:sz w:val="18"/>
                <w:szCs w:val="18"/>
              </w:rPr>
              <w:t>万元，其中：建设广州金融外包</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服务平台先期投入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2,714.41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万元，建设区域金融外包服务平台先期投入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5,450.13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万元，上述募集资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金置换于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日完成，两个项目置换金额与预先投入的自筹资金数额一致。</w:t>
            </w:r>
          </w:p>
        </w:tc>
      </w:tr>
      <w:tr>
        <w:trPr>
          <w:trHeight w:val="1176" w:hRule="exact"/>
        </w:trPr>
        <w:tc>
          <w:tcPr>
            <w:tcW w:w="177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804" w:hRule="exact"/>
        </w:trPr>
        <w:tc>
          <w:tcPr>
            <w:tcW w:w="1770"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316" w:lineRule="auto" w:before="94"/>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截至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日，尚未使用的募集资金为 </w:t>
            </w:r>
            <w:r>
              <w:rPr>
                <w:rFonts w:ascii="Times New Roman" w:hAnsi="Times New Roman" w:cs="Times New Roman" w:eastAsia="Times New Roman" w:hint="default"/>
                <w:sz w:val="18"/>
                <w:szCs w:val="18"/>
              </w:rPr>
              <w:t>1,740,651,924.07</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元（包含银行理财产品余额</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900,000,000.00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元），存放于募集资金专户中。</w:t>
            </w:r>
          </w:p>
        </w:tc>
      </w:tr>
      <w:tr>
        <w:trPr>
          <w:trHeight w:val="102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00" w:lineRule="auto" w:before="49"/>
        <w:ind w:right="1131" w:firstLine="360"/>
        <w:jc w:val="both"/>
      </w:pPr>
      <w:r>
        <w:rPr/>
        <w:t>注</w:t>
      </w:r>
      <w:r>
        <w:rPr>
          <w:spacing w:val="-42"/>
        </w:rPr>
        <w:t> </w:t>
      </w:r>
      <w:r>
        <w:rPr>
          <w:rFonts w:ascii="Times New Roman" w:hAnsi="Times New Roman" w:cs="Times New Roman" w:eastAsia="Times New Roman" w:hint="default"/>
        </w:rPr>
        <w:t>1</w:t>
      </w:r>
      <w:r>
        <w:rPr/>
        <w:t>：“广州金融外包服务总部平台”并不直接产生收入和利润，但通过项目实施，可逐步形成全国</w:t>
      </w:r>
      <w:r>
        <w:rPr>
          <w:spacing w:val="-41"/>
        </w:rPr>
        <w:t> </w:t>
      </w:r>
      <w:r>
        <w:rPr>
          <w:rFonts w:ascii="Times New Roman" w:hAnsi="Times New Roman" w:cs="Times New Roman" w:eastAsia="Times New Roman" w:hint="default"/>
        </w:rPr>
        <w:t>ATM</w:t>
      </w:r>
      <w:r>
        <w:rPr>
          <w:rFonts w:ascii="Times New Roman" w:hAnsi="Times New Roman" w:cs="Times New Roman" w:eastAsia="Times New Roman" w:hint="default"/>
          <w:spacing w:val="4"/>
        </w:rPr>
        <w:t> </w:t>
      </w:r>
      <w:r>
        <w:rPr/>
        <w:t>外包服务的 统筹管理体系，优化区域金融外包服务平台的资源配置，进一步提升公司管理水平及管理效率，支撑公司稳步扩大在</w:t>
      </w:r>
      <w:r>
        <w:rPr>
          <w:spacing w:val="-35"/>
        </w:rPr>
        <w:t> </w:t>
      </w:r>
      <w:r>
        <w:rPr>
          <w:rFonts w:ascii="Times New Roman" w:hAnsi="Times New Roman" w:cs="Times New Roman" w:eastAsia="Times New Roman" w:hint="default"/>
        </w:rPr>
        <w:t>ATM</w:t>
      </w:r>
      <w:r>
        <w:rPr>
          <w:rFonts w:ascii="Times New Roman" w:hAnsi="Times New Roman" w:cs="Times New Roman" w:eastAsia="Times New Roman" w:hint="default"/>
          <w:w w:val="99"/>
        </w:rPr>
        <w:t> </w:t>
      </w:r>
      <w:r>
        <w:rPr/>
        <w:t>外包服务的市场占有率，间接对公司的财务状况及经营成果产生积极影响，为公司未来稳定持续增长打下坚实基础。</w:t>
      </w:r>
    </w:p>
    <w:p>
      <w:pPr>
        <w:pStyle w:val="BodyText"/>
        <w:spacing w:line="240" w:lineRule="auto" w:before="72"/>
        <w:ind w:left="513" w:right="1034"/>
        <w:jc w:val="left"/>
      </w:pPr>
      <w:r>
        <w:rPr/>
        <w:t>注</w:t>
      </w:r>
      <w:r>
        <w:rPr>
          <w:spacing w:val="-47"/>
        </w:rPr>
        <w:t> </w:t>
      </w:r>
      <w:r>
        <w:rPr>
          <w:rFonts w:ascii="Times New Roman" w:hAnsi="Times New Roman" w:cs="Times New Roman" w:eastAsia="Times New Roman" w:hint="default"/>
        </w:rPr>
        <w:t>2</w:t>
      </w:r>
      <w:r>
        <w:rPr/>
        <w:t>：截至</w:t>
      </w:r>
      <w:r>
        <w:rPr>
          <w:spacing w:val="-47"/>
        </w:rPr>
        <w:t> </w:t>
      </w:r>
      <w:r>
        <w:rPr>
          <w:rFonts w:ascii="Times New Roman" w:hAnsi="Times New Roman" w:cs="Times New Roman" w:eastAsia="Times New Roman" w:hint="default"/>
        </w:rPr>
        <w:t>2018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日，因区域金融外包服务平台项目尚在建设过程中，故尚未实现预计收益。</w:t>
      </w:r>
    </w:p>
    <w:p>
      <w:pPr>
        <w:pStyle w:val="BodyText"/>
        <w:spacing w:line="240" w:lineRule="auto" w:before="104"/>
        <w:ind w:left="513" w:right="1034"/>
        <w:jc w:val="left"/>
        <w:rPr>
          <w:rFonts w:ascii="Times New Roman" w:hAnsi="Times New Roman" w:cs="Times New Roman" w:eastAsia="Times New Roman" w:hint="default"/>
        </w:rPr>
      </w:pPr>
      <w:r>
        <w:rPr/>
        <w:t>注 </w:t>
      </w:r>
      <w:r>
        <w:rPr>
          <w:rFonts w:ascii="Times New Roman" w:hAnsi="Times New Roman" w:cs="Times New Roman" w:eastAsia="Times New Roman" w:hint="default"/>
        </w:rPr>
        <w:t>3</w:t>
      </w:r>
      <w:r>
        <w:rPr/>
        <w:t>：“智能便民项目”建设期为四年，全面建成后，预计可实现年平均营业收入约 </w:t>
      </w:r>
      <w:r>
        <w:rPr>
          <w:rFonts w:ascii="Times New Roman" w:hAnsi="Times New Roman" w:cs="Times New Roman" w:eastAsia="Times New Roman" w:hint="default"/>
        </w:rPr>
        <w:t>15  </w:t>
      </w:r>
      <w:r>
        <w:rPr/>
        <w:t>亿元、年平均净利润约</w:t>
      </w:r>
      <w:r>
        <w:rPr>
          <w:spacing w:val="-41"/>
        </w:rPr>
        <w:t> </w:t>
      </w:r>
      <w:r>
        <w:rPr>
          <w:rFonts w:ascii="Times New Roman" w:hAnsi="Times New Roman" w:cs="Times New Roman" w:eastAsia="Times New Roman" w:hint="default"/>
        </w:rPr>
        <w:t>9,000</w:t>
      </w:r>
    </w:p>
    <w:p>
      <w:pPr>
        <w:pStyle w:val="BodyText"/>
        <w:spacing w:line="240" w:lineRule="auto" w:before="63"/>
        <w:ind w:right="1034"/>
        <w:jc w:val="left"/>
      </w:pPr>
      <w:r>
        <w:rPr/>
        <w:t>万元。截至</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日，因智能便民项目尚在建设过程中，故尚未实现预计收益。</w:t>
      </w:r>
    </w:p>
    <w:p>
      <w:pPr>
        <w:spacing w:line="240" w:lineRule="auto" w:before="6"/>
        <w:rPr>
          <w:rFonts w:ascii="宋体" w:hAnsi="宋体" w:cs="宋体" w:eastAsia="宋体" w:hint="default"/>
          <w:sz w:val="26"/>
          <w:szCs w:val="26"/>
        </w:rPr>
      </w:pPr>
    </w:p>
    <w:p>
      <w:pPr>
        <w:pStyle w:val="Heading4"/>
        <w:spacing w:line="240" w:lineRule="auto"/>
        <w:ind w:right="1034"/>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244"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1"/>
        <w:jc w:val="right"/>
      </w:pPr>
      <w:r>
        <w:rPr/>
        <w:pict>
          <v:group style="position:absolute;margin-left:439.869995pt;margin-top:105.751717pt;width:46.25pt;height:20.8pt;mso-position-horizontal-relative:page;mso-position-vertical-relative:paragraph;z-index:-1290208" coordorigin="8797,2115" coordsize="925,416">
            <v:group style="position:absolute;left:8808;top:2126;width:2;height:394" coordorigin="8808,2126" coordsize="2,394">
              <v:shape style="position:absolute;left:8808;top:2126;width:2;height:394" coordorigin="8808,2126" coordsize="0,394" path="m8808,2126l8808,2519e" filled="false" stroked="true" strokeweight="1.08pt" strokecolor="#ffffff">
                <v:path arrowok="t"/>
              </v:shape>
            </v:group>
            <v:group style="position:absolute;left:8819;top:2126;width:903;height:394" coordorigin="8819,2126" coordsize="903,394">
              <v:shape style="position:absolute;left:8819;top:2126;width:903;height:394" coordorigin="8819,2126" coordsize="903,394" path="m8819,2519l9722,2519,9722,2126,8819,2126,8819,2519xe" filled="true" fillcolor="#ffffff" stroked="false">
                <v:path arrowok="t"/>
                <v:fill type="solid"/>
              </v:shape>
            </v:group>
            <w10:wrap type="none"/>
          </v:group>
        </w:pict>
      </w: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8"/>
        <w:gridCol w:w="958"/>
        <w:gridCol w:w="958"/>
        <w:gridCol w:w="956"/>
        <w:gridCol w:w="958"/>
        <w:gridCol w:w="955"/>
        <w:gridCol w:w="180"/>
        <w:gridCol w:w="778"/>
        <w:gridCol w:w="958"/>
      </w:tblGrid>
      <w:tr>
        <w:trPr>
          <w:trHeight w:val="1339"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84"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2"/>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38" w:lineRule="auto"/>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04" w:right="22" w:hanging="181"/>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06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智能便民项 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23"/>
              <w:jc w:val="both"/>
              <w:rPr>
                <w:rFonts w:ascii="宋体" w:hAnsi="宋体" w:cs="宋体" w:eastAsia="宋体" w:hint="default"/>
                <w:sz w:val="18"/>
                <w:szCs w:val="18"/>
              </w:rPr>
            </w:pPr>
            <w:r>
              <w:rPr>
                <w:rFonts w:ascii="宋体" w:hAnsi="宋体" w:cs="宋体" w:eastAsia="宋体" w:hint="default"/>
                <w:sz w:val="18"/>
                <w:szCs w:val="18"/>
              </w:rPr>
              <w:t>建设广州金 融外包服务 总部平台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1,085.29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1,085.29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sz w:val="18"/>
              </w:rPr>
              <w:t>7.75%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0" w:firstLine="88"/>
              <w:jc w:val="center"/>
              <w:rPr>
                <w:rFonts w:ascii="Times New Roman" w:hAnsi="Times New Roman" w:cs="Times New Roman" w:eastAsia="Times New Roman" w:hint="default"/>
                <w:sz w:val="18"/>
                <w:szCs w:val="18"/>
              </w:rPr>
            </w:pPr>
            <w:r>
              <w:rPr>
                <w:rFonts w:ascii="宋体" w:hAnsi="宋体" w:cs="宋体" w:eastAsia="宋体" w:hint="default"/>
                <w:sz w:val="18"/>
                <w:szCs w:val="18"/>
              </w:rPr>
              <w:t>见第四节 </w:t>
            </w:r>
            <w:r>
              <w:rPr>
                <w:rFonts w:ascii="宋体" w:hAnsi="宋体" w:cs="宋体" w:eastAsia="宋体" w:hint="default"/>
                <w:spacing w:val="-16"/>
                <w:sz w:val="18"/>
                <w:szCs w:val="18"/>
              </w:rPr>
              <w:t>五、</w:t>
            </w:r>
            <w:r>
              <w:rPr>
                <w:rFonts w:ascii="Times New Roman" w:hAnsi="Times New Roman" w:cs="Times New Roman" w:eastAsia="Times New Roman" w:hint="default"/>
                <w:spacing w:val="-16"/>
                <w:sz w:val="18"/>
                <w:szCs w:val="18"/>
              </w:rPr>
              <w:t>5</w:t>
            </w:r>
            <w:r>
              <w:rPr>
                <w:rFonts w:ascii="宋体" w:hAnsi="宋体" w:cs="宋体" w:eastAsia="宋体" w:hint="default"/>
                <w:spacing w:val="-16"/>
                <w:sz w:val="18"/>
                <w:szCs w:val="18"/>
              </w:rPr>
              <w:t>、（</w:t>
            </w:r>
            <w:r>
              <w:rPr>
                <w:rFonts w:ascii="Times New Roman" w:hAnsi="Times New Roman" w:cs="Times New Roman" w:eastAsia="Times New Roman" w:hint="default"/>
                <w:spacing w:val="-16"/>
                <w:sz w:val="18"/>
                <w:szCs w:val="18"/>
              </w:rPr>
              <w:t>2</w:t>
            </w:r>
          </w:p>
          <w:p>
            <w:pPr>
              <w:pStyle w:val="TableParagraph"/>
              <w:spacing w:line="240" w:lineRule="auto" w:before="37"/>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8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7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1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47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1,085.29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1,085.29</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13" w:right="0"/>
              <w:jc w:val="lef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9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12" w:right="0"/>
              <w:jc w:val="left"/>
              <w:rPr>
                <w:rFonts w:ascii="Times New Roman" w:hAnsi="Times New Roman" w:cs="Times New Roman" w:eastAsia="Times New Roman" w:hint="default"/>
                <w:sz w:val="18"/>
                <w:szCs w:val="18"/>
              </w:rPr>
            </w:pPr>
            <w:r>
              <w:rPr>
                <w:rFonts w:ascii="Times New Roman"/>
                <w:sz w:val="18"/>
              </w:rPr>
              <w:t>--</w:t>
            </w:r>
          </w:p>
        </w:tc>
      </w:tr>
      <w:tr>
        <w:trPr>
          <w:trHeight w:val="785" w:hRule="exact"/>
        </w:trPr>
        <w:tc>
          <w:tcPr>
            <w:tcW w:w="2874"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699" w:type="dxa"/>
            <w:gridSpan w:val="8"/>
            <w:vMerge w:val="restart"/>
            <w:tcBorders>
              <w:top w:val="single" w:sz="4" w:space="0" w:color="000000"/>
              <w:left w:val="single" w:sz="10" w:space="0" w:color="D2D2D2"/>
              <w:right w:val="single" w:sz="4" w:space="0" w:color="000000"/>
            </w:tcBorders>
          </w:tcPr>
          <w:p>
            <w:pPr>
              <w:pStyle w:val="TableParagraph"/>
              <w:spacing w:line="240" w:lineRule="auto" w:before="49"/>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、变更原因：原“建设广州金融外包服务总部平台”项目募集资金投资金额为</w:t>
            </w:r>
          </w:p>
          <w:p>
            <w:pPr>
              <w:pStyle w:val="TableParagraph"/>
              <w:spacing w:line="307" w:lineRule="auto" w:before="60"/>
              <w:ind w:left="16" w:right="18"/>
              <w:jc w:val="both"/>
              <w:rPr>
                <w:rFonts w:ascii="宋体" w:hAnsi="宋体" w:cs="宋体" w:eastAsia="宋体" w:hint="default"/>
                <w:sz w:val="18"/>
                <w:szCs w:val="18"/>
              </w:rPr>
            </w:pPr>
            <w:r>
              <w:rPr>
                <w:rFonts w:ascii="Times New Roman" w:hAnsi="Times New Roman" w:cs="Times New Roman" w:eastAsia="Times New Roman" w:hint="default"/>
                <w:sz w:val="18"/>
                <w:szCs w:val="18"/>
              </w:rPr>
              <w:t>36,029.00 </w:t>
            </w:r>
            <w:r>
              <w:rPr>
                <w:rFonts w:ascii="宋体" w:hAnsi="宋体" w:cs="宋体" w:eastAsia="宋体" w:hint="default"/>
                <w:spacing w:val="-7"/>
                <w:sz w:val="18"/>
                <w:szCs w:val="18"/>
              </w:rPr>
              <w:t>万元，截至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日累计投入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11,738.23</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万元，该项目主体工程和</w:t>
            </w:r>
            <w:r>
              <w:rPr>
                <w:rFonts w:ascii="宋体" w:hAnsi="宋体" w:cs="宋体" w:eastAsia="宋体" w:hint="default"/>
                <w:sz w:val="18"/>
                <w:szCs w:val="18"/>
              </w:rPr>
              <w:t> </w:t>
            </w:r>
            <w:r>
              <w:rPr>
                <w:rFonts w:ascii="宋体" w:hAnsi="宋体" w:cs="宋体" w:eastAsia="宋体" w:hint="default"/>
                <w:spacing w:val="-1"/>
                <w:sz w:val="18"/>
                <w:szCs w:val="18"/>
              </w:rPr>
              <w:t>内部装修都已基本完成，达到可使用状态，预计未来将剩余部分募集资金。为进一步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提高募集资金使用效率，公司变更部分募集资金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亿元用于投资建设“智能便民项 目”，设立智能便民项目公司“运通购快”，深入打造便民惠民的智能互联平台。</w:t>
            </w:r>
          </w:p>
          <w:p>
            <w:pPr>
              <w:pStyle w:val="TableParagraph"/>
              <w:spacing w:line="240" w:lineRule="auto" w:before="67"/>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、决策程序及信息披露情况说明：公司分别于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p>
          <w:p>
            <w:pPr>
              <w:pStyle w:val="TableParagraph"/>
              <w:spacing w:line="240" w:lineRule="auto" w:before="63"/>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日召开公司第五届董事会第四次会议、第五届监事会第三次会议和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w:t>
            </w:r>
          </w:p>
        </w:tc>
      </w:tr>
      <w:tr>
        <w:trPr>
          <w:trHeight w:val="703" w:hRule="exact"/>
        </w:trPr>
        <w:tc>
          <w:tcPr>
            <w:tcW w:w="2874"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8"/>
            <w:vMerge/>
            <w:tcBorders>
              <w:left w:val="single" w:sz="10" w:space="0" w:color="D2D2D2"/>
              <w:right w:val="single" w:sz="4" w:space="0" w:color="000000"/>
            </w:tcBorders>
          </w:tcPr>
          <w:p>
            <w:pPr/>
          </w:p>
        </w:tc>
      </w:tr>
      <w:tr>
        <w:trPr>
          <w:trHeight w:val="785" w:hRule="exact"/>
        </w:trPr>
        <w:tc>
          <w:tcPr>
            <w:tcW w:w="2874"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699" w:type="dxa"/>
            <w:gridSpan w:val="8"/>
            <w:vMerge/>
            <w:tcBorders>
              <w:left w:val="single" w:sz="10" w:space="0" w:color="D2D2D2"/>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73"/>
        <w:gridCol w:w="6699"/>
      </w:tblGrid>
      <w:tr>
        <w:trPr>
          <w:trHeight w:val="1923"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8"/>
              <w:ind w:left="23" w:right="19"/>
              <w:jc w:val="left"/>
              <w:rPr>
                <w:rFonts w:ascii="宋体" w:hAnsi="宋体" w:cs="宋体" w:eastAsia="宋体" w:hint="default"/>
                <w:sz w:val="18"/>
                <w:szCs w:val="18"/>
              </w:rPr>
            </w:pPr>
            <w:r>
              <w:rPr>
                <w:rFonts w:ascii="宋体" w:hAnsi="宋体" w:cs="宋体" w:eastAsia="宋体" w:hint="default"/>
                <w:spacing w:val="-1"/>
                <w:sz w:val="18"/>
                <w:szCs w:val="18"/>
              </w:rPr>
              <w:t>大会审议通过了《关于变更部分募集资金用途及设立智能便民项目公司的议案》，同</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意公司变更部分募集资金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亿元用于投资建设“智能便民项目”，设立智能便民项 目公司“运通购快”，深入打造便民惠民的智能互联平台。</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月，运通购快成 立，注册资本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亿元，深圳银通持有其</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股权，湖南中谷持有其</w:t>
            </w:r>
            <w:r>
              <w:rPr>
                <w:rFonts w:ascii="宋体" w:hAnsi="宋体" w:cs="宋体" w:eastAsia="宋体" w:hint="default"/>
                <w:spacing w:val="-51"/>
                <w:sz w:val="18"/>
                <w:szCs w:val="18"/>
              </w:rPr>
              <w:t> </w:t>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股权。（详见</w:t>
            </w:r>
            <w:r>
              <w:rPr>
                <w:rFonts w:ascii="宋体" w:hAnsi="宋体" w:cs="宋体" w:eastAsia="宋体" w:hint="default"/>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日公司刊登于《证券时报》和巨潮资讯网 </w:t>
            </w:r>
            <w:hyperlink r:id="rId10">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上的相关公告）。</w:t>
            </w:r>
          </w:p>
        </w:tc>
      </w:tr>
      <w:tr>
        <w:trPr>
          <w:trHeight w:val="713"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未发生该情况</w:t>
            </w:r>
          </w:p>
        </w:tc>
      </w:tr>
      <w:tr>
        <w:trPr>
          <w:trHeight w:val="715"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未发生该情况</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2"/>
        <w:spacing w:line="240" w:lineRule="auto" w:before="26"/>
        <w:ind w:right="1034"/>
        <w:jc w:val="left"/>
        <w:rPr>
          <w:b w:val="0"/>
          <w:bCs w:val="0"/>
        </w:rPr>
      </w:pPr>
      <w:r>
        <w:rPr/>
        <w:t>六、重大资产和股权出售</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right="1034"/>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11"/>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1"/>
        <w:rPr>
          <w:rFonts w:ascii="宋体" w:hAnsi="宋体" w:cs="宋体" w:eastAsia="宋体" w:hint="default"/>
          <w:sz w:val="22"/>
          <w:szCs w:val="22"/>
        </w:rPr>
      </w:pPr>
    </w:p>
    <w:p>
      <w:pPr>
        <w:pStyle w:val="Heading4"/>
        <w:spacing w:line="240" w:lineRule="auto"/>
        <w:ind w:right="1034"/>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034"/>
        <w:jc w:val="left"/>
        <w:rPr>
          <w:b w:val="0"/>
          <w:bCs w:val="0"/>
        </w:rPr>
      </w:pPr>
      <w:r>
        <w:rPr/>
        <w:t>七、主要控股参股公司分析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79" w:top="1100" w:bottom="1160" w:left="980" w:right="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160" w:left="980" w:right="0"/>
          <w:cols w:num="2" w:equalWidth="0">
            <w:col w:w="4851" w:space="4069"/>
            <w:col w:w="201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67"/>
        <w:gridCol w:w="710"/>
        <w:gridCol w:w="2019"/>
        <w:gridCol w:w="1044"/>
        <w:gridCol w:w="1047"/>
        <w:gridCol w:w="1046"/>
        <w:gridCol w:w="1044"/>
        <w:gridCol w:w="1045"/>
        <w:gridCol w:w="1046"/>
      </w:tblGrid>
      <w:tr>
        <w:trPr>
          <w:trHeight w:val="756"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公司 名称</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170" w:right="168"/>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645"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713"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广州 银通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受金融企业委托提供非 金融业务服务。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580,000,000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5,478,441,28</w:t>
            </w:r>
          </w:p>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3.32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4,312,370,39</w:t>
            </w:r>
          </w:p>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8.69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2,666,702,68</w:t>
            </w:r>
          </w:p>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7.41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649,941,014.</w:t>
            </w:r>
          </w:p>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09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535,963,044.</w:t>
            </w:r>
          </w:p>
          <w:p>
            <w:pPr>
              <w:pStyle w:val="TableParagraph"/>
              <w:spacing w:line="240" w:lineRule="auto" w:before="102"/>
              <w:ind w:left="9" w:right="0"/>
              <w:jc w:val="center"/>
              <w:rPr>
                <w:rFonts w:ascii="Times New Roman" w:hAnsi="Times New Roman" w:cs="Times New Roman" w:eastAsia="Times New Roman" w:hint="default"/>
                <w:sz w:val="18"/>
                <w:szCs w:val="18"/>
              </w:rPr>
            </w:pPr>
            <w:r>
              <w:rPr>
                <w:rFonts w:ascii="Times New Roman"/>
                <w:sz w:val="18"/>
              </w:rPr>
              <w:t>64</w:t>
            </w:r>
          </w:p>
        </w:tc>
      </w:tr>
      <w:tr>
        <w:trPr>
          <w:trHeight w:val="715"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运通 国际</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主要经营柜员机销售与 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13,000,000</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256,964,214.</w:t>
            </w:r>
          </w:p>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68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97,188,874.1</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555,561,007.</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44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9,686,403.81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7,863,488.71</w:t>
            </w:r>
          </w:p>
        </w:tc>
      </w:tr>
      <w:tr>
        <w:trPr>
          <w:trHeight w:val="713"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支点 投资</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主要从事创业投资、咨 询、管理。</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260,000,000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202,940,123.</w:t>
            </w:r>
          </w:p>
          <w:p>
            <w:pPr>
              <w:pStyle w:val="TableParagraph"/>
              <w:spacing w:line="240" w:lineRule="auto" w:before="102"/>
              <w:ind w:left="4" w:right="0"/>
              <w:jc w:val="center"/>
              <w:rPr>
                <w:rFonts w:ascii="Times New Roman" w:hAnsi="Times New Roman" w:cs="Times New Roman" w:eastAsia="Times New Roman" w:hint="default"/>
                <w:sz w:val="18"/>
                <w:szCs w:val="18"/>
              </w:rPr>
            </w:pPr>
            <w:r>
              <w:rPr>
                <w:rFonts w:ascii="Times New Roman"/>
                <w:sz w:val="18"/>
              </w:rPr>
              <w:t>54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201,919,613.</w:t>
            </w:r>
          </w:p>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02</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330,235.68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724,708.73</w:t>
            </w:r>
          </w:p>
        </w:tc>
      </w:tr>
      <w:tr>
        <w:trPr>
          <w:trHeight w:val="715"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中智 融通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主要从事清分机业务。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130,000,000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159,680,056.</w:t>
            </w:r>
          </w:p>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54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124,697,766.</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83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102,447,477.</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44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1,870,389.64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3,590,614.11</w:t>
            </w:r>
          </w:p>
        </w:tc>
      </w:tr>
      <w:tr>
        <w:trPr>
          <w:trHeight w:val="1025"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运通 信息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专业从事计算机软、硬件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技术及系统集成的开发 和销售。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50,000,000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132,039,542.</w:t>
            </w:r>
          </w:p>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12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65,413,691.2</w:t>
            </w:r>
          </w:p>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152,274,905.</w:t>
            </w:r>
          </w:p>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91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5,040,373.02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7,097,415.81</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100" w:bottom="1160" w:left="980" w:right="0"/>
        </w:sectPr>
      </w:pPr>
    </w:p>
    <w:p>
      <w:pPr>
        <w:spacing w:line="240" w:lineRule="auto" w:before="8"/>
        <w:rPr>
          <w:rFonts w:ascii="宋体" w:hAnsi="宋体" w:cs="宋体" w:eastAsia="宋体" w:hint="default"/>
          <w:sz w:val="24"/>
          <w:szCs w:val="24"/>
        </w:rPr>
      </w:pPr>
      <w:r>
        <w:rPr/>
        <w:pict>
          <v:shape style="position:absolute;margin-left:188.666pt;margin-top:72.475983pt;width:84.9pt;height:39.050pt;mso-position-horizontal-relative:page;mso-position-vertical-relative:page;z-index:-1290160"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6"/>
                    <w:ind w:left="0" w:right="0"/>
                    <w:jc w:val="left"/>
                  </w:pPr>
                  <w:r>
                    <w:rPr/>
                    <w:t>售票机、</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567"/>
        <w:gridCol w:w="710"/>
        <w:gridCol w:w="2019"/>
        <w:gridCol w:w="1044"/>
        <w:gridCol w:w="1047"/>
        <w:gridCol w:w="1046"/>
        <w:gridCol w:w="1044"/>
        <w:gridCol w:w="1045"/>
        <w:gridCol w:w="1046"/>
      </w:tblGrid>
      <w:tr>
        <w:trPr>
          <w:trHeight w:val="196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运通 智能</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
              <w:jc w:val="left"/>
              <w:rPr>
                <w:rFonts w:ascii="宋体" w:hAnsi="宋体" w:cs="宋体" w:eastAsia="宋体" w:hint="default"/>
                <w:sz w:val="18"/>
                <w:szCs w:val="18"/>
              </w:rPr>
            </w:pPr>
            <w:r>
              <w:rPr>
                <w:rFonts w:ascii="宋体" w:hAnsi="宋体" w:cs="宋体" w:eastAsia="宋体" w:hint="default"/>
                <w:sz w:val="18"/>
                <w:szCs w:val="18"/>
              </w:rPr>
              <w:t>计算机应用电子设备制 </w:t>
            </w:r>
            <w:r>
              <w:rPr>
                <w:rFonts w:ascii="宋体" w:hAnsi="宋体" w:cs="宋体" w:eastAsia="宋体" w:hint="default"/>
                <w:spacing w:val="-7"/>
                <w:sz w:val="18"/>
                <w:szCs w:val="18"/>
              </w:rPr>
              <w:t>造；自动售货机、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柜员机及零配件的批发； 计算器及货币专用设备 制造；信息系统集成服务</w:t>
            </w:r>
            <w:r>
              <w:rPr>
                <w:rFonts w:ascii="宋体" w:hAnsi="宋体" w:cs="宋体" w:eastAsia="宋体" w:hint="default"/>
                <w:sz w:val="18"/>
                <w:szCs w:val="18"/>
              </w:rPr>
              <w:t> 等。</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53"/>
              <w:jc w:val="left"/>
              <w:rPr>
                <w:rFonts w:ascii="宋体" w:hAnsi="宋体" w:cs="宋体" w:eastAsia="宋体" w:hint="default"/>
                <w:sz w:val="20"/>
                <w:szCs w:val="20"/>
              </w:rPr>
            </w:pPr>
            <w:r>
              <w:rPr>
                <w:rFonts w:ascii="宋体" w:hAnsi="宋体" w:cs="宋体" w:eastAsia="宋体" w:hint="default"/>
                <w:position w:val="-15"/>
                <w:sz w:val="20"/>
                <w:szCs w:val="20"/>
              </w:rPr>
              <w:pict>
                <v:group style="width:51.85pt;height:39.050pt;mso-position-horizontal-relative:char;mso-position-vertical-relative:line" coordorigin="0,0" coordsize="1037,781">
                  <v:group style="position:absolute;left:0;top:0;width:1037;height:781" coordorigin="0,0" coordsize="1037,781">
                    <v:shape style="position:absolute;left:0;top:0;width:1037;height:781" coordorigin="0,0" coordsize="1037,781" path="m0,780l1037,780,1037,0,0,0,0,780xe" filled="true" fillcolor="#ffffff" stroked="false">
                      <v:path arrowok="t"/>
                      <v:fill type="solid"/>
                    </v:shape>
                  </v:group>
                </v:group>
              </w:pict>
            </w:r>
            <w:r>
              <w:rPr>
                <w:rFonts w:ascii="宋体" w:hAnsi="宋体" w:cs="宋体" w:eastAsia="宋体" w:hint="default"/>
                <w:position w:val="-15"/>
                <w:sz w:val="20"/>
                <w:szCs w:val="20"/>
              </w:rPr>
            </w:r>
          </w:p>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80,000,000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241,602,825.</w:t>
            </w:r>
          </w:p>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59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88,327,357.5</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152,249,582.</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12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5,703,782.47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8,305,122.79</w:t>
            </w:r>
          </w:p>
        </w:tc>
      </w:tr>
      <w:tr>
        <w:trPr>
          <w:trHeight w:val="1339"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98" w:right="96"/>
              <w:jc w:val="left"/>
              <w:rPr>
                <w:rFonts w:ascii="宋体" w:hAnsi="宋体" w:cs="宋体" w:eastAsia="宋体" w:hint="default"/>
                <w:sz w:val="18"/>
                <w:szCs w:val="18"/>
              </w:rPr>
            </w:pPr>
            <w:r>
              <w:rPr>
                <w:rFonts w:ascii="宋体" w:hAnsi="宋体" w:cs="宋体" w:eastAsia="宋体" w:hint="default"/>
                <w:sz w:val="18"/>
                <w:szCs w:val="18"/>
              </w:rPr>
              <w:t>广州 穗通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
              <w:jc w:val="left"/>
              <w:rPr>
                <w:rFonts w:ascii="宋体" w:hAnsi="宋体" w:cs="宋体" w:eastAsia="宋体" w:hint="default"/>
                <w:sz w:val="18"/>
                <w:szCs w:val="18"/>
              </w:rPr>
            </w:pPr>
            <w:r>
              <w:rPr>
                <w:rFonts w:ascii="宋体" w:hAnsi="宋体" w:cs="宋体" w:eastAsia="宋体" w:hint="default"/>
                <w:sz w:val="18"/>
                <w:szCs w:val="18"/>
              </w:rPr>
              <w:t>受银行委托对自动柜员 机进行日常维护及管理， 对现金及有价证券提供 清分处理服务。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50,000,000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134,147,889.</w:t>
            </w:r>
          </w:p>
          <w:p>
            <w:pPr>
              <w:pStyle w:val="TableParagraph"/>
              <w:spacing w:line="240" w:lineRule="auto" w:before="102"/>
              <w:ind w:left="4" w:right="0"/>
              <w:jc w:val="center"/>
              <w:rPr>
                <w:rFonts w:ascii="Times New Roman" w:hAnsi="Times New Roman" w:cs="Times New Roman" w:eastAsia="Times New Roman" w:hint="default"/>
                <w:sz w:val="18"/>
                <w:szCs w:val="18"/>
              </w:rPr>
            </w:pPr>
            <w:r>
              <w:rPr>
                <w:rFonts w:ascii="Times New Roman"/>
                <w:sz w:val="18"/>
              </w:rPr>
              <w:t>99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65,589,052.6</w:t>
            </w:r>
          </w:p>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95,884,445.3</w:t>
            </w:r>
          </w:p>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4,614,732.96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6,982,129.11</w:t>
            </w:r>
          </w:p>
        </w:tc>
      </w:tr>
      <w:tr>
        <w:trPr>
          <w:trHeight w:val="1025"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创自 技术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
              <w:jc w:val="left"/>
              <w:rPr>
                <w:rFonts w:ascii="宋体" w:hAnsi="宋体" w:cs="宋体" w:eastAsia="宋体" w:hint="default"/>
                <w:sz w:val="18"/>
                <w:szCs w:val="18"/>
              </w:rPr>
            </w:pPr>
            <w:r>
              <w:rPr>
                <w:rFonts w:ascii="宋体" w:hAnsi="宋体" w:cs="宋体" w:eastAsia="宋体" w:hint="default"/>
                <w:sz w:val="18"/>
                <w:szCs w:val="18"/>
              </w:rPr>
              <w:t>卡座、读卡器、发卡器、 电子终端设备及配件的 生产与销售。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6,150,000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151,077,869.</w:t>
            </w:r>
          </w:p>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97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126,638,560.</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91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95,587,324.9</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23,149,366.2</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21,195,362.3</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3</w:t>
            </w:r>
          </w:p>
        </w:tc>
      </w:tr>
      <w:tr>
        <w:trPr>
          <w:trHeight w:val="1339"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98" w:right="96"/>
              <w:jc w:val="left"/>
              <w:rPr>
                <w:rFonts w:ascii="宋体" w:hAnsi="宋体" w:cs="宋体" w:eastAsia="宋体" w:hint="default"/>
                <w:sz w:val="18"/>
                <w:szCs w:val="18"/>
              </w:rPr>
            </w:pPr>
            <w:r>
              <w:rPr>
                <w:rFonts w:ascii="宋体" w:hAnsi="宋体" w:cs="宋体" w:eastAsia="宋体" w:hint="default"/>
                <w:sz w:val="18"/>
                <w:szCs w:val="18"/>
              </w:rPr>
              <w:t>汇通 金融</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
              <w:jc w:val="left"/>
              <w:rPr>
                <w:rFonts w:ascii="宋体" w:hAnsi="宋体" w:cs="宋体" w:eastAsia="宋体" w:hint="default"/>
                <w:sz w:val="18"/>
                <w:szCs w:val="18"/>
              </w:rPr>
            </w:pPr>
            <w:r>
              <w:rPr>
                <w:rFonts w:ascii="宋体" w:hAnsi="宋体" w:cs="宋体" w:eastAsia="宋体" w:hint="default"/>
                <w:sz w:val="18"/>
                <w:szCs w:val="18"/>
              </w:rPr>
              <w:t>受金融企业的委托和国 家允许的金融外包业务； 第二类增值电信业务中 的呼叫中心业务。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102,040,816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262,270,554.</w:t>
            </w:r>
          </w:p>
          <w:p>
            <w:pPr>
              <w:pStyle w:val="TableParagraph"/>
              <w:spacing w:line="240" w:lineRule="auto" w:before="102"/>
              <w:ind w:left="4" w:right="0"/>
              <w:jc w:val="center"/>
              <w:rPr>
                <w:rFonts w:ascii="Times New Roman" w:hAnsi="Times New Roman" w:cs="Times New Roman" w:eastAsia="Times New Roman" w:hint="default"/>
                <w:sz w:val="18"/>
                <w:szCs w:val="18"/>
              </w:rPr>
            </w:pPr>
            <w:r>
              <w:rPr>
                <w:rFonts w:ascii="Times New Roman"/>
                <w:sz w:val="18"/>
              </w:rPr>
              <w:t>94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235,007,589.</w:t>
            </w:r>
          </w:p>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211,507,996.</w:t>
            </w:r>
          </w:p>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75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5,625,108.40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3,926,793.17</w:t>
            </w:r>
          </w:p>
        </w:tc>
      </w:tr>
      <w:tr>
        <w:trPr>
          <w:trHeight w:val="713"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中科 江南</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智慧金融、政府财政信息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化安全。</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81,000,000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537,825,512.</w:t>
            </w:r>
          </w:p>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33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254,854,883.</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40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265,210,471.</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53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71,403,071.8</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62,529,950.4</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7</w:t>
            </w:r>
          </w:p>
        </w:tc>
      </w:tr>
      <w:tr>
        <w:trPr>
          <w:trHeight w:val="716"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信义 科技</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视频及大数据、公共安 全。</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30,000,000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584,014,153.</w:t>
            </w:r>
          </w:p>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21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134,624,794.</w:t>
            </w:r>
          </w:p>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42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466,633,695.</w:t>
            </w:r>
          </w:p>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03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60,890,076.4</w:t>
            </w:r>
          </w:p>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53,316,637.3</w:t>
            </w:r>
          </w:p>
          <w:p>
            <w:pPr>
              <w:pStyle w:val="TableParagraph"/>
              <w:spacing w:line="240" w:lineRule="auto" w:before="103"/>
              <w:ind w:left="3" w:right="0"/>
              <w:jc w:val="center"/>
              <w:rPr>
                <w:rFonts w:ascii="Times New Roman" w:hAnsi="Times New Roman" w:cs="Times New Roman" w:eastAsia="Times New Roman" w:hint="default"/>
                <w:sz w:val="18"/>
                <w:szCs w:val="18"/>
              </w:rPr>
            </w:pPr>
            <w:r>
              <w:rPr>
                <w:rFonts w:ascii="Times New Roman"/>
                <w:sz w:val="18"/>
              </w:rPr>
              <w:t>5</w:t>
            </w:r>
          </w:p>
        </w:tc>
      </w:tr>
      <w:tr>
        <w:trPr>
          <w:trHeight w:val="1027"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广电 计量</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9" w:right="79" w:hanging="180"/>
              <w:jc w:val="left"/>
              <w:rPr>
                <w:rFonts w:ascii="宋体" w:hAnsi="宋体" w:cs="宋体" w:eastAsia="宋体" w:hint="default"/>
                <w:sz w:val="18"/>
                <w:szCs w:val="18"/>
              </w:rPr>
            </w:pPr>
            <w:r>
              <w:rPr>
                <w:rFonts w:ascii="宋体" w:hAnsi="宋体" w:cs="宋体" w:eastAsia="宋体" w:hint="default"/>
                <w:sz w:val="18"/>
                <w:szCs w:val="18"/>
              </w:rPr>
              <w:t>参股公 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2"/>
                <w:sz w:val="18"/>
                <w:szCs w:val="18"/>
              </w:rPr>
              <w:t>计量服务、检测服务、检</w:t>
            </w:r>
            <w:r>
              <w:rPr>
                <w:rFonts w:ascii="宋体" w:hAnsi="宋体" w:cs="宋体" w:eastAsia="宋体" w:hint="default"/>
                <w:sz w:val="18"/>
                <w:szCs w:val="18"/>
              </w:rPr>
              <w:t> 测装备研发等专业技术 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248,000,000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2,006,286,93</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0.77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798,253,250.</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14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1,227,882,35</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1.47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123,985,494.</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75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123,093,782.</w:t>
            </w:r>
          </w:p>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56</w:t>
            </w:r>
          </w:p>
        </w:tc>
      </w:tr>
    </w:tbl>
    <w:p>
      <w:pPr>
        <w:pStyle w:val="BodyText"/>
        <w:spacing w:line="240" w:lineRule="auto" w:before="49"/>
        <w:ind w:right="1034"/>
        <w:jc w:val="left"/>
      </w:pPr>
      <w:r>
        <w:rPr/>
        <w:t>报告期内取得和处置子公司的情况</w:t>
      </w:r>
    </w:p>
    <w:p>
      <w:pPr>
        <w:pStyle w:val="BodyText"/>
        <w:spacing w:line="240" w:lineRule="auto" w:before="115"/>
        <w:ind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21"/>
        <w:gridCol w:w="3260"/>
        <w:gridCol w:w="3190"/>
      </w:tblGrid>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北京中科江南信息技术股份有限公司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新并购的控股子公司</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4" w:lineRule="auto"/>
              <w:ind w:left="23" w:right="94"/>
              <w:jc w:val="left"/>
              <w:rPr>
                <w:rFonts w:ascii="宋体" w:hAnsi="宋体" w:cs="宋体" w:eastAsia="宋体" w:hint="default"/>
                <w:sz w:val="18"/>
                <w:szCs w:val="18"/>
              </w:rPr>
            </w:pPr>
            <w:r>
              <w:rPr>
                <w:rFonts w:ascii="宋体" w:hAnsi="宋体" w:cs="宋体" w:eastAsia="宋体" w:hint="default"/>
                <w:sz w:val="18"/>
                <w:szCs w:val="18"/>
              </w:rPr>
              <w:t>有利于公司切入政府财政信息化安全领 域</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北京中科江南政易信息技术有限公司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新并购的子公司的控股公司</w:t>
            </w:r>
          </w:p>
        </w:tc>
        <w:tc>
          <w:tcPr>
            <w:tcW w:w="3190" w:type="dxa"/>
            <w:vMerge/>
            <w:tcBorders>
              <w:left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云南云财科技技术有限公司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新并购的子公司的控股公司</w:t>
            </w:r>
          </w:p>
        </w:tc>
        <w:tc>
          <w:tcPr>
            <w:tcW w:w="3190" w:type="dxa"/>
            <w:vMerge/>
            <w:tcBorders>
              <w:left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石家庄翰海信息技术有限公司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新并购的子公司的全资子公司</w:t>
            </w: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深圳市信义科技有限公司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子公司新并购的控股公司</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有利于公司切入公共安防领域</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深圳市深安信信息技术有限公司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新并购的孙公司的全资子公司</w:t>
            </w: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成都平云小匠网络有限公司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孙公司新设立的控股公司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用于拓展“互联网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服务”业务的平台</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广州运通购快科技有限公司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孙公司新设立的控股公司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打造便民惠民的智能互联平台</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GRG AMERICA</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INC.</w:t>
            </w:r>
            <w:r>
              <w:rPr>
                <w:rFonts w:ascii="宋体" w:hAnsi="宋体" w:cs="宋体" w:eastAsia="宋体" w:hint="default"/>
                <w:sz w:val="18"/>
                <w:szCs w:val="18"/>
              </w:rPr>
              <w:t>（美国）</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新设立的全资孙公司</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有利于国际业务的拓展</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GRGBanking</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LLC.</w:t>
            </w:r>
            <w:r>
              <w:rPr>
                <w:rFonts w:ascii="宋体" w:hAnsi="宋体" w:cs="宋体" w:eastAsia="宋体" w:hint="default"/>
                <w:sz w:val="18"/>
                <w:szCs w:val="18"/>
              </w:rPr>
              <w:t>（俄罗斯）</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新设立的全资孙公司</w:t>
            </w:r>
          </w:p>
        </w:tc>
        <w:tc>
          <w:tcPr>
            <w:tcW w:w="3190" w:type="dxa"/>
            <w:vMerge/>
            <w:tcBorders>
              <w:left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广电运通国际商贸（广州）有限公司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新设立的全资孙公司</w:t>
            </w:r>
          </w:p>
        </w:tc>
        <w:tc>
          <w:tcPr>
            <w:tcW w:w="3190"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240" w:lineRule="auto" w:before="44"/>
        <w:ind w:left="0" w:right="1138"/>
        <w:jc w:val="right"/>
      </w:pPr>
      <w:r>
        <w:rPr/>
        <w:pict>
          <v:shape style="position:absolute;margin-left:56.400002pt;margin-top:-16.348295pt;width:479.3pt;height:172.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21"/>
                    <w:gridCol w:w="3260"/>
                    <w:gridCol w:w="3190"/>
                  </w:tblGrid>
                  <w:tr>
                    <w:trPr>
                      <w:trHeight w:val="1025"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广州运通链达金服科技有限公司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子公司新设立的参股公司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5"/>
                          <w:jc w:val="left"/>
                          <w:rPr>
                            <w:rFonts w:ascii="宋体" w:hAnsi="宋体" w:cs="宋体" w:eastAsia="宋体" w:hint="default"/>
                            <w:sz w:val="18"/>
                            <w:szCs w:val="18"/>
                          </w:rPr>
                        </w:pPr>
                        <w:r>
                          <w:rPr>
                            <w:rFonts w:ascii="宋体" w:hAnsi="宋体" w:cs="宋体" w:eastAsia="宋体" w:hint="default"/>
                            <w:sz w:val="18"/>
                            <w:szCs w:val="18"/>
                          </w:rPr>
                          <w:t>有利于快速进入“区块链</w:t>
                        </w:r>
                        <w:r>
                          <w:rPr>
                            <w:rFonts w:ascii="Times New Roman" w:hAnsi="Times New Roman" w:cs="Times New Roman" w:eastAsia="Times New Roman" w:hint="default"/>
                            <w:sz w:val="18"/>
                            <w:szCs w:val="18"/>
                          </w:rPr>
                          <w:t>+</w:t>
                        </w:r>
                        <w:r>
                          <w:rPr>
                            <w:rFonts w:ascii="宋体" w:hAnsi="宋体" w:cs="宋体" w:eastAsia="宋体" w:hint="default"/>
                            <w:sz w:val="18"/>
                            <w:szCs w:val="18"/>
                          </w:rPr>
                          <w:t>供应链金融” </w:t>
                        </w:r>
                        <w:r>
                          <w:rPr>
                            <w:rFonts w:ascii="宋体" w:hAnsi="宋体" w:cs="宋体" w:eastAsia="宋体" w:hint="default"/>
                            <w:spacing w:val="-7"/>
                            <w:sz w:val="18"/>
                            <w:szCs w:val="18"/>
                          </w:rPr>
                          <w:t>及“区块链</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”（如智能物流、智能设备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无人零售等）服务市场</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湖北融信押运保安服务有限公司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孙公司新并购的控股公司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有利于布局公司金融外包服务全产业链</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锡林郭勒盟金盾保安服务有限公司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孙公司新并购的全资孙公司</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有利于布局公司金融外包服务全产业链</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锡林郭勒盟金盾押运服务有限公司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孙公司新并购的全资孙公司的控股公司</w:t>
                        </w:r>
                      </w:p>
                    </w:tc>
                    <w:tc>
                      <w:tcPr>
                        <w:tcW w:w="3190" w:type="dxa"/>
                        <w:vMerge/>
                        <w:tcBorders>
                          <w:left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锡林郭勒盟安逸物业服务有限责任公司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孙公司新并购的全资孙公司的控股公司</w:t>
                        </w: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安化县锦鑫保安服务有限责任公司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已注销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押运公司内部资源整合</w:t>
                        </w:r>
                      </w:p>
                    </w:tc>
                  </w:tr>
                  <w:tr>
                    <w:trPr>
                      <w:trHeight w:val="40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北京广电运通科技有限公司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已注销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公司内部资源整合</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240" w:lineRule="auto" w:before="44"/>
        <w:ind w:right="1034"/>
        <w:jc w:val="left"/>
      </w:pPr>
      <w:r>
        <w:rPr/>
        <w:t>主要控股参股公司情况说明</w:t>
      </w:r>
    </w:p>
    <w:p>
      <w:pPr>
        <w:pStyle w:val="BodyText"/>
        <w:spacing w:line="340" w:lineRule="auto" w:before="115"/>
        <w:ind w:left="513" w:right="1034"/>
        <w:jc w:val="left"/>
      </w:pPr>
      <w:r>
        <w:rPr>
          <w:rFonts w:ascii="Times New Roman" w:hAnsi="Times New Roman" w:cs="Times New Roman" w:eastAsia="Times New Roman" w:hint="default"/>
          <w:b/>
          <w:bCs/>
        </w:rPr>
        <w:t>1</w:t>
      </w:r>
      <w:r>
        <w:rPr>
          <w:rFonts w:ascii="宋体" w:hAnsi="宋体" w:cs="宋体" w:eastAsia="宋体" w:hint="default"/>
          <w:b/>
          <w:bCs/>
        </w:rPr>
        <w:t>、中科江南</w:t>
      </w:r>
      <w:r>
        <w:rPr>
          <w:rFonts w:ascii="宋体" w:hAnsi="宋体" w:cs="宋体" w:eastAsia="宋体" w:hint="default"/>
          <w:b/>
          <w:bCs/>
          <w:w w:val="99"/>
        </w:rPr>
        <w:t> </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8</w:t>
      </w:r>
      <w:r>
        <w:rPr>
          <w:spacing w:val="-2"/>
        </w:rPr>
        <w:t>日召开的第五届董事会第三次（临时）会议审议通过了《关于公司拟收购北京中科江南信息技术股份</w:t>
      </w:r>
    </w:p>
    <w:p>
      <w:pPr>
        <w:pStyle w:val="BodyText"/>
        <w:spacing w:line="228" w:lineRule="exact"/>
        <w:ind w:right="1034"/>
        <w:jc w:val="left"/>
      </w:pPr>
      <w:r>
        <w:rPr/>
        <w:t>有限公司</w:t>
      </w:r>
      <w:r>
        <w:rPr>
          <w:rFonts w:ascii="Times New Roman" w:hAnsi="Times New Roman" w:cs="Times New Roman" w:eastAsia="Times New Roman" w:hint="default"/>
        </w:rPr>
        <w:t>46%</w:t>
      </w:r>
      <w:r>
        <w:rPr/>
        <w:t>股权的议案》，同意公司以自有资金人民币</w:t>
      </w:r>
      <w:r>
        <w:rPr>
          <w:rFonts w:ascii="Times New Roman" w:hAnsi="Times New Roman" w:cs="Times New Roman" w:eastAsia="Times New Roman" w:hint="default"/>
        </w:rPr>
        <w:t>31,280</w:t>
      </w:r>
      <w:r>
        <w:rPr/>
        <w:t>万元收购中科江南</w:t>
      </w:r>
      <w:r>
        <w:rPr>
          <w:rFonts w:ascii="Times New Roman" w:hAnsi="Times New Roman" w:cs="Times New Roman" w:eastAsia="Times New Roman" w:hint="default"/>
        </w:rPr>
        <w:t>46%</w:t>
      </w:r>
      <w:r>
        <w:rPr/>
        <w:t>的股权，切入政府财政信息化安全领</w:t>
      </w:r>
    </w:p>
    <w:p>
      <w:pPr>
        <w:pStyle w:val="BodyText"/>
        <w:spacing w:line="307" w:lineRule="auto" w:before="63"/>
        <w:ind w:right="1034"/>
        <w:jc w:val="left"/>
      </w:pPr>
      <w:r>
        <w:rPr/>
        <w:t>域，完善广电运通智慧金融的业务布局。</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月，中科江南完成工商变更登记，公司取得中科江南</w:t>
      </w:r>
      <w:r>
        <w:rPr>
          <w:rFonts w:ascii="Times New Roman" w:hAnsi="Times New Roman" w:cs="Times New Roman" w:eastAsia="Times New Roman" w:hint="default"/>
        </w:rPr>
        <w:t>46%</w:t>
      </w:r>
      <w:r>
        <w:rPr/>
        <w:t>的股权，中科江 </w:t>
      </w:r>
      <w:r>
        <w:rPr>
          <w:spacing w:val="-2"/>
        </w:rPr>
        <w:t>南成为公司的控股子公司，同时，公司间接控制中科江南旗下的三家子公司北京中科江南政易信息技术有限公司、云南云财</w:t>
      </w:r>
      <w:r>
        <w:rPr>
          <w:spacing w:val="-63"/>
        </w:rPr>
        <w:t> </w:t>
      </w:r>
      <w:r>
        <w:rPr>
          <w:spacing w:val="-63"/>
        </w:rPr>
      </w:r>
      <w:r>
        <w:rPr/>
        <w:t>科技技术有限公司、石家庄翰海信息技术有限公司。（详见刊登在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日《证券时报》及巨潮资讯网 </w:t>
      </w:r>
      <w:hyperlink r:id="rId12">
        <w:r>
          <w:rPr>
            <w:rFonts w:ascii="Times New Roman" w:hAnsi="Times New Roman" w:cs="Times New Roman" w:eastAsia="Times New Roman" w:hint="default"/>
          </w:rPr>
          <w:t>www.cninfo.com.cn</w:t>
        </w:r>
        <w:r>
          <w:rPr/>
          <w:t>上的相关公告）</w:t>
        </w:r>
      </w:hyperlink>
    </w:p>
    <w:p>
      <w:pPr>
        <w:pStyle w:val="Heading5"/>
        <w:spacing w:line="240" w:lineRule="auto" w:before="48"/>
        <w:ind w:left="513" w:right="1034"/>
        <w:jc w:val="left"/>
        <w:rPr>
          <w:b w:val="0"/>
          <w:bCs w:val="0"/>
        </w:rPr>
      </w:pPr>
      <w:r>
        <w:rPr>
          <w:rFonts w:ascii="Times New Roman" w:hAnsi="Times New Roman" w:cs="Times New Roman" w:eastAsia="Times New Roman" w:hint="default"/>
        </w:rPr>
        <w:t>2</w:t>
      </w:r>
      <w:r>
        <w:rPr/>
        <w:t>、广州银通</w:t>
      </w:r>
      <w:r>
        <w:rPr>
          <w:b w:val="0"/>
          <w:bCs w:val="0"/>
        </w:rPr>
      </w:r>
    </w:p>
    <w:p>
      <w:pPr>
        <w:pStyle w:val="BodyText"/>
        <w:spacing w:line="300" w:lineRule="auto" w:before="101"/>
        <w:ind w:left="513" w:right="1034"/>
        <w:jc w:val="left"/>
      </w:pPr>
      <w:r>
        <w:rPr/>
        <w:t>（</w:t>
      </w:r>
      <w:r>
        <w:rPr>
          <w:rFonts w:ascii="Times New Roman" w:hAnsi="Times New Roman" w:cs="Times New Roman" w:eastAsia="Times New Roman" w:hint="default"/>
        </w:rPr>
        <w:t>1</w:t>
      </w:r>
      <w:r>
        <w:rPr/>
        <w:t>）信义科技 </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4</w:t>
      </w:r>
      <w:r>
        <w:rPr>
          <w:spacing w:val="-2"/>
        </w:rPr>
        <w:t>日召开的第五届董事会第二次（临时）会议审议通过了《关于全资子公司广州银通拟收购深圳市信义</w:t>
      </w:r>
    </w:p>
    <w:p>
      <w:pPr>
        <w:pStyle w:val="BodyText"/>
        <w:spacing w:line="300" w:lineRule="auto" w:before="13"/>
        <w:ind w:right="1034"/>
        <w:jc w:val="left"/>
      </w:pPr>
      <w:r>
        <w:rPr/>
        <w:t>科技有限公司</w:t>
      </w:r>
      <w:r>
        <w:rPr>
          <w:rFonts w:ascii="Times New Roman" w:hAnsi="Times New Roman" w:cs="Times New Roman" w:eastAsia="Times New Roman" w:hint="default"/>
        </w:rPr>
        <w:t>85%</w:t>
      </w:r>
      <w:r>
        <w:rPr/>
        <w:t>股权的议案》，同意公司全资子公司广州银通以自有资金人民币</w:t>
      </w:r>
      <w:r>
        <w:rPr>
          <w:rFonts w:ascii="Times New Roman" w:hAnsi="Times New Roman" w:cs="Times New Roman" w:eastAsia="Times New Roman" w:hint="default"/>
        </w:rPr>
        <w:t>32,725</w:t>
      </w:r>
      <w:r>
        <w:rPr/>
        <w:t>万元收购信义科技</w:t>
      </w:r>
      <w:r>
        <w:rPr>
          <w:rFonts w:ascii="Times New Roman" w:hAnsi="Times New Roman" w:cs="Times New Roman" w:eastAsia="Times New Roman" w:hint="default"/>
        </w:rPr>
        <w:t>85%</w:t>
      </w:r>
      <w:r>
        <w:rPr/>
        <w:t>的股权，切 入公共安防领域。</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月，信义科技完成工商变更登记，广州银通取得信义科技</w:t>
      </w:r>
      <w:r>
        <w:rPr>
          <w:rFonts w:ascii="Times New Roman" w:hAnsi="Times New Roman" w:cs="Times New Roman" w:eastAsia="Times New Roman" w:hint="default"/>
        </w:rPr>
        <w:t>85%</w:t>
      </w:r>
      <w:r>
        <w:rPr/>
        <w:t>的股权，信义科技成为公司的控股 孙公司，同时，广州银通间接控制信义科技旗下的控股公司深圳市深安信信息技术有限公司。（详见刊登在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w:t>
      </w:r>
      <w:r>
        <w:rPr>
          <w:spacing w:val="-85"/>
        </w:rPr>
        <w:t> </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日《证券时报》及巨潮资讯网</w:t>
      </w:r>
      <w:hyperlink r:id="rId12">
        <w:r>
          <w:rPr>
            <w:rFonts w:ascii="Times New Roman" w:hAnsi="Times New Roman" w:cs="Times New Roman" w:eastAsia="Times New Roman" w:hint="default"/>
          </w:rPr>
          <w:t>www.cninfo.com.cn</w:t>
        </w:r>
        <w:r>
          <w:rPr/>
          <w:t>上的相关公告）</w:t>
        </w:r>
      </w:hyperlink>
    </w:p>
    <w:p>
      <w:pPr>
        <w:pStyle w:val="BodyText"/>
        <w:spacing w:line="240" w:lineRule="auto" w:before="13"/>
        <w:ind w:left="513" w:right="1034"/>
        <w:jc w:val="left"/>
      </w:pPr>
      <w:r>
        <w:rPr/>
        <w:t>（</w:t>
      </w:r>
      <w:r>
        <w:rPr>
          <w:rFonts w:ascii="Times New Roman" w:hAnsi="Times New Roman" w:cs="Times New Roman" w:eastAsia="Times New Roman" w:hint="default"/>
        </w:rPr>
        <w:t>2</w:t>
      </w:r>
      <w:r>
        <w:rPr/>
        <w:t>）平云小匠</w:t>
      </w:r>
    </w:p>
    <w:p>
      <w:pPr>
        <w:pStyle w:val="BodyText"/>
        <w:spacing w:line="300" w:lineRule="auto" w:before="63"/>
        <w:ind w:right="1134"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月，平云小匠与四川百能信息技术有限公司共同出资设立成都平云小匠网络有限公司，快速切入</w:t>
      </w:r>
      <w:r>
        <w:rPr>
          <w:rFonts w:ascii="Times New Roman" w:hAnsi="Times New Roman" w:cs="Times New Roman" w:eastAsia="Times New Roman" w:hint="default"/>
        </w:rPr>
        <w:t>IT</w:t>
      </w:r>
      <w:r>
        <w:rPr/>
        <w:t>网络设备服 务市场。成都平云小匠网络有限公司注册资本</w:t>
      </w:r>
      <w:r>
        <w:rPr>
          <w:rFonts w:ascii="Times New Roman" w:hAnsi="Times New Roman" w:cs="Times New Roman" w:eastAsia="Times New Roman" w:hint="default"/>
        </w:rPr>
        <w:t>510</w:t>
      </w:r>
      <w:r>
        <w:rPr/>
        <w:t>万元，其中平云小匠出资</w:t>
      </w:r>
      <w:r>
        <w:rPr>
          <w:rFonts w:ascii="Times New Roman" w:hAnsi="Times New Roman" w:cs="Times New Roman" w:eastAsia="Times New Roman" w:hint="default"/>
        </w:rPr>
        <w:t>260.10</w:t>
      </w:r>
      <w:r>
        <w:rPr/>
        <w:t>万元，持有</w:t>
      </w:r>
      <w:r>
        <w:rPr>
          <w:rFonts w:ascii="Times New Roman" w:hAnsi="Times New Roman" w:cs="Times New Roman" w:eastAsia="Times New Roman" w:hint="default"/>
        </w:rPr>
        <w:t>51%</w:t>
      </w:r>
      <w:r>
        <w:rPr/>
        <w:t>股权；四川百能信息技术 有限公司出资</w:t>
      </w:r>
      <w:r>
        <w:rPr>
          <w:rFonts w:ascii="Times New Roman" w:hAnsi="Times New Roman" w:cs="Times New Roman" w:eastAsia="Times New Roman" w:hint="default"/>
        </w:rPr>
        <w:t>249.90</w:t>
      </w:r>
      <w:r>
        <w:rPr/>
        <w:t>万元，持有</w:t>
      </w:r>
      <w:r>
        <w:rPr>
          <w:rFonts w:ascii="Times New Roman" w:hAnsi="Times New Roman" w:cs="Times New Roman" w:eastAsia="Times New Roman" w:hint="default"/>
        </w:rPr>
        <w:t>49%</w:t>
      </w:r>
      <w:r>
        <w:rPr/>
        <w:t>股权。</w:t>
      </w:r>
    </w:p>
    <w:p>
      <w:pPr>
        <w:pStyle w:val="BodyText"/>
        <w:spacing w:line="300" w:lineRule="auto" w:before="13"/>
        <w:ind w:left="513" w:right="1153"/>
        <w:jc w:val="left"/>
      </w:pPr>
      <w:r>
        <w:rPr/>
        <w:t>（</w:t>
      </w:r>
      <w:r>
        <w:rPr>
          <w:rFonts w:ascii="Times New Roman" w:hAnsi="Times New Roman" w:cs="Times New Roman" w:eastAsia="Times New Roman" w:hint="default"/>
        </w:rPr>
        <w:t>3</w:t>
      </w:r>
      <w:r>
        <w:rPr/>
        <w:t>）广电安保投资公司 报告期内，广电安保投资公司旗下参股公司湖北融信变为控股公司，全资孙公司安化保安</w:t>
      </w:r>
      <w:r>
        <w:rPr>
          <w:rFonts w:ascii="Times New Roman" w:hAnsi="Times New Roman" w:cs="Times New Roman" w:eastAsia="Times New Roman" w:hint="default"/>
        </w:rPr>
        <w:t>100%</w:t>
      </w:r>
      <w:r>
        <w:rPr/>
        <w:t>股权已注销，具体情况</w:t>
      </w:r>
    </w:p>
    <w:p>
      <w:pPr>
        <w:pStyle w:val="BodyText"/>
        <w:spacing w:line="240" w:lineRule="auto" w:before="13"/>
        <w:ind w:right="1034"/>
        <w:jc w:val="left"/>
      </w:pPr>
      <w:r>
        <w:rPr/>
        <w:t>如下：</w:t>
      </w:r>
    </w:p>
    <w:p>
      <w:pPr>
        <w:pStyle w:val="BodyText"/>
        <w:spacing w:line="300" w:lineRule="auto" w:before="76"/>
        <w:ind w:right="1128" w:firstLine="360"/>
        <w:jc w:val="both"/>
        <w:rPr>
          <w:rFonts w:ascii="Times New Roman" w:hAnsi="Times New Roman" w:cs="Times New Roman" w:eastAsia="Times New Roman" w:hint="default"/>
        </w:rPr>
      </w:pPr>
      <w:r>
        <w:rPr>
          <w:spacing w:val="-2"/>
        </w:rPr>
        <w:t>①湖北融信押运保安服务有限公司：</w:t>
      </w:r>
      <w:r>
        <w:rPr>
          <w:rFonts w:ascii="Times New Roman" w:hAnsi="Times New Roman" w:cs="Times New Roman" w:eastAsia="Times New Roman" w:hint="default"/>
          <w:spacing w:val="-2"/>
        </w:rPr>
        <w:t>2017</w:t>
      </w:r>
      <w:r>
        <w:rPr>
          <w:spacing w:val="-2"/>
        </w:rPr>
        <w:t>年，广电安保投资公司与湖北琪顺投资有限公司合资成立湖北银通。湖北银通</w:t>
      </w:r>
      <w:r>
        <w:rPr/>
        <w:t> </w:t>
      </w:r>
      <w:r>
        <w:rPr>
          <w:spacing w:val="-3"/>
        </w:rPr>
        <w:t>注册资本</w:t>
      </w:r>
      <w:r>
        <w:rPr>
          <w:rFonts w:ascii="Times New Roman" w:hAnsi="Times New Roman" w:cs="Times New Roman" w:eastAsia="Times New Roman" w:hint="default"/>
          <w:spacing w:val="-3"/>
        </w:rPr>
        <w:t>5,000</w:t>
      </w:r>
      <w:r>
        <w:rPr>
          <w:spacing w:val="-3"/>
        </w:rPr>
        <w:t>万元，其中广电安保投资公司认缴出资额</w:t>
      </w:r>
      <w:r>
        <w:rPr>
          <w:rFonts w:ascii="Times New Roman" w:hAnsi="Times New Roman" w:cs="Times New Roman" w:eastAsia="Times New Roman" w:hint="default"/>
          <w:spacing w:val="-3"/>
        </w:rPr>
        <w:t>2,550</w:t>
      </w:r>
      <w:r>
        <w:rPr>
          <w:spacing w:val="-3"/>
        </w:rPr>
        <w:t>万元，持有</w:t>
      </w:r>
      <w:r>
        <w:rPr>
          <w:rFonts w:ascii="Times New Roman" w:hAnsi="Times New Roman" w:cs="Times New Roman" w:eastAsia="Times New Roman" w:hint="default"/>
          <w:spacing w:val="-3"/>
        </w:rPr>
        <w:t>51%</w:t>
      </w:r>
      <w:r>
        <w:rPr>
          <w:spacing w:val="-3"/>
        </w:rPr>
        <w:t>的股权；湖北琪顺投资有限公司认缴出资额</w:t>
      </w:r>
      <w:r>
        <w:rPr>
          <w:rFonts w:ascii="Times New Roman" w:hAnsi="Times New Roman" w:cs="Times New Roman" w:eastAsia="Times New Roman" w:hint="default"/>
          <w:spacing w:val="-3"/>
        </w:rPr>
        <w:t>2,450</w:t>
      </w:r>
      <w:r>
        <w:rPr>
          <w:rFonts w:ascii="Times New Roman" w:hAnsi="Times New Roman" w:cs="Times New Roman" w:eastAsia="Times New Roman" w:hint="default"/>
        </w:rPr>
        <w:t> </w:t>
      </w:r>
      <w:r>
        <w:rPr>
          <w:spacing w:val="-2"/>
        </w:rPr>
        <w:t>万元，持有</w:t>
      </w:r>
      <w:r>
        <w:rPr>
          <w:rFonts w:ascii="Times New Roman" w:hAnsi="Times New Roman" w:cs="Times New Roman" w:eastAsia="Times New Roman" w:hint="default"/>
          <w:spacing w:val="-2"/>
        </w:rPr>
        <w:t>49%</w:t>
      </w:r>
      <w:r>
        <w:rPr>
          <w:spacing w:val="-2"/>
        </w:rPr>
        <w:t>的股权。湖北银通以</w:t>
      </w:r>
      <w:r>
        <w:rPr>
          <w:rFonts w:ascii="Times New Roman" w:hAnsi="Times New Roman" w:cs="Times New Roman" w:eastAsia="Times New Roman" w:hint="default"/>
          <w:spacing w:val="-2"/>
        </w:rPr>
        <w:t>2,940</w:t>
      </w:r>
      <w:r>
        <w:rPr>
          <w:spacing w:val="-2"/>
        </w:rPr>
        <w:t>万元收购湖北琪顺投资有限公司持有的湖北融信</w:t>
      </w:r>
      <w:r>
        <w:rPr>
          <w:rFonts w:ascii="Times New Roman" w:hAnsi="Times New Roman" w:cs="Times New Roman" w:eastAsia="Times New Roman" w:hint="default"/>
          <w:spacing w:val="-2"/>
        </w:rPr>
        <w:t>49%</w:t>
      </w:r>
      <w:r>
        <w:rPr>
          <w:spacing w:val="-2"/>
        </w:rPr>
        <w:t>的股权，投资完成后广电安保</w:t>
      </w:r>
      <w:r>
        <w:rPr>
          <w:spacing w:val="-45"/>
        </w:rPr>
        <w:t> </w:t>
      </w:r>
      <w:r>
        <w:rPr>
          <w:spacing w:val="-45"/>
        </w:rPr>
      </w:r>
      <w:r>
        <w:rPr/>
        <w:t>投资公司持有湖北银通</w:t>
      </w:r>
      <w:r>
        <w:rPr>
          <w:rFonts w:ascii="Times New Roman" w:hAnsi="Times New Roman" w:cs="Times New Roman" w:eastAsia="Times New Roman" w:hint="default"/>
        </w:rPr>
        <w:t>51%</w:t>
      </w:r>
      <w:r>
        <w:rPr/>
        <w:t>的股权，湖北银通持有湖北融信</w:t>
      </w:r>
      <w:r>
        <w:rPr>
          <w:rFonts w:ascii="Times New Roman" w:hAnsi="Times New Roman" w:cs="Times New Roman" w:eastAsia="Times New Roman" w:hint="default"/>
        </w:rPr>
        <w:t>49%</w:t>
      </w:r>
      <w:r>
        <w:rPr/>
        <w:t>的股权。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月，广电安保投资公司以</w:t>
      </w:r>
      <w:r>
        <w:rPr>
          <w:rFonts w:ascii="Times New Roman" w:hAnsi="Times New Roman" w:cs="Times New Roman" w:eastAsia="Times New Roman" w:hint="default"/>
        </w:rPr>
        <w:t>3,070</w:t>
      </w:r>
      <w:r>
        <w:rPr/>
        <w:t>万元收购湖 </w:t>
      </w:r>
      <w:r>
        <w:rPr>
          <w:spacing w:val="-2"/>
        </w:rPr>
        <w:t>北省中小企业金融服务中心有限公司持有的湖北融信</w:t>
      </w:r>
      <w:r>
        <w:rPr>
          <w:rFonts w:ascii="Times New Roman" w:hAnsi="Times New Roman" w:cs="Times New Roman" w:eastAsia="Times New Roman" w:hint="default"/>
          <w:spacing w:val="-2"/>
        </w:rPr>
        <w:t>51%</w:t>
      </w:r>
      <w:r>
        <w:rPr>
          <w:spacing w:val="-2"/>
        </w:rPr>
        <w:t>股权。截至本报告期末，广电安保投资公司共持有湖北融信</w:t>
      </w:r>
      <w:r>
        <w:rPr>
          <w:rFonts w:ascii="Times New Roman" w:hAnsi="Times New Roman" w:cs="Times New Roman" w:eastAsia="Times New Roman" w:hint="default"/>
          <w:spacing w:val="-2"/>
        </w:rPr>
        <w:t>75.99%</w:t>
      </w:r>
    </w:p>
    <w:p>
      <w:pPr>
        <w:pStyle w:val="BodyText"/>
        <w:spacing w:line="240" w:lineRule="auto" w:before="13"/>
        <w:ind w:right="1034"/>
        <w:jc w:val="left"/>
      </w:pPr>
      <w:r>
        <w:rPr/>
        <w:t>（</w:t>
      </w:r>
      <w:r>
        <w:rPr>
          <w:rFonts w:ascii="Times New Roman" w:hAnsi="Times New Roman" w:cs="Times New Roman" w:eastAsia="Times New Roman" w:hint="default"/>
        </w:rPr>
        <w:t>51%+51%*49%</w:t>
      </w:r>
      <w:r>
        <w:rPr/>
        <w:t>）股权。</w:t>
      </w:r>
    </w:p>
    <w:p>
      <w:pPr>
        <w:pStyle w:val="BodyText"/>
        <w:spacing w:line="307" w:lineRule="auto" w:before="63"/>
        <w:ind w:right="1130" w:firstLine="360"/>
        <w:jc w:val="both"/>
      </w:pPr>
      <w:r>
        <w:rPr>
          <w:spacing w:val="-2"/>
        </w:rPr>
        <w:t>②安化县锦鑫保安服务有限责任公司：广电安保投资公司全资子公司邵阳保安以</w:t>
      </w:r>
      <w:r>
        <w:rPr>
          <w:rFonts w:ascii="Times New Roman" w:hAnsi="Times New Roman" w:cs="Times New Roman" w:eastAsia="Times New Roman" w:hint="default"/>
          <w:spacing w:val="-2"/>
        </w:rPr>
        <w:t>13,210.53</w:t>
      </w:r>
      <w:r>
        <w:rPr>
          <w:spacing w:val="-2"/>
        </w:rPr>
        <w:t>万元竞拍获得益阳保安、安化</w:t>
      </w:r>
      <w:r>
        <w:rPr/>
        <w:t> 保安及南县保安三家公司</w:t>
      </w:r>
      <w:r>
        <w:rPr>
          <w:rFonts w:ascii="Times New Roman" w:hAnsi="Times New Roman" w:cs="Times New Roman" w:eastAsia="Times New Roman" w:hint="default"/>
        </w:rPr>
        <w:t>100%</w:t>
      </w:r>
      <w:r>
        <w:rPr/>
        <w:t>的股权（三家公司打包挂牌转让）。益阳保安已完成工商变更登记，益阳保安成为广电安保 </w:t>
      </w:r>
      <w:r>
        <w:rPr>
          <w:spacing w:val="-2"/>
        </w:rPr>
        <w:t>投资公司的全资孙公司。因经营管理需要，邵阳保安以益阳保安为主体整合安化保安及南县保安的资产及业务，并对安化保</w:t>
      </w:r>
      <w:r>
        <w:rPr>
          <w:spacing w:val="-63"/>
        </w:rPr>
        <w:t> </w:t>
      </w:r>
      <w:r>
        <w:rPr>
          <w:spacing w:val="-63"/>
        </w:rPr>
      </w:r>
      <w:r>
        <w:rPr/>
        <w:t>安及南县保安依法进行注销。截止目前，安化保安已注销，南县保安正在进行注销前的清算工作。</w:t>
      </w:r>
    </w:p>
    <w:p>
      <w:pPr>
        <w:pStyle w:val="BodyText"/>
        <w:spacing w:line="240" w:lineRule="auto" w:before="26"/>
        <w:ind w:left="513" w:right="1034"/>
        <w:jc w:val="left"/>
      </w:pPr>
      <w:r>
        <w:rPr/>
        <w:t>③锡林郭勒盟金盾保安服务有限公司：内蒙古安保投资公司于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日与锡林郭勒盟公安局签订股权转让协议，</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09" w:lineRule="auto" w:before="44"/>
        <w:ind w:right="1133"/>
        <w:jc w:val="both"/>
      </w:pPr>
      <w:r>
        <w:rPr/>
        <w:t>以</w:t>
      </w:r>
      <w:r>
        <w:rPr>
          <w:rFonts w:ascii="Times New Roman" w:hAnsi="Times New Roman" w:cs="Times New Roman" w:eastAsia="Times New Roman" w:hint="default"/>
        </w:rPr>
        <w:t>2,729.56</w:t>
      </w:r>
      <w:r>
        <w:rPr/>
        <w:t>万元的价格取得其持有的锡林郭勒盟保安</w:t>
      </w:r>
      <w:r>
        <w:rPr>
          <w:rFonts w:ascii="Times New Roman" w:hAnsi="Times New Roman" w:cs="Times New Roman" w:eastAsia="Times New Roman" w:hint="default"/>
        </w:rPr>
        <w:t>100%</w:t>
      </w:r>
      <w:r>
        <w:rPr/>
        <w:t>的股权。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月，锡林郭勒盟保安已完成工商变更登记，锡林 </w:t>
      </w:r>
      <w:r>
        <w:rPr>
          <w:spacing w:val="-2"/>
        </w:rPr>
        <w:t>郭勒盟保安成为内蒙古安保投资公司的全资子公司，同时，内蒙古安保投资公司间接控制锡林郭勒盟保安旗下的两家子公司</w:t>
      </w:r>
      <w:r>
        <w:rPr>
          <w:spacing w:val="-64"/>
        </w:rPr>
        <w:t> </w:t>
      </w:r>
      <w:r>
        <w:rPr>
          <w:spacing w:val="-64"/>
        </w:rPr>
      </w:r>
      <w:r>
        <w:rPr/>
        <w:t>锡林郭勒盟金盾押运服务有限公司、锡林郭勒盟安逸物业服务有限责任公司。</w:t>
      </w:r>
    </w:p>
    <w:p>
      <w:pPr>
        <w:pStyle w:val="BodyText"/>
        <w:spacing w:line="312" w:lineRule="auto" w:before="24"/>
        <w:ind w:right="1130" w:firstLine="360"/>
        <w:jc w:val="both"/>
      </w:pPr>
      <w:r>
        <w:rPr/>
        <w:t>截至报告期末，广电安保投资公司有内蒙古安保投资公司、邵阳保安、武威市神威保安守押有限责任公司</w:t>
      </w:r>
      <w:r>
        <w:rPr>
          <w:rFonts w:ascii="Times New Roman" w:hAnsi="Times New Roman" w:cs="Times New Roman" w:eastAsia="Times New Roman" w:hint="default"/>
        </w:rPr>
        <w:t>3</w:t>
      </w:r>
      <w:r>
        <w:rPr/>
        <w:t>家全资子公 </w:t>
      </w:r>
      <w:r>
        <w:rPr>
          <w:spacing w:val="-2"/>
        </w:rPr>
        <w:t>司；有宜昌市金牛押运护卫保安服务有限责任公司、商洛市金盾押运有限责任公司、海南警锐押运护卫有限公司、西安金盾</w:t>
      </w:r>
      <w:r>
        <w:rPr>
          <w:spacing w:val="-65"/>
        </w:rPr>
        <w:t> </w:t>
      </w:r>
      <w:r>
        <w:rPr>
          <w:spacing w:val="-65"/>
        </w:rPr>
      </w:r>
      <w:r>
        <w:rPr>
          <w:spacing w:val="-2"/>
        </w:rPr>
        <w:t>押运有限公司、平顶山鹰翔保安押运有限公司、榆林市神鹰护卫有限责任公司、新余市保安服务有限公司、文山州金盾保安</w:t>
      </w:r>
      <w:r>
        <w:rPr>
          <w:spacing w:val="-65"/>
        </w:rPr>
        <w:t> </w:t>
      </w:r>
      <w:r>
        <w:rPr>
          <w:spacing w:val="-65"/>
        </w:rPr>
      </w:r>
      <w:r>
        <w:rPr>
          <w:spacing w:val="-2"/>
        </w:rPr>
        <w:t>守护押运有限责任公司、新疆阿帕奇武装守护押运有限公司、巴州阿帕奇保安有限责任公司、黔南州蓝盾武装护运有限责任</w:t>
      </w:r>
      <w:r>
        <w:rPr>
          <w:spacing w:val="-63"/>
        </w:rPr>
        <w:t> </w:t>
      </w:r>
      <w:r>
        <w:rPr>
          <w:spacing w:val="-63"/>
        </w:rPr>
      </w:r>
      <w:r>
        <w:rPr>
          <w:spacing w:val="-5"/>
        </w:rPr>
        <w:t>公司、资阳保安有限责任公司、湖北银通、湖北融信、黄石金通智慧金融外包服务有限公司、鹤壁市鹏翔保安服务有限公司、</w:t>
      </w:r>
      <w:r>
        <w:rPr>
          <w:spacing w:val="-79"/>
        </w:rPr>
        <w:t> </w:t>
      </w:r>
      <w:r>
        <w:rPr>
          <w:spacing w:val="-79"/>
        </w:rPr>
      </w:r>
      <w:r>
        <w:rPr/>
        <w:t>保山安邦武装守护押运有限责任公司</w:t>
      </w:r>
      <w:r>
        <w:rPr>
          <w:rFonts w:ascii="Times New Roman" w:hAnsi="Times New Roman" w:cs="Times New Roman" w:eastAsia="Times New Roman" w:hint="default"/>
        </w:rPr>
        <w:t>17</w:t>
      </w:r>
      <w:r>
        <w:rPr/>
        <w:t>家控股子公司；有锡林郭勒盟保安、益阳保安、南县保安</w:t>
      </w:r>
      <w:r>
        <w:rPr>
          <w:rFonts w:ascii="Times New Roman" w:hAnsi="Times New Roman" w:cs="Times New Roman" w:eastAsia="Times New Roman" w:hint="default"/>
        </w:rPr>
        <w:t>3</w:t>
      </w:r>
      <w:r>
        <w:rPr/>
        <w:t>家全资孙公司；有黄石市 </w:t>
      </w:r>
      <w:r>
        <w:rPr>
          <w:spacing w:val="-2"/>
        </w:rPr>
        <w:t>金安押运护卫保安服务有限公司、兴安盟威信保安守押服务有限责任公司、巴彦淖尔天力保押有限责任公司、通辽市威远护</w:t>
      </w:r>
      <w:r>
        <w:rPr>
          <w:spacing w:val="-63"/>
        </w:rPr>
        <w:t> </w:t>
      </w:r>
      <w:r>
        <w:rPr>
          <w:spacing w:val="-63"/>
        </w:rPr>
      </w:r>
      <w:r>
        <w:rPr>
          <w:spacing w:val="-2"/>
        </w:rPr>
        <w:t>卫有限责任公司、商洛市慧金清分服务有限公司、锡林郭勒盟金盾押运服务有限公司、锡林郭勒盟安逸物业服务有限责任公</w:t>
      </w:r>
      <w:r>
        <w:rPr>
          <w:spacing w:val="-63"/>
        </w:rPr>
        <w:t> </w:t>
      </w:r>
      <w:r>
        <w:rPr>
          <w:spacing w:val="-63"/>
        </w:rPr>
      </w:r>
      <w:r>
        <w:rPr/>
        <w:t>司、新余市景运科技有限公司、资阳市卓越人力资源服务有限公司</w:t>
      </w:r>
      <w:r>
        <w:rPr>
          <w:rFonts w:ascii="Times New Roman" w:hAnsi="Times New Roman" w:cs="Times New Roman" w:eastAsia="Times New Roman" w:hint="default"/>
        </w:rPr>
        <w:t>9</w:t>
      </w:r>
      <w:r>
        <w:rPr/>
        <w:t>家控股孙公司；有广东安达金融保安押运有限公司、中 山市保安服务有限公司、资阳雁江农村合作银行、锡林浩特农村合作银行</w:t>
      </w:r>
      <w:r>
        <w:rPr>
          <w:rFonts w:ascii="Times New Roman" w:hAnsi="Times New Roman" w:cs="Times New Roman" w:eastAsia="Times New Roman" w:hint="default"/>
        </w:rPr>
        <w:t>4</w:t>
      </w:r>
      <w:r>
        <w:rPr/>
        <w:t>家参股公司。</w:t>
      </w:r>
    </w:p>
    <w:p>
      <w:pPr>
        <w:pStyle w:val="BodyText"/>
        <w:spacing w:line="300" w:lineRule="auto" w:before="3"/>
        <w:ind w:left="513" w:right="1123"/>
        <w:jc w:val="left"/>
      </w:pPr>
      <w:r>
        <w:rPr/>
        <w:t>（</w:t>
      </w:r>
      <w:r>
        <w:rPr>
          <w:rFonts w:ascii="Times New Roman" w:hAnsi="Times New Roman" w:cs="Times New Roman" w:eastAsia="Times New Roman" w:hint="default"/>
        </w:rPr>
        <w:t>4</w:t>
      </w:r>
      <w:r>
        <w:rPr/>
        <w:t>）深圳银通 运通购快：公司于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日召开的</w:t>
      </w:r>
      <w:r>
        <w:rPr>
          <w:rFonts w:ascii="Times New Roman" w:hAnsi="Times New Roman" w:cs="Times New Roman" w:eastAsia="Times New Roman" w:hint="default"/>
        </w:rPr>
        <w:t>2017</w:t>
      </w:r>
      <w:r>
        <w:rPr/>
        <w:t>年度股东大会审议通过了《关于变更部分募集资金用途及设立智能便民项</w:t>
      </w:r>
    </w:p>
    <w:p>
      <w:pPr>
        <w:pStyle w:val="BodyText"/>
        <w:spacing w:line="304" w:lineRule="auto" w:before="13"/>
        <w:ind w:right="1130"/>
        <w:jc w:val="both"/>
      </w:pPr>
      <w:r>
        <w:rPr/>
        <w:t>目公司的议案》，同意公司变更部分募集资金</w:t>
      </w:r>
      <w:r>
        <w:rPr>
          <w:rFonts w:ascii="Times New Roman" w:hAnsi="Times New Roman" w:cs="Times New Roman" w:eastAsia="Times New Roman" w:hint="default"/>
        </w:rPr>
        <w:t>1.4</w:t>
      </w:r>
      <w:r>
        <w:rPr/>
        <w:t>亿元用于投资建设“智能便民项目”，设立智能便民项目公司</w:t>
      </w:r>
      <w:r>
        <w:rPr>
          <w:rFonts w:ascii="Times New Roman" w:hAnsi="Times New Roman" w:cs="Times New Roman" w:eastAsia="Times New Roman" w:hint="default"/>
        </w:rPr>
        <w:t>——</w:t>
      </w:r>
      <w:r>
        <w:rPr/>
        <w:t>广州运 </w:t>
      </w:r>
      <w:r>
        <w:rPr>
          <w:spacing w:val="-2"/>
        </w:rPr>
        <w:t>通购快科技有限公司。运通购快将结合广电运通全国服务平台的线下资源优势，在重点发展新零售业务的基础上，深入打造</w:t>
      </w:r>
      <w:r>
        <w:rPr>
          <w:spacing w:val="-63"/>
        </w:rPr>
        <w:t> </w:t>
      </w:r>
      <w:r>
        <w:rPr>
          <w:spacing w:val="-63"/>
        </w:rPr>
      </w:r>
      <w:r>
        <w:rPr/>
        <w:t>便民惠民的智能互联平台。</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月，运通购快完成工商登记，深圳银通持有其</w:t>
      </w:r>
      <w:r>
        <w:rPr>
          <w:rFonts w:ascii="Times New Roman" w:hAnsi="Times New Roman" w:cs="Times New Roman" w:eastAsia="Times New Roman" w:hint="default"/>
        </w:rPr>
        <w:t>70%</w:t>
      </w:r>
      <w:r>
        <w:rPr/>
        <w:t>股权，湖南中谷科技股份有限公司持 </w:t>
      </w:r>
      <w:r>
        <w:rPr>
          <w:spacing w:val="-2"/>
        </w:rPr>
        <w:t>有其</w:t>
      </w:r>
      <w:r>
        <w:rPr>
          <w:rFonts w:ascii="Times New Roman" w:hAnsi="Times New Roman" w:cs="Times New Roman" w:eastAsia="Times New Roman" w:hint="default"/>
          <w:spacing w:val="-2"/>
        </w:rPr>
        <w:t>30%</w:t>
      </w:r>
      <w:r>
        <w:rPr>
          <w:spacing w:val="-2"/>
        </w:rPr>
        <w:t>股权，运通购快成为公司的控股孙公司。（详见刊登在</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30</w:t>
      </w:r>
      <w:r>
        <w:rPr>
          <w:spacing w:val="-2"/>
        </w:rPr>
        <w:t>日、</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23</w:t>
      </w:r>
      <w:r>
        <w:rPr>
          <w:spacing w:val="-2"/>
        </w:rPr>
        <w:t>日、</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5</w:t>
      </w:r>
      <w:r>
        <w:rPr>
          <w:spacing w:val="-2"/>
        </w:rPr>
        <w:t>日《证券时报》和巨潮资讯</w:t>
      </w:r>
      <w:r>
        <w:rPr>
          <w:spacing w:val="-32"/>
        </w:rPr>
        <w:t> </w:t>
      </w:r>
      <w:r>
        <w:rPr>
          <w:spacing w:val="-32"/>
        </w:rPr>
      </w:r>
      <w:r>
        <w:rPr/>
        <w:t>网</w:t>
      </w:r>
      <w:hyperlink r:id="rId12">
        <w:r>
          <w:rPr>
            <w:rFonts w:ascii="Times New Roman" w:hAnsi="Times New Roman" w:cs="Times New Roman" w:eastAsia="Times New Roman" w:hint="default"/>
          </w:rPr>
          <w:t>www.cninfo.com.cn</w:t>
        </w:r>
        <w:r>
          <w:rPr/>
          <w:t>上的相关公告）</w:t>
        </w:r>
      </w:hyperlink>
    </w:p>
    <w:p>
      <w:pPr>
        <w:pStyle w:val="Heading5"/>
        <w:spacing w:line="240" w:lineRule="auto" w:before="50"/>
        <w:ind w:left="513" w:right="1034"/>
        <w:jc w:val="left"/>
        <w:rPr>
          <w:b w:val="0"/>
          <w:bCs w:val="0"/>
        </w:rPr>
      </w:pPr>
      <w:r>
        <w:rPr>
          <w:rFonts w:ascii="Times New Roman" w:hAnsi="Times New Roman" w:cs="Times New Roman" w:eastAsia="Times New Roman" w:hint="default"/>
        </w:rPr>
        <w:t>3</w:t>
      </w:r>
      <w:r>
        <w:rPr/>
        <w:t>、运通信息</w:t>
      </w:r>
      <w:r>
        <w:rPr>
          <w:b w:val="0"/>
          <w:bCs w:val="0"/>
        </w:rPr>
      </w:r>
    </w:p>
    <w:p>
      <w:pPr>
        <w:pStyle w:val="BodyText"/>
        <w:spacing w:line="240" w:lineRule="auto" w:before="101"/>
        <w:ind w:left="513" w:right="1034"/>
        <w:jc w:val="left"/>
      </w:pPr>
      <w:r>
        <w:rPr/>
        <w:t>（</w:t>
      </w:r>
      <w:r>
        <w:rPr>
          <w:rFonts w:ascii="Times New Roman" w:hAnsi="Times New Roman" w:cs="Times New Roman" w:eastAsia="Times New Roman" w:hint="default"/>
        </w:rPr>
        <w:t>1</w:t>
      </w:r>
      <w:r>
        <w:rPr/>
        <w:t>）链达金服</w:t>
      </w:r>
    </w:p>
    <w:p>
      <w:pPr>
        <w:pStyle w:val="BodyText"/>
        <w:spacing w:line="300" w:lineRule="auto" w:before="63"/>
        <w:ind w:right="1034"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月，公司全资子公司运通信息与北京区块链云科技有限公司、绿谷联盟高科技有限公司共同投资设立广州广电 </w:t>
      </w:r>
      <w:r>
        <w:rPr>
          <w:spacing w:val="-2"/>
        </w:rPr>
        <w:t>运通区块链科技有限公司，以区块链技术等为技术立足点，快速进入“区块链</w:t>
      </w:r>
      <w:r>
        <w:rPr>
          <w:rFonts w:ascii="Times New Roman" w:hAnsi="Times New Roman" w:cs="Times New Roman" w:eastAsia="Times New Roman" w:hint="default"/>
          <w:spacing w:val="-2"/>
        </w:rPr>
        <w:t>+</w:t>
      </w:r>
      <w:r>
        <w:rPr>
          <w:spacing w:val="-2"/>
        </w:rPr>
        <w:t>供应链金融”及“区块链</w:t>
      </w:r>
      <w:r>
        <w:rPr>
          <w:rFonts w:ascii="Times New Roman" w:hAnsi="Times New Roman" w:cs="Times New Roman" w:eastAsia="Times New Roman" w:hint="default"/>
          <w:spacing w:val="-2"/>
        </w:rPr>
        <w:t>+</w:t>
      </w:r>
      <w:r>
        <w:rPr>
          <w:spacing w:val="-2"/>
        </w:rPr>
        <w:t>”（如智能物流、</w:t>
      </w:r>
      <w:r>
        <w:rPr>
          <w:spacing w:val="-88"/>
        </w:rPr>
        <w:t> </w:t>
      </w:r>
      <w:r>
        <w:rPr>
          <w:spacing w:val="-88"/>
        </w:rPr>
      </w:r>
      <w:r>
        <w:rPr/>
        <w:t>智能设备、无人零售等）服务市场。运通区块链注册资本</w:t>
      </w:r>
      <w:r>
        <w:rPr>
          <w:rFonts w:ascii="Times New Roman" w:hAnsi="Times New Roman" w:cs="Times New Roman" w:eastAsia="Times New Roman" w:hint="default"/>
        </w:rPr>
        <w:t>1,000</w:t>
      </w:r>
      <w:r>
        <w:rPr/>
        <w:t>万元，各股东以自有资金出资，其中运通信息出资</w:t>
      </w:r>
      <w:r>
        <w:rPr>
          <w:rFonts w:ascii="Times New Roman" w:hAnsi="Times New Roman" w:cs="Times New Roman" w:eastAsia="Times New Roman" w:hint="default"/>
        </w:rPr>
        <w:t>450</w:t>
      </w:r>
      <w:r>
        <w:rPr/>
        <w:t>万元，</w:t>
      </w:r>
      <w:r>
        <w:rPr>
          <w:spacing w:val="-46"/>
        </w:rPr>
        <w:t> </w:t>
      </w:r>
      <w:r>
        <w:rPr>
          <w:spacing w:val="-46"/>
        </w:rPr>
      </w:r>
      <w:r>
        <w:rPr/>
        <w:t>持有</w:t>
      </w:r>
      <w:r>
        <w:rPr>
          <w:rFonts w:ascii="Times New Roman" w:hAnsi="Times New Roman" w:cs="Times New Roman" w:eastAsia="Times New Roman" w:hint="default"/>
        </w:rPr>
        <w:t>45%</w:t>
      </w:r>
      <w:r>
        <w:rPr/>
        <w:t>股权；北京区块链云科技有限公司出资</w:t>
      </w:r>
      <w:r>
        <w:rPr>
          <w:rFonts w:ascii="Times New Roman" w:hAnsi="Times New Roman" w:cs="Times New Roman" w:eastAsia="Times New Roman" w:hint="default"/>
        </w:rPr>
        <w:t>300</w:t>
      </w:r>
      <w:r>
        <w:rPr/>
        <w:t>万元，持有</w:t>
      </w:r>
      <w:r>
        <w:rPr>
          <w:rFonts w:ascii="Times New Roman" w:hAnsi="Times New Roman" w:cs="Times New Roman" w:eastAsia="Times New Roman" w:hint="default"/>
        </w:rPr>
        <w:t>30%</w:t>
      </w:r>
      <w:r>
        <w:rPr/>
        <w:t>股权；绿谷联盟高科技有限公司出资</w:t>
      </w:r>
      <w:r>
        <w:rPr>
          <w:rFonts w:ascii="Times New Roman" w:hAnsi="Times New Roman" w:cs="Times New Roman" w:eastAsia="Times New Roman" w:hint="default"/>
        </w:rPr>
        <w:t>250</w:t>
      </w:r>
      <w:r>
        <w:rPr/>
        <w:t>万元，持有</w:t>
      </w:r>
      <w:r>
        <w:rPr>
          <w:rFonts w:ascii="Times New Roman" w:hAnsi="Times New Roman" w:cs="Times New Roman" w:eastAsia="Times New Roman" w:hint="default"/>
        </w:rPr>
        <w:t>25% </w:t>
      </w:r>
      <w:r>
        <w:rPr/>
        <w:t>股权。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月，广州广电运通区块链科技有限公司更名为“广州运通链达金服科技有限公司”。</w:t>
      </w:r>
    </w:p>
    <w:p>
      <w:pPr>
        <w:pStyle w:val="BodyText"/>
        <w:spacing w:line="240" w:lineRule="auto" w:before="13"/>
        <w:ind w:left="513" w:right="1034"/>
        <w:jc w:val="left"/>
      </w:pPr>
      <w:r>
        <w:rPr/>
        <w:t>（</w:t>
      </w:r>
      <w:r>
        <w:rPr>
          <w:rFonts w:ascii="Times New Roman" w:hAnsi="Times New Roman" w:cs="Times New Roman" w:eastAsia="Times New Roman" w:hint="default"/>
        </w:rPr>
        <w:t>2</w:t>
      </w:r>
      <w:r>
        <w:rPr/>
        <w:t>）广电卓识</w:t>
      </w:r>
    </w:p>
    <w:p>
      <w:pPr>
        <w:pStyle w:val="BodyText"/>
        <w:spacing w:line="300" w:lineRule="auto" w:before="63"/>
        <w:ind w:right="1198"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月，根据公司业务调整广电卓识发生股权变更，股权结构由：运通信息出资</w:t>
      </w:r>
      <w:r>
        <w:rPr>
          <w:rFonts w:ascii="Times New Roman" w:hAnsi="Times New Roman" w:cs="Times New Roman" w:eastAsia="Times New Roman" w:hint="default"/>
        </w:rPr>
        <w:t>667</w:t>
      </w:r>
      <w:r>
        <w:rPr/>
        <w:t>万元，持有</w:t>
      </w:r>
      <w:r>
        <w:rPr>
          <w:rFonts w:ascii="Times New Roman" w:hAnsi="Times New Roman" w:cs="Times New Roman" w:eastAsia="Times New Roman" w:hint="default"/>
        </w:rPr>
        <w:t>66.70%</w:t>
      </w:r>
      <w:r>
        <w:rPr/>
        <w:t>股权；广州 沃态信息科技合伙企业（有限合伙）出资</w:t>
      </w:r>
      <w:r>
        <w:rPr>
          <w:rFonts w:ascii="Times New Roman" w:hAnsi="Times New Roman" w:cs="Times New Roman" w:eastAsia="Times New Roman" w:hint="default"/>
        </w:rPr>
        <w:t>333</w:t>
      </w:r>
      <w:r>
        <w:rPr/>
        <w:t>万元，持有</w:t>
      </w:r>
      <w:r>
        <w:rPr>
          <w:rFonts w:ascii="Times New Roman" w:hAnsi="Times New Roman" w:cs="Times New Roman" w:eastAsia="Times New Roman" w:hint="default"/>
        </w:rPr>
        <w:t>33.30%</w:t>
      </w:r>
      <w:r>
        <w:rPr/>
        <w:t>股权；变更为运通信息出资</w:t>
      </w:r>
      <w:r>
        <w:rPr>
          <w:rFonts w:ascii="Times New Roman" w:hAnsi="Times New Roman" w:cs="Times New Roman" w:eastAsia="Times New Roman" w:hint="default"/>
        </w:rPr>
        <w:t>667</w:t>
      </w:r>
      <w:r>
        <w:rPr/>
        <w:t>万元，持有</w:t>
      </w:r>
      <w:r>
        <w:rPr>
          <w:rFonts w:ascii="Times New Roman" w:hAnsi="Times New Roman" w:cs="Times New Roman" w:eastAsia="Times New Roman" w:hint="default"/>
        </w:rPr>
        <w:t>66.70%</w:t>
      </w:r>
      <w:r>
        <w:rPr/>
        <w:t>股权；爱 笔（北京）智能科技有限公司出资</w:t>
      </w:r>
      <w:r>
        <w:rPr>
          <w:rFonts w:ascii="Times New Roman" w:hAnsi="Times New Roman" w:cs="Times New Roman" w:eastAsia="Times New Roman" w:hint="default"/>
        </w:rPr>
        <w:t>333</w:t>
      </w:r>
      <w:r>
        <w:rPr/>
        <w:t>万元，持有</w:t>
      </w:r>
      <w:r>
        <w:rPr>
          <w:rFonts w:ascii="Times New Roman" w:hAnsi="Times New Roman" w:cs="Times New Roman" w:eastAsia="Times New Roman" w:hint="default"/>
        </w:rPr>
        <w:t>33.30%</w:t>
      </w:r>
      <w:r>
        <w:rPr/>
        <w:t>股权。</w:t>
      </w:r>
    </w:p>
    <w:p>
      <w:pPr>
        <w:pStyle w:val="Heading5"/>
        <w:spacing w:line="240" w:lineRule="auto" w:before="54"/>
        <w:ind w:left="513" w:right="1034"/>
        <w:jc w:val="left"/>
        <w:rPr>
          <w:b w:val="0"/>
          <w:bCs w:val="0"/>
        </w:rPr>
      </w:pPr>
      <w:r>
        <w:rPr>
          <w:rFonts w:ascii="Times New Roman" w:hAnsi="Times New Roman" w:cs="Times New Roman" w:eastAsia="Times New Roman" w:hint="default"/>
        </w:rPr>
        <w:t>4</w:t>
      </w:r>
      <w:r>
        <w:rPr/>
        <w:t>、支点投资</w:t>
      </w:r>
      <w:r>
        <w:rPr>
          <w:b w:val="0"/>
          <w:bCs w:val="0"/>
        </w:rPr>
      </w:r>
    </w:p>
    <w:p>
      <w:pPr>
        <w:pStyle w:val="BodyText"/>
        <w:spacing w:line="240" w:lineRule="auto" w:before="103"/>
        <w:ind w:left="513" w:right="1034"/>
        <w:jc w:val="left"/>
        <w:rPr>
          <w:rFonts w:ascii="Times New Roman" w:hAnsi="Times New Roman" w:cs="Times New Roman" w:eastAsia="Times New Roman" w:hint="default"/>
        </w:rPr>
      </w:pP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8 </w:t>
      </w:r>
      <w:r>
        <w:rPr/>
        <w:t>月，支点投资下属参股公司国信运通发起设立了珠海国信运通基金，国信运通作为普通合伙人认缴出资</w:t>
      </w:r>
      <w:r>
        <w:rPr>
          <w:spacing w:val="9"/>
        </w:rPr>
        <w:t> </w:t>
      </w:r>
      <w:r>
        <w:rPr>
          <w:rFonts w:ascii="Times New Roman" w:hAnsi="Times New Roman" w:cs="Times New Roman" w:eastAsia="Times New Roman" w:hint="default"/>
        </w:rPr>
        <w:t>500</w:t>
      </w:r>
    </w:p>
    <w:p>
      <w:pPr>
        <w:pStyle w:val="BodyText"/>
        <w:spacing w:line="300" w:lineRule="auto" w:before="63"/>
        <w:ind w:left="513" w:right="2445" w:hanging="361"/>
        <w:jc w:val="left"/>
      </w:pPr>
      <w:r>
        <w:rPr/>
        <w:t>万元，占比</w:t>
      </w:r>
      <w:r>
        <w:rPr>
          <w:spacing w:val="-45"/>
        </w:rPr>
        <w:t> </w:t>
      </w:r>
      <w:r>
        <w:rPr>
          <w:rFonts w:ascii="Times New Roman" w:hAnsi="Times New Roman" w:cs="Times New Roman" w:eastAsia="Times New Roman" w:hint="default"/>
        </w:rPr>
        <w:t>2.44%</w:t>
      </w:r>
      <w:r>
        <w:rPr/>
        <w:t>，公司和国信弘盛创业投资有限公司作为有限合伙人，各认缴</w:t>
      </w:r>
      <w:r>
        <w:rPr>
          <w:spacing w:val="-45"/>
        </w:rPr>
        <w:t> </w:t>
      </w:r>
      <w:r>
        <w:rPr>
          <w:rFonts w:ascii="Times New Roman" w:hAnsi="Times New Roman" w:cs="Times New Roman" w:eastAsia="Times New Roman" w:hint="default"/>
        </w:rPr>
        <w:t>1 </w:t>
      </w:r>
      <w:r>
        <w:rPr/>
        <w:t>亿元，各占比</w:t>
      </w:r>
      <w:r>
        <w:rPr>
          <w:spacing w:val="-46"/>
        </w:rPr>
        <w:t> </w:t>
      </w:r>
      <w:r>
        <w:rPr>
          <w:rFonts w:ascii="Times New Roman" w:hAnsi="Times New Roman" w:cs="Times New Roman" w:eastAsia="Times New Roman" w:hint="default"/>
        </w:rPr>
        <w:t>48.78%</w:t>
      </w:r>
      <w:r>
        <w:rPr/>
        <w:t>。 截至目前，珠海国信运通基金共有</w:t>
      </w:r>
      <w:r>
        <w:rPr>
          <w:spacing w:val="-45"/>
        </w:rPr>
        <w:t> </w:t>
      </w:r>
      <w:r>
        <w:rPr>
          <w:rFonts w:ascii="Times New Roman" w:hAnsi="Times New Roman" w:cs="Times New Roman" w:eastAsia="Times New Roman" w:hint="default"/>
        </w:rPr>
        <w:t>1 </w:t>
      </w:r>
      <w:r>
        <w:rPr/>
        <w:t>项投资，具体如下：</w:t>
      </w:r>
    </w:p>
    <w:p>
      <w:pPr>
        <w:pStyle w:val="BodyText"/>
        <w:spacing w:line="300" w:lineRule="auto" w:before="13"/>
        <w:ind w:right="1128" w:firstLine="360"/>
        <w:jc w:val="both"/>
      </w:pP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11 </w:t>
      </w:r>
      <w:r>
        <w:rPr/>
        <w:t>月，珠海国信运通基金完成对北京沐融信息科技有限公司的投资（估值 </w:t>
      </w:r>
      <w:r>
        <w:rPr>
          <w:rFonts w:ascii="Times New Roman" w:hAnsi="Times New Roman" w:cs="Times New Roman" w:eastAsia="Times New Roman" w:hint="default"/>
        </w:rPr>
        <w:t>31,595.74 </w:t>
      </w:r>
      <w:r>
        <w:rPr/>
        <w:t>万元），投资额</w:t>
      </w:r>
      <w:r>
        <w:rPr>
          <w:spacing w:val="-43"/>
        </w:rPr>
        <w:t> </w:t>
      </w:r>
      <w:r>
        <w:rPr>
          <w:rFonts w:ascii="Times New Roman" w:hAnsi="Times New Roman" w:cs="Times New Roman" w:eastAsia="Times New Roman" w:hint="default"/>
        </w:rPr>
        <w:t>2,106.38 </w:t>
      </w:r>
      <w:r>
        <w:rPr>
          <w:spacing w:val="-1"/>
        </w:rPr>
        <w:t>万元，占其增资后注册资本的</w:t>
      </w:r>
      <w:r>
        <w:rPr>
          <w:spacing w:val="-17"/>
        </w:rPr>
        <w:t> </w:t>
      </w:r>
      <w:r>
        <w:rPr>
          <w:rFonts w:ascii="Times New Roman" w:hAnsi="Times New Roman" w:cs="Times New Roman" w:eastAsia="Times New Roman" w:hint="default"/>
          <w:spacing w:val="-2"/>
        </w:rPr>
        <w:t>6.67%</w:t>
      </w:r>
      <w:r>
        <w:rPr>
          <w:spacing w:val="-2"/>
        </w:rPr>
        <w:t>，该公司专注于为银行、保险、基金、证券及各类互联网金融行业客户提供应用软件产</w:t>
      </w:r>
      <w:r>
        <w:rPr>
          <w:spacing w:val="-78"/>
        </w:rPr>
        <w:t> </w:t>
      </w:r>
      <w:r>
        <w:rPr>
          <w:spacing w:val="-78"/>
        </w:rPr>
      </w:r>
      <w:r>
        <w:rPr/>
        <w:t>品、软件开发及业务咨询服务，是国内领先的金融软件产品和技术服务提供商。</w:t>
      </w:r>
    </w:p>
    <w:p>
      <w:pPr>
        <w:pStyle w:val="BodyText"/>
        <w:spacing w:line="338" w:lineRule="auto" w:before="72"/>
        <w:ind w:left="513" w:right="5443"/>
        <w:jc w:val="left"/>
      </w:pPr>
      <w:r>
        <w:rPr>
          <w:rFonts w:ascii="Times New Roman" w:hAnsi="Times New Roman" w:cs="Times New Roman" w:eastAsia="Times New Roman" w:hint="default"/>
          <w:b/>
          <w:bCs/>
        </w:rPr>
        <w:t>5</w:t>
      </w:r>
      <w:r>
        <w:rPr>
          <w:rFonts w:ascii="宋体" w:hAnsi="宋体" w:cs="宋体" w:eastAsia="宋体" w:hint="default"/>
          <w:b/>
          <w:bCs/>
        </w:rPr>
        <w:t>、运通国际</w:t>
      </w:r>
      <w:r>
        <w:rPr>
          <w:rFonts w:ascii="宋体" w:hAnsi="宋体" w:cs="宋体" w:eastAsia="宋体" w:hint="default"/>
          <w:b/>
          <w:bCs/>
          <w:w w:val="99"/>
        </w:rPr>
        <w:t> </w:t>
      </w:r>
      <w:r>
        <w:rPr/>
        <w:t>报告期内，运通国际新成立了</w:t>
      </w:r>
      <w:r>
        <w:rPr>
          <w:rFonts w:ascii="Times New Roman" w:hAnsi="Times New Roman" w:cs="Times New Roman" w:eastAsia="Times New Roman" w:hint="default"/>
        </w:rPr>
        <w:t>3</w:t>
      </w:r>
      <w:r>
        <w:rPr/>
        <w:t>家全资子公司，具体情况如下：</w:t>
      </w:r>
    </w:p>
    <w:p>
      <w:pPr>
        <w:pStyle w:val="BodyText"/>
        <w:spacing w:line="230" w:lineRule="exact"/>
        <w:ind w:right="1034" w:firstLine="36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GRG</w:t>
      </w:r>
      <w:r>
        <w:rPr>
          <w:rFonts w:ascii="Times New Roman" w:hAnsi="Times New Roman" w:cs="Times New Roman" w:eastAsia="Times New Roman" w:hint="default"/>
          <w:spacing w:val="-18"/>
        </w:rPr>
        <w:t> </w:t>
      </w:r>
      <w:r>
        <w:rPr>
          <w:rFonts w:ascii="Times New Roman" w:hAnsi="Times New Roman" w:cs="Times New Roman" w:eastAsia="Times New Roman" w:hint="default"/>
        </w:rPr>
        <w:t>AMERICA</w:t>
      </w:r>
      <w:r>
        <w:rPr>
          <w:rFonts w:ascii="Times New Roman" w:hAnsi="Times New Roman" w:cs="Times New Roman" w:eastAsia="Times New Roman" w:hint="default"/>
          <w:spacing w:val="-19"/>
        </w:rPr>
        <w:t> </w:t>
      </w:r>
      <w:r>
        <w:rPr>
          <w:rFonts w:ascii="Times New Roman" w:hAnsi="Times New Roman" w:cs="Times New Roman" w:eastAsia="Times New Roman" w:hint="default"/>
        </w:rPr>
        <w:t>INC</w:t>
      </w:r>
      <w:r>
        <w:rPr/>
        <w:t>（美国）：</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月，运通国际投资成立</w:t>
      </w:r>
      <w:r>
        <w:rPr>
          <w:rFonts w:ascii="Times New Roman" w:hAnsi="Times New Roman" w:cs="Times New Roman" w:eastAsia="Times New Roman" w:hint="default"/>
        </w:rPr>
        <w:t>GRG</w:t>
      </w:r>
      <w:r>
        <w:rPr>
          <w:rFonts w:ascii="Times New Roman" w:hAnsi="Times New Roman" w:cs="Times New Roman" w:eastAsia="Times New Roman" w:hint="default"/>
          <w:spacing w:val="-18"/>
        </w:rPr>
        <w:t> </w:t>
      </w:r>
      <w:r>
        <w:rPr>
          <w:rFonts w:ascii="Times New Roman" w:hAnsi="Times New Roman" w:cs="Times New Roman" w:eastAsia="Times New Roman" w:hint="default"/>
        </w:rPr>
        <w:t>AMERICA</w:t>
      </w:r>
      <w:r>
        <w:rPr>
          <w:rFonts w:ascii="Times New Roman" w:hAnsi="Times New Roman" w:cs="Times New Roman" w:eastAsia="Times New Roman" w:hint="default"/>
          <w:spacing w:val="-19"/>
        </w:rPr>
        <w:t> </w:t>
      </w:r>
      <w:r>
        <w:rPr>
          <w:rFonts w:ascii="Times New Roman" w:hAnsi="Times New Roman" w:cs="Times New Roman" w:eastAsia="Times New Roman" w:hint="default"/>
        </w:rPr>
        <w:t>INC</w:t>
      </w:r>
      <w:r>
        <w:rPr/>
        <w:t>（美国），注册资本及投资总</w:t>
      </w:r>
    </w:p>
    <w:p>
      <w:pPr>
        <w:pStyle w:val="BodyText"/>
        <w:spacing w:line="300" w:lineRule="auto" w:before="63"/>
        <w:ind w:right="1143"/>
        <w:jc w:val="both"/>
      </w:pPr>
      <w:r>
        <w:rPr/>
        <w:t>额为</w:t>
      </w:r>
      <w:r>
        <w:rPr>
          <w:rFonts w:ascii="Times New Roman" w:hAnsi="Times New Roman" w:cs="Times New Roman" w:eastAsia="Times New Roman" w:hint="default"/>
        </w:rPr>
        <w:t>25</w:t>
      </w:r>
      <w:r>
        <w:rPr/>
        <w:t>万美元，运通国际占比</w:t>
      </w:r>
      <w:r>
        <w:rPr>
          <w:rFonts w:ascii="Times New Roman" w:hAnsi="Times New Roman" w:cs="Times New Roman" w:eastAsia="Times New Roman" w:hint="default"/>
        </w:rPr>
        <w:t>100%</w:t>
      </w:r>
      <w:r>
        <w:rPr/>
        <w:t>，注册地址为</w:t>
      </w:r>
      <w:r>
        <w:rPr>
          <w:rFonts w:ascii="Times New Roman" w:hAnsi="Times New Roman" w:cs="Times New Roman" w:eastAsia="Times New Roman" w:hint="default"/>
        </w:rPr>
        <w:t>411 Business Center Dr. Suite 112, Mt. Prospect, IL 60056,</w:t>
      </w:r>
      <w:r>
        <w:rPr>
          <w:rFonts w:ascii="Times New Roman" w:hAnsi="Times New Roman" w:cs="Times New Roman" w:eastAsia="Times New Roman" w:hint="default"/>
          <w:spacing w:val="-15"/>
        </w:rPr>
        <w:t> </w:t>
      </w:r>
      <w:r>
        <w:rPr>
          <w:rFonts w:ascii="Times New Roman" w:hAnsi="Times New Roman" w:cs="Times New Roman" w:eastAsia="Times New Roman" w:hint="default"/>
        </w:rPr>
        <w:t>USA</w:t>
      </w:r>
      <w:r>
        <w:rPr/>
        <w:t>，主要经营范 围为软件服务，培训以及项目管理。</w:t>
      </w:r>
    </w:p>
    <w:p>
      <w:pPr>
        <w:pStyle w:val="BodyText"/>
        <w:spacing w:line="240" w:lineRule="auto" w:before="31"/>
        <w:ind w:left="513" w:right="0"/>
        <w:jc w:val="left"/>
      </w:pPr>
      <w:r>
        <w:rPr/>
        <w:t>（</w:t>
      </w:r>
      <w:r>
        <w:rPr>
          <w:rFonts w:ascii="Times New Roman" w:hAnsi="Times New Roman" w:cs="Times New Roman" w:eastAsia="Times New Roman" w:hint="default"/>
        </w:rPr>
        <w:t>2</w:t>
      </w:r>
      <w:r>
        <w:rPr/>
        <w:t>）广电运通国际商贸（广州）有限公司：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月，运通国际投资成立广电运通国际商贸（广州）有限公司，注册</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0"/>
        <w:jc w:val="both"/>
      </w:pPr>
      <w:r>
        <w:rPr/>
        <w:t>资本</w:t>
      </w:r>
      <w:r>
        <w:rPr>
          <w:rFonts w:ascii="Times New Roman" w:hAnsi="Times New Roman" w:cs="Times New Roman" w:eastAsia="Times New Roman" w:hint="default"/>
        </w:rPr>
        <w:t>50</w:t>
      </w:r>
      <w:r>
        <w:rPr/>
        <w:t>万美元，运通国际占比</w:t>
      </w:r>
      <w:r>
        <w:rPr>
          <w:rFonts w:ascii="Times New Roman" w:hAnsi="Times New Roman" w:cs="Times New Roman" w:eastAsia="Times New Roman" w:hint="default"/>
        </w:rPr>
        <w:t>100%</w:t>
      </w:r>
      <w:r>
        <w:rPr/>
        <w:t>，主要经营范围为批发业。</w:t>
      </w:r>
    </w:p>
    <w:p>
      <w:pPr>
        <w:pStyle w:val="BodyText"/>
        <w:spacing w:line="300" w:lineRule="auto" w:before="63"/>
        <w:ind w:right="1131" w:firstLine="36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GRGBanking LLC.</w:t>
      </w:r>
      <w:r>
        <w:rPr/>
        <w:t>（俄罗斯）：</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月，运通国际投资成立</w:t>
      </w:r>
      <w:r>
        <w:rPr>
          <w:rFonts w:ascii="Times New Roman" w:hAnsi="Times New Roman" w:cs="Times New Roman" w:eastAsia="Times New Roman" w:hint="default"/>
        </w:rPr>
        <w:t>GRGBanking</w:t>
      </w:r>
      <w:r>
        <w:rPr>
          <w:rFonts w:ascii="Times New Roman" w:hAnsi="Times New Roman" w:cs="Times New Roman" w:eastAsia="Times New Roman" w:hint="default"/>
          <w:spacing w:val="-9"/>
        </w:rPr>
        <w:t> </w:t>
      </w:r>
      <w:r>
        <w:rPr>
          <w:rFonts w:ascii="Times New Roman" w:hAnsi="Times New Roman" w:cs="Times New Roman" w:eastAsia="Times New Roman" w:hint="default"/>
        </w:rPr>
        <w:t>LLC.</w:t>
      </w:r>
      <w:r>
        <w:rPr/>
        <w:t>（俄罗斯），注册资本</w:t>
      </w:r>
      <w:r>
        <w:rPr>
          <w:rFonts w:ascii="Times New Roman" w:hAnsi="Times New Roman" w:cs="Times New Roman" w:eastAsia="Times New Roman" w:hint="default"/>
        </w:rPr>
        <w:t>585.20</w:t>
      </w:r>
      <w:r>
        <w:rPr/>
        <w:t>万 俄罗斯卢布，运通国际占比</w:t>
      </w:r>
      <w:r>
        <w:rPr>
          <w:rFonts w:ascii="Times New Roman" w:hAnsi="Times New Roman" w:cs="Times New Roman" w:eastAsia="Times New Roman" w:hint="default"/>
        </w:rPr>
        <w:t>100%</w:t>
      </w:r>
      <w:r>
        <w:rPr/>
        <w:t>，主要经营范围为批发业。</w:t>
      </w:r>
    </w:p>
    <w:p>
      <w:pPr>
        <w:pStyle w:val="BodyText"/>
        <w:spacing w:line="300" w:lineRule="auto" w:before="13"/>
        <w:ind w:right="1034" w:firstLine="353"/>
        <w:jc w:val="left"/>
      </w:pPr>
      <w:r>
        <w:rPr/>
        <w:t>目前，运通国际有</w:t>
      </w:r>
      <w:r>
        <w:rPr>
          <w:rFonts w:ascii="Times New Roman" w:hAnsi="Times New Roman" w:cs="Times New Roman" w:eastAsia="Times New Roman" w:hint="default"/>
        </w:rPr>
        <w:t>GRG Hongkong Mexico, S.A. DE</w:t>
      </w:r>
      <w:r>
        <w:rPr/>
        <w:t>（墨西哥）、</w:t>
      </w:r>
      <w:r>
        <w:rPr>
          <w:rFonts w:ascii="Times New Roman" w:hAnsi="Times New Roman" w:cs="Times New Roman" w:eastAsia="Times New Roman" w:hint="default"/>
        </w:rPr>
        <w:t>Global ATM Parts Co.,Limited</w:t>
      </w:r>
      <w:r>
        <w:rPr/>
        <w:t>（香港）、</w:t>
      </w:r>
      <w:r>
        <w:rPr>
          <w:rFonts w:ascii="Times New Roman" w:hAnsi="Times New Roman" w:cs="Times New Roman" w:eastAsia="Times New Roman" w:hint="default"/>
        </w:rPr>
        <w:t>GRG</w:t>
      </w:r>
      <w:r>
        <w:rPr>
          <w:rFonts w:ascii="Times New Roman" w:hAnsi="Times New Roman" w:cs="Times New Roman" w:eastAsia="Times New Roman" w:hint="default"/>
          <w:spacing w:val="-15"/>
        </w:rPr>
        <w:t> </w:t>
      </w:r>
      <w:r>
        <w:rPr>
          <w:rFonts w:ascii="Times New Roman" w:hAnsi="Times New Roman" w:cs="Times New Roman" w:eastAsia="Times New Roman" w:hint="default"/>
        </w:rPr>
        <w:t>Turkiye</w:t>
      </w:r>
      <w:r>
        <w:rPr>
          <w:rFonts w:ascii="Times New Roman" w:hAnsi="Times New Roman" w:cs="Times New Roman" w:eastAsia="Times New Roman" w:hint="default"/>
        </w:rPr>
        <w:t> Bankacilik Ekipmanlari </w:t>
      </w:r>
      <w:r>
        <w:rPr>
          <w:rFonts w:ascii="Times New Roman" w:hAnsi="Times New Roman" w:cs="Times New Roman" w:eastAsia="Times New Roman" w:hint="default"/>
          <w:spacing w:val="-4"/>
        </w:rPr>
        <w:t>Ltd</w:t>
      </w:r>
      <w:r>
        <w:rPr>
          <w:spacing w:val="-4"/>
        </w:rPr>
        <w:t>（土耳其）、</w:t>
      </w:r>
      <w:r>
        <w:rPr>
          <w:rFonts w:ascii="Times New Roman" w:hAnsi="Times New Roman" w:cs="Times New Roman" w:eastAsia="Times New Roman" w:hint="default"/>
          <w:spacing w:val="-4"/>
        </w:rPr>
        <w:t>GRG </w:t>
      </w:r>
      <w:r>
        <w:rPr>
          <w:rFonts w:ascii="Times New Roman" w:hAnsi="Times New Roman" w:cs="Times New Roman" w:eastAsia="Times New Roman" w:hint="default"/>
        </w:rPr>
        <w:t>Banking Equipment(HK) </w:t>
      </w:r>
      <w:r>
        <w:rPr>
          <w:rFonts w:ascii="Times New Roman" w:hAnsi="Times New Roman" w:cs="Times New Roman" w:eastAsia="Times New Roman" w:hint="default"/>
          <w:spacing w:val="-3"/>
        </w:rPr>
        <w:t>Europe</w:t>
      </w:r>
      <w:r>
        <w:rPr>
          <w:spacing w:val="-3"/>
        </w:rPr>
        <w:t>（立陶宛）、</w:t>
      </w:r>
      <w:r>
        <w:rPr>
          <w:rFonts w:ascii="Times New Roman" w:hAnsi="Times New Roman" w:cs="Times New Roman" w:eastAsia="Times New Roman" w:hint="default"/>
          <w:spacing w:val="-3"/>
        </w:rPr>
        <w:t>GRG </w:t>
      </w:r>
      <w:r>
        <w:rPr>
          <w:rFonts w:ascii="Times New Roman" w:hAnsi="Times New Roman" w:cs="Times New Roman" w:eastAsia="Times New Roman" w:hint="default"/>
        </w:rPr>
        <w:t>Deutschland</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t>GmbH</w:t>
      </w:r>
      <w:r>
        <w:rPr>
          <w:spacing w:val="-3"/>
        </w:rPr>
        <w:t>（德国）、</w:t>
      </w:r>
      <w:r>
        <w:rPr/>
        <w:t> </w:t>
      </w:r>
      <w:r>
        <w:rPr>
          <w:rFonts w:ascii="Times New Roman" w:hAnsi="Times New Roman" w:cs="Times New Roman" w:eastAsia="Times New Roman" w:hint="default"/>
        </w:rPr>
        <w:t>GRG</w:t>
      </w:r>
      <w:r>
        <w:rPr>
          <w:rFonts w:ascii="Times New Roman" w:hAnsi="Times New Roman" w:cs="Times New Roman" w:eastAsia="Times New Roman" w:hint="default"/>
          <w:spacing w:val="-9"/>
        </w:rPr>
        <w:t> </w:t>
      </w:r>
      <w:r>
        <w:rPr>
          <w:rFonts w:ascii="Times New Roman" w:hAnsi="Times New Roman" w:cs="Times New Roman" w:eastAsia="Times New Roman" w:hint="default"/>
        </w:rPr>
        <w:t>Equipment</w:t>
      </w:r>
      <w:r>
        <w:rPr>
          <w:rFonts w:ascii="Times New Roman" w:hAnsi="Times New Roman" w:cs="Times New Roman" w:eastAsia="Times New Roman" w:hint="default"/>
          <w:spacing w:val="-7"/>
        </w:rPr>
        <w:t> </w:t>
      </w:r>
      <w:r>
        <w:rPr>
          <w:rFonts w:ascii="Times New Roman" w:hAnsi="Times New Roman" w:cs="Times New Roman" w:eastAsia="Times New Roman" w:hint="default"/>
        </w:rPr>
        <w:t>(Singapore)</w:t>
      </w:r>
      <w:r>
        <w:rPr>
          <w:rFonts w:ascii="Times New Roman" w:hAnsi="Times New Roman" w:cs="Times New Roman" w:eastAsia="Times New Roman" w:hint="default"/>
          <w:spacing w:val="-9"/>
        </w:rPr>
        <w:t> </w:t>
      </w:r>
      <w:r>
        <w:rPr>
          <w:rFonts w:ascii="Times New Roman" w:hAnsi="Times New Roman" w:cs="Times New Roman" w:eastAsia="Times New Roman" w:hint="default"/>
        </w:rPr>
        <w:t>Pte.</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3"/>
        </w:rPr>
        <w:t>Ltd</w:t>
      </w:r>
      <w:r>
        <w:rPr>
          <w:spacing w:val="-3"/>
        </w:rPr>
        <w:t>（新加坡）、</w:t>
      </w:r>
      <w:r>
        <w:rPr>
          <w:rFonts w:ascii="Times New Roman" w:hAnsi="Times New Roman" w:cs="Times New Roman" w:eastAsia="Times New Roman" w:hint="default"/>
          <w:spacing w:val="-3"/>
        </w:rPr>
        <w:t>GRG</w:t>
      </w:r>
      <w:r>
        <w:rPr>
          <w:rFonts w:ascii="Times New Roman" w:hAnsi="Times New Roman" w:cs="Times New Roman" w:eastAsia="Times New Roman" w:hint="default"/>
          <w:spacing w:val="-7"/>
        </w:rPr>
        <w:t> </w:t>
      </w:r>
      <w:r>
        <w:rPr>
          <w:rFonts w:ascii="Times New Roman" w:hAnsi="Times New Roman" w:cs="Times New Roman" w:eastAsia="Times New Roman" w:hint="default"/>
        </w:rPr>
        <w:t>AMERICA</w:t>
      </w:r>
      <w:r>
        <w:rPr>
          <w:rFonts w:ascii="Times New Roman" w:hAnsi="Times New Roman" w:cs="Times New Roman" w:eastAsia="Times New Roman" w:hint="default"/>
          <w:spacing w:val="-9"/>
        </w:rPr>
        <w:t> </w:t>
      </w:r>
      <w:r>
        <w:rPr>
          <w:rFonts w:ascii="Times New Roman" w:hAnsi="Times New Roman" w:cs="Times New Roman" w:eastAsia="Times New Roman" w:hint="default"/>
        </w:rPr>
        <w:t>INC</w:t>
      </w:r>
      <w:r>
        <w:rPr/>
        <w:t>（美国）、</w:t>
      </w:r>
      <w:r>
        <w:rPr>
          <w:rFonts w:ascii="Times New Roman" w:hAnsi="Times New Roman" w:cs="Times New Roman" w:eastAsia="Times New Roman" w:hint="default"/>
        </w:rPr>
        <w:t>GRGBanking</w:t>
      </w:r>
      <w:r>
        <w:rPr>
          <w:rFonts w:ascii="Times New Roman" w:hAnsi="Times New Roman" w:cs="Times New Roman" w:eastAsia="Times New Roman" w:hint="default"/>
          <w:spacing w:val="-8"/>
        </w:rPr>
        <w:t> </w:t>
      </w:r>
      <w:r>
        <w:rPr>
          <w:rFonts w:ascii="Times New Roman" w:hAnsi="Times New Roman" w:cs="Times New Roman" w:eastAsia="Times New Roman" w:hint="default"/>
        </w:rPr>
        <w:t>LLC.</w:t>
      </w:r>
      <w:r>
        <w:rPr/>
        <w:t>（俄罗斯）、广电运通国 际商贸（广州）有限公司九家全资子公司，国际市场拓展力度进一步加大。</w:t>
      </w:r>
    </w:p>
    <w:p>
      <w:pPr>
        <w:pStyle w:val="BodyText"/>
        <w:spacing w:line="338" w:lineRule="auto" w:before="72"/>
        <w:ind w:left="506" w:right="1034" w:firstLine="7"/>
        <w:jc w:val="left"/>
      </w:pPr>
      <w:r>
        <w:rPr>
          <w:rFonts w:ascii="Times New Roman" w:hAnsi="Times New Roman" w:cs="Times New Roman" w:eastAsia="Times New Roman" w:hint="default"/>
          <w:b/>
          <w:bCs/>
        </w:rPr>
        <w:t>6</w:t>
      </w:r>
      <w:r>
        <w:rPr>
          <w:rFonts w:ascii="宋体" w:hAnsi="宋体" w:cs="宋体" w:eastAsia="宋体" w:hint="default"/>
          <w:b/>
          <w:bCs/>
        </w:rPr>
        <w:t>、广电计量</w:t>
      </w:r>
      <w:r>
        <w:rPr>
          <w:rFonts w:ascii="宋体" w:hAnsi="宋体" w:cs="宋体" w:eastAsia="宋体" w:hint="default"/>
          <w:b/>
          <w:bCs/>
          <w:w w:val="99"/>
        </w:rPr>
        <w:t> </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spacing w:val="-2"/>
        </w:rPr>
        <w:t>日召开第五届董事会第十次（临时）会议，审议通过《关于收购广州广电计量检测股份有限公司股</w:t>
      </w:r>
    </w:p>
    <w:p>
      <w:pPr>
        <w:pStyle w:val="BodyText"/>
        <w:spacing w:line="230" w:lineRule="exact"/>
        <w:ind w:right="0"/>
        <w:jc w:val="both"/>
      </w:pPr>
      <w:r>
        <w:rPr/>
        <w:t>权及内部股权转让的议案》。同意支点投资通过收购广电计量</w:t>
      </w:r>
      <w:r>
        <w:rPr>
          <w:spacing w:val="46"/>
        </w:rPr>
        <w:t> </w:t>
      </w:r>
      <w:r>
        <w:rPr/>
        <w:t>“三类股东”所持股份的形式增持广电计量股份</w:t>
      </w:r>
      <w:r>
        <w:rPr>
          <w:rFonts w:ascii="Times New Roman" w:hAnsi="Times New Roman" w:cs="Times New Roman" w:eastAsia="Times New Roman" w:hint="default"/>
        </w:rPr>
        <w:t>59.44</w:t>
      </w:r>
      <w:r>
        <w:rPr/>
        <w:t>万股，</w:t>
      </w:r>
    </w:p>
    <w:p>
      <w:pPr>
        <w:pStyle w:val="BodyText"/>
        <w:spacing w:line="300" w:lineRule="auto" w:before="63"/>
        <w:ind w:right="1128"/>
        <w:jc w:val="both"/>
      </w:pPr>
      <w:r>
        <w:rPr>
          <w:spacing w:val="-1"/>
        </w:rPr>
        <w:t>占广电计量</w:t>
      </w:r>
      <w:r>
        <w:rPr>
          <w:rFonts w:ascii="Times New Roman" w:hAnsi="Times New Roman" w:cs="Times New Roman" w:eastAsia="Times New Roman" w:hint="default"/>
          <w:spacing w:val="-1"/>
        </w:rPr>
        <w:t>24,800</w:t>
      </w:r>
      <w:r>
        <w:rPr>
          <w:spacing w:val="-1"/>
        </w:rPr>
        <w:t>万股总股本的</w:t>
      </w:r>
      <w:r>
        <w:rPr>
          <w:rFonts w:ascii="Times New Roman" w:hAnsi="Times New Roman" w:cs="Times New Roman" w:eastAsia="Times New Roman" w:hint="default"/>
          <w:spacing w:val="-1"/>
        </w:rPr>
        <w:t>0.24%</w:t>
      </w:r>
      <w:r>
        <w:rPr>
          <w:spacing w:val="-1"/>
        </w:rPr>
        <w:t>，收购价格</w:t>
      </w:r>
      <w:r>
        <w:rPr>
          <w:rFonts w:ascii="Times New Roman" w:hAnsi="Times New Roman" w:cs="Times New Roman" w:eastAsia="Times New Roman" w:hint="default"/>
          <w:spacing w:val="-1"/>
        </w:rPr>
        <w:t>16</w:t>
      </w:r>
      <w:r>
        <w:rPr>
          <w:spacing w:val="-1"/>
        </w:rPr>
        <w:t>元</w:t>
      </w:r>
      <w:r>
        <w:rPr>
          <w:rFonts w:ascii="Times New Roman" w:hAnsi="Times New Roman" w:cs="Times New Roman" w:eastAsia="Times New Roman" w:hint="default"/>
          <w:spacing w:val="-1"/>
        </w:rPr>
        <w:t>/</w:t>
      </w:r>
      <w:r>
        <w:rPr>
          <w:spacing w:val="-1"/>
        </w:rPr>
        <w:t>股，收购金额</w:t>
      </w:r>
      <w:r>
        <w:rPr>
          <w:rFonts w:ascii="Times New Roman" w:hAnsi="Times New Roman" w:cs="Times New Roman" w:eastAsia="Times New Roman" w:hint="default"/>
          <w:spacing w:val="-1"/>
        </w:rPr>
        <w:t>951.04</w:t>
      </w:r>
      <w:r>
        <w:rPr>
          <w:spacing w:val="-1"/>
        </w:rPr>
        <w:t>万元。同时，公司向支点投资转让</w:t>
      </w:r>
      <w:r>
        <w:rPr>
          <w:rFonts w:ascii="Times New Roman" w:hAnsi="Times New Roman" w:cs="Times New Roman" w:eastAsia="Times New Roman" w:hint="default"/>
          <w:spacing w:val="-1"/>
        </w:rPr>
        <w:t>1,180.56</w:t>
      </w:r>
      <w:r>
        <w:rPr>
          <w:spacing w:val="-1"/>
        </w:rPr>
        <w:t>万股广</w:t>
      </w:r>
      <w:r>
        <w:rPr/>
        <w:t> </w:t>
      </w:r>
      <w:r>
        <w:rPr>
          <w:spacing w:val="-1"/>
        </w:rPr>
        <w:t>电计量股份，转让股份数量占广电计量</w:t>
      </w:r>
      <w:r>
        <w:rPr>
          <w:rFonts w:ascii="Times New Roman" w:hAnsi="Times New Roman" w:cs="Times New Roman" w:eastAsia="Times New Roman" w:hint="default"/>
          <w:spacing w:val="-1"/>
        </w:rPr>
        <w:t>24,800</w:t>
      </w:r>
      <w:r>
        <w:rPr>
          <w:spacing w:val="-1"/>
        </w:rPr>
        <w:t>万股总股本的</w:t>
      </w:r>
      <w:r>
        <w:rPr>
          <w:rFonts w:ascii="Times New Roman" w:hAnsi="Times New Roman" w:cs="Times New Roman" w:eastAsia="Times New Roman" w:hint="default"/>
          <w:spacing w:val="-1"/>
        </w:rPr>
        <w:t>4.76%</w:t>
      </w:r>
      <w:r>
        <w:rPr>
          <w:spacing w:val="-1"/>
        </w:rPr>
        <w:t>，转让价格</w:t>
      </w:r>
      <w:r>
        <w:rPr>
          <w:rFonts w:ascii="Times New Roman" w:hAnsi="Times New Roman" w:cs="Times New Roman" w:eastAsia="Times New Roman" w:hint="default"/>
          <w:spacing w:val="-1"/>
        </w:rPr>
        <w:t>15.75</w:t>
      </w:r>
      <w:r>
        <w:rPr>
          <w:spacing w:val="-1"/>
        </w:rPr>
        <w:t>元</w:t>
      </w:r>
      <w:r>
        <w:rPr>
          <w:rFonts w:ascii="Times New Roman" w:hAnsi="Times New Roman" w:cs="Times New Roman" w:eastAsia="Times New Roman" w:hint="default"/>
          <w:spacing w:val="-1"/>
        </w:rPr>
        <w:t>/</w:t>
      </w:r>
      <w:r>
        <w:rPr>
          <w:spacing w:val="-1"/>
        </w:rPr>
        <w:t>股，转让金额</w:t>
      </w:r>
      <w:r>
        <w:rPr>
          <w:rFonts w:ascii="Times New Roman" w:hAnsi="Times New Roman" w:cs="Times New Roman" w:eastAsia="Times New Roman" w:hint="default"/>
          <w:spacing w:val="-1"/>
        </w:rPr>
        <w:t>18,593.82</w:t>
      </w:r>
      <w:r>
        <w:rPr>
          <w:spacing w:val="-1"/>
        </w:rPr>
        <w:t>万元。上述交易</w:t>
      </w:r>
      <w:r>
        <w:rPr/>
        <w:t> 完成后，广电运通直接持有广电计量</w:t>
      </w:r>
      <w:r>
        <w:rPr>
          <w:rFonts w:ascii="Times New Roman" w:hAnsi="Times New Roman" w:cs="Times New Roman" w:eastAsia="Times New Roman" w:hint="default"/>
        </w:rPr>
        <w:t>1,819.44</w:t>
      </w:r>
      <w:r>
        <w:rPr/>
        <w:t>万股股份，持股比例为</w:t>
      </w:r>
      <w:r>
        <w:rPr>
          <w:rFonts w:ascii="Times New Roman" w:hAnsi="Times New Roman" w:cs="Times New Roman" w:eastAsia="Times New Roman" w:hint="default"/>
        </w:rPr>
        <w:t>7.34%</w:t>
      </w:r>
      <w:r>
        <w:rPr/>
        <w:t>；支点投资持有广电计量</w:t>
      </w:r>
      <w:r>
        <w:rPr>
          <w:rFonts w:ascii="Times New Roman" w:hAnsi="Times New Roman" w:cs="Times New Roman" w:eastAsia="Times New Roman" w:hint="default"/>
        </w:rPr>
        <w:t>1,240</w:t>
      </w:r>
      <w:r>
        <w:rPr/>
        <w:t>万股股份，持股比 </w:t>
      </w:r>
      <w:r>
        <w:rPr>
          <w:spacing w:val="-2"/>
        </w:rPr>
        <w:t>例为</w:t>
      </w:r>
      <w:r>
        <w:rPr>
          <w:rFonts w:ascii="Times New Roman" w:hAnsi="Times New Roman" w:cs="Times New Roman" w:eastAsia="Times New Roman" w:hint="default"/>
          <w:spacing w:val="-2"/>
        </w:rPr>
        <w:t>5%</w:t>
      </w:r>
      <w:r>
        <w:rPr>
          <w:spacing w:val="-2"/>
        </w:rPr>
        <w:t>，广电运通合计持有广电计量</w:t>
      </w:r>
      <w:r>
        <w:rPr>
          <w:rFonts w:ascii="Times New Roman" w:hAnsi="Times New Roman" w:cs="Times New Roman" w:eastAsia="Times New Roman" w:hint="default"/>
          <w:spacing w:val="-2"/>
        </w:rPr>
        <w:t>3,059.44</w:t>
      </w:r>
      <w:r>
        <w:rPr>
          <w:spacing w:val="-2"/>
        </w:rPr>
        <w:t>万股股份，持股比例为</w:t>
      </w:r>
      <w:r>
        <w:rPr>
          <w:rFonts w:ascii="Times New Roman" w:hAnsi="Times New Roman" w:cs="Times New Roman" w:eastAsia="Times New Roman" w:hint="default"/>
          <w:spacing w:val="-2"/>
        </w:rPr>
        <w:t>12.34%</w:t>
      </w:r>
      <w:r>
        <w:rPr>
          <w:spacing w:val="-2"/>
        </w:rPr>
        <w:t>。（详见刊登在</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29</w:t>
      </w:r>
      <w:r>
        <w:rPr>
          <w:spacing w:val="-2"/>
        </w:rPr>
        <w:t>日《证券时报》及</w:t>
      </w:r>
      <w:r>
        <w:rPr>
          <w:spacing w:val="-34"/>
        </w:rPr>
        <w:t> </w:t>
      </w:r>
      <w:r>
        <w:rPr>
          <w:spacing w:val="-34"/>
        </w:rPr>
      </w:r>
      <w:r>
        <w:rPr/>
        <w:t>巨潮资讯网</w:t>
      </w:r>
      <w:hyperlink r:id="rId12">
        <w:r>
          <w:rPr>
            <w:rFonts w:ascii="Times New Roman" w:hAnsi="Times New Roman" w:cs="Times New Roman" w:eastAsia="Times New Roman" w:hint="default"/>
          </w:rPr>
          <w:t>www.cninfo.com.cn</w:t>
        </w:r>
        <w:r>
          <w:rPr/>
          <w:t>上的相关公告）</w:t>
        </w:r>
      </w:hyperlink>
    </w:p>
    <w:p>
      <w:pPr>
        <w:pStyle w:val="BodyText"/>
        <w:spacing w:line="304" w:lineRule="auto" w:before="13"/>
        <w:ind w:right="1131" w:firstLine="353"/>
        <w:jc w:val="both"/>
      </w:pPr>
      <w:r>
        <w:rPr/>
        <w:t>为理顺公司对广电计量的持股情况，统一股权管理，公司于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日召开第五届董事会第十三次（临时）会议， </w:t>
      </w:r>
      <w:r>
        <w:rPr>
          <w:spacing w:val="-2"/>
        </w:rPr>
        <w:t>审议通过了《关于内部转让广州广电计量检测股份有限公司股权的议案》。同意公司全资子公司支点创投按照其持有的广电</w:t>
      </w:r>
      <w:r>
        <w:rPr>
          <w:spacing w:val="-66"/>
        </w:rPr>
        <w:t> </w:t>
      </w:r>
      <w:r>
        <w:rPr>
          <w:spacing w:val="-66"/>
        </w:rPr>
      </w:r>
      <w:r>
        <w:rPr>
          <w:spacing w:val="-2"/>
        </w:rPr>
        <w:t>计量股权收购总成本将广电计量股份</w:t>
      </w:r>
      <w:r>
        <w:rPr>
          <w:rFonts w:ascii="Times New Roman" w:hAnsi="Times New Roman" w:cs="Times New Roman" w:eastAsia="Times New Roman" w:hint="default"/>
          <w:spacing w:val="-2"/>
        </w:rPr>
        <w:t>1,240</w:t>
      </w:r>
      <w:r>
        <w:rPr>
          <w:spacing w:val="-2"/>
        </w:rPr>
        <w:t>万股转让给广电运通，转让金额</w:t>
      </w:r>
      <w:r>
        <w:rPr>
          <w:rFonts w:ascii="Times New Roman" w:hAnsi="Times New Roman" w:cs="Times New Roman" w:eastAsia="Times New Roman" w:hint="default"/>
          <w:spacing w:val="-2"/>
        </w:rPr>
        <w:t>195,558,129.90</w:t>
      </w:r>
      <w:r>
        <w:rPr>
          <w:spacing w:val="-2"/>
        </w:rPr>
        <w:t>元（约</w:t>
      </w:r>
      <w:r>
        <w:rPr>
          <w:rFonts w:ascii="Times New Roman" w:hAnsi="Times New Roman" w:cs="Times New Roman" w:eastAsia="Times New Roman" w:hint="default"/>
          <w:spacing w:val="-2"/>
        </w:rPr>
        <w:t>15.77</w:t>
      </w:r>
      <w:r>
        <w:rPr>
          <w:spacing w:val="-2"/>
        </w:rPr>
        <w:t>元</w:t>
      </w:r>
      <w:r>
        <w:rPr>
          <w:rFonts w:ascii="Times New Roman" w:hAnsi="Times New Roman" w:cs="Times New Roman" w:eastAsia="Times New Roman" w:hint="default"/>
          <w:spacing w:val="-2"/>
        </w:rPr>
        <w:t>/</w:t>
      </w:r>
      <w:r>
        <w:rPr>
          <w:spacing w:val="-2"/>
        </w:rPr>
        <w:t>股）。转让交易完成</w:t>
      </w:r>
      <w:r>
        <w:rPr>
          <w:spacing w:val="-51"/>
        </w:rPr>
        <w:t> </w:t>
      </w:r>
      <w:r>
        <w:rPr>
          <w:spacing w:val="-51"/>
        </w:rPr>
      </w:r>
      <w:r>
        <w:rPr>
          <w:spacing w:val="-1"/>
        </w:rPr>
        <w:t>后，广电运通直接持有广电计量股份</w:t>
      </w:r>
      <w:r>
        <w:rPr>
          <w:rFonts w:ascii="Times New Roman" w:hAnsi="Times New Roman" w:cs="Times New Roman" w:eastAsia="Times New Roman" w:hint="default"/>
          <w:spacing w:val="-1"/>
        </w:rPr>
        <w:t>3,059.44</w:t>
      </w:r>
      <w:r>
        <w:rPr>
          <w:spacing w:val="-1"/>
        </w:rPr>
        <w:t>万股，持股比例为</w:t>
      </w:r>
      <w:r>
        <w:rPr>
          <w:rFonts w:ascii="Times New Roman" w:hAnsi="Times New Roman" w:cs="Times New Roman" w:eastAsia="Times New Roman" w:hint="default"/>
          <w:spacing w:val="-1"/>
        </w:rPr>
        <w:t>12.34%</w:t>
      </w:r>
      <w:r>
        <w:rPr>
          <w:spacing w:val="-1"/>
        </w:rPr>
        <w:t>，支点创投将不再持有广电计量股权。（详见刊登在</w:t>
      </w:r>
      <w:r>
        <w:rPr>
          <w:spacing w:val="-43"/>
        </w:rPr>
        <w:t> </w:t>
      </w:r>
      <w:r>
        <w:rPr>
          <w:spacing w:val="-43"/>
        </w:rPr>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日《证券时报》《中国证券部》及巨潮资讯网</w:t>
      </w:r>
      <w:hyperlink r:id="rId12">
        <w:r>
          <w:rPr>
            <w:rFonts w:ascii="Times New Roman" w:hAnsi="Times New Roman" w:cs="Times New Roman" w:eastAsia="Times New Roman" w:hint="default"/>
          </w:rPr>
          <w:t>www.cninfo.com.cn</w:t>
        </w:r>
        <w:r>
          <w:rPr/>
          <w:t>上的相关公告</w:t>
        </w:r>
      </w:hyperlink>
      <w:r>
        <w:rPr/>
        <w:t>）</w:t>
      </w:r>
    </w:p>
    <w:p>
      <w:pPr>
        <w:spacing w:line="300" w:lineRule="auto" w:before="9"/>
        <w:ind w:left="506" w:right="5450" w:firstLine="7"/>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、北京广电科技</w:t>
      </w:r>
      <w:r>
        <w:rPr>
          <w:rFonts w:ascii="宋体" w:hAnsi="宋体" w:cs="宋体" w:eastAsia="宋体" w:hint="default"/>
          <w:b/>
          <w:bCs/>
          <w:w w:val="99"/>
          <w:sz w:val="18"/>
          <w:szCs w:val="18"/>
        </w:rPr>
        <w:t> </w:t>
      </w:r>
      <w:r>
        <w:rPr>
          <w:rFonts w:ascii="宋体" w:hAnsi="宋体" w:cs="宋体" w:eastAsia="宋体" w:hint="default"/>
          <w:sz w:val="18"/>
          <w:szCs w:val="18"/>
        </w:rPr>
        <w:t>因经营管理需要，北京广电科技已于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日完成注销。</w:t>
      </w:r>
    </w:p>
    <w:p>
      <w:pPr>
        <w:spacing w:line="240" w:lineRule="auto" w:before="5"/>
        <w:rPr>
          <w:rFonts w:ascii="宋体" w:hAnsi="宋体" w:cs="宋体" w:eastAsia="宋体" w:hint="default"/>
          <w:sz w:val="20"/>
          <w:szCs w:val="20"/>
        </w:rPr>
      </w:pPr>
    </w:p>
    <w:p>
      <w:pPr>
        <w:pStyle w:val="Heading2"/>
        <w:spacing w:line="240" w:lineRule="auto"/>
        <w:ind w:right="0"/>
        <w:jc w:val="both"/>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九、公司未来发展的展望</w:t>
      </w:r>
      <w:r>
        <w:rPr>
          <w:b w:val="0"/>
          <w:bCs w:val="0"/>
        </w:rPr>
      </w:r>
    </w:p>
    <w:p>
      <w:pPr>
        <w:spacing w:line="240" w:lineRule="auto" w:before="4"/>
        <w:rPr>
          <w:rFonts w:ascii="宋体" w:hAnsi="宋体" w:cs="宋体" w:eastAsia="宋体" w:hint="default"/>
          <w:b/>
          <w:bCs/>
          <w:sz w:val="26"/>
          <w:szCs w:val="26"/>
        </w:rPr>
      </w:pPr>
    </w:p>
    <w:p>
      <w:pPr>
        <w:spacing w:line="360" w:lineRule="auto" w:before="0"/>
        <w:ind w:left="513" w:right="1034" w:firstLine="0"/>
        <w:jc w:val="left"/>
        <w:rPr>
          <w:rFonts w:ascii="宋体" w:hAnsi="宋体" w:cs="宋体" w:eastAsia="宋体" w:hint="default"/>
          <w:sz w:val="18"/>
          <w:szCs w:val="18"/>
        </w:rPr>
      </w:pPr>
      <w:r>
        <w:rPr>
          <w:rFonts w:ascii="宋体" w:hAnsi="宋体" w:cs="宋体" w:eastAsia="宋体" w:hint="default"/>
          <w:b/>
          <w:bCs/>
          <w:sz w:val="18"/>
          <w:szCs w:val="18"/>
        </w:rPr>
        <w:t>（一）行业发展趋势及市场竞争格局</w:t>
      </w:r>
      <w:r>
        <w:rPr>
          <w:rFonts w:ascii="宋体" w:hAnsi="宋体" w:cs="宋体" w:eastAsia="宋体" w:hint="default"/>
          <w:b/>
          <w:bCs/>
          <w:w w:val="99"/>
          <w:sz w:val="18"/>
          <w:szCs w:val="18"/>
        </w:rPr>
        <w:t> </w:t>
      </w:r>
      <w:r>
        <w:rPr>
          <w:rFonts w:ascii="宋体" w:hAnsi="宋体" w:cs="宋体" w:eastAsia="宋体" w:hint="default"/>
          <w:spacing w:val="-2"/>
          <w:sz w:val="18"/>
          <w:szCs w:val="18"/>
        </w:rPr>
        <w:t>根据国务院印发的《新一代人工智能发展规划》，我国新一代人工智能发展的战略目标为：到</w:t>
      </w:r>
      <w:r>
        <w:rPr>
          <w:rFonts w:ascii="Times New Roman" w:hAnsi="Times New Roman" w:cs="Times New Roman" w:eastAsia="Times New Roman" w:hint="default"/>
          <w:spacing w:val="-2"/>
          <w:sz w:val="18"/>
          <w:szCs w:val="18"/>
        </w:rPr>
        <w:t>2020</w:t>
      </w:r>
      <w:r>
        <w:rPr>
          <w:rFonts w:ascii="宋体" w:hAnsi="宋体" w:cs="宋体" w:eastAsia="宋体" w:hint="default"/>
          <w:spacing w:val="-2"/>
          <w:sz w:val="18"/>
          <w:szCs w:val="18"/>
        </w:rPr>
        <w:t>年，人工智能总体技</w:t>
      </w:r>
    </w:p>
    <w:p>
      <w:pPr>
        <w:pStyle w:val="BodyText"/>
        <w:spacing w:line="213" w:lineRule="exact"/>
        <w:ind w:right="0"/>
        <w:jc w:val="both"/>
        <w:rPr>
          <w:rFonts w:ascii="Times New Roman" w:hAnsi="Times New Roman" w:cs="Times New Roman" w:eastAsia="Times New Roman" w:hint="default"/>
        </w:rPr>
      </w:pPr>
      <w:r>
        <w:rPr/>
        <w:t>术和应用与世界先进水平同步，人工智能产业成为新的重要经济增长点，人工智能技术应用成为改善民生的新途径；到</w:t>
      </w:r>
      <w:r>
        <w:rPr>
          <w:rFonts w:ascii="Times New Roman" w:hAnsi="Times New Roman" w:cs="Times New Roman" w:eastAsia="Times New Roman" w:hint="default"/>
        </w:rPr>
        <w:t>2025</w:t>
      </w:r>
    </w:p>
    <w:p>
      <w:pPr>
        <w:pStyle w:val="BodyText"/>
        <w:spacing w:line="309" w:lineRule="auto" w:before="63"/>
        <w:ind w:right="1130"/>
        <w:jc w:val="both"/>
      </w:pPr>
      <w:r>
        <w:rPr>
          <w:spacing w:val="-2"/>
        </w:rPr>
        <w:t>年，人工智能基础理论实现重大突破，部分技术与应用达到世界领先水平，人工智能成为我国产业升级和经济转型的主要动</w:t>
      </w:r>
      <w:r>
        <w:rPr>
          <w:spacing w:val="-63"/>
        </w:rPr>
        <w:t> </w:t>
      </w:r>
      <w:r>
        <w:rPr>
          <w:spacing w:val="-63"/>
        </w:rPr>
      </w:r>
      <w:r>
        <w:rPr>
          <w:spacing w:val="-2"/>
        </w:rPr>
        <w:t>力，智能社会建设取得积极进展；到</w:t>
      </w:r>
      <w:r>
        <w:rPr>
          <w:rFonts w:ascii="Times New Roman" w:hAnsi="Times New Roman" w:cs="Times New Roman" w:eastAsia="Times New Roman" w:hint="default"/>
          <w:spacing w:val="-2"/>
        </w:rPr>
        <w:t>2030</w:t>
      </w:r>
      <w:r>
        <w:rPr>
          <w:spacing w:val="-2"/>
        </w:rPr>
        <w:t>年，人工智能理论、技术与应用总体达到世界领先水平，成为世界主要人工智能创</w:t>
      </w:r>
      <w:r>
        <w:rPr>
          <w:spacing w:val="-65"/>
        </w:rPr>
        <w:t> </w:t>
      </w:r>
      <w:r>
        <w:rPr>
          <w:spacing w:val="-65"/>
        </w:rPr>
      </w:r>
      <w:r>
        <w:rPr/>
        <w:t>新中心。</w:t>
      </w:r>
    </w:p>
    <w:p>
      <w:pPr>
        <w:pStyle w:val="BodyText"/>
        <w:spacing w:line="300" w:lineRule="auto" w:before="65"/>
        <w:ind w:right="1132" w:firstLine="360"/>
        <w:jc w:val="both"/>
      </w:pPr>
      <w:r>
        <w:rPr>
          <w:spacing w:val="-2"/>
        </w:rPr>
        <w:t>根据</w:t>
      </w:r>
      <w:r>
        <w:rPr>
          <w:rFonts w:ascii="Times New Roman" w:hAnsi="Times New Roman" w:cs="Times New Roman" w:eastAsia="Times New Roman" w:hint="default"/>
          <w:spacing w:val="-2"/>
        </w:rPr>
        <w:t>2018</w:t>
      </w:r>
      <w:r>
        <w:rPr>
          <w:spacing w:val="-2"/>
        </w:rPr>
        <w:t>年世界人工智能大会发布的《</w:t>
      </w:r>
      <w:r>
        <w:rPr>
          <w:rFonts w:ascii="Times New Roman" w:hAnsi="Times New Roman" w:cs="Times New Roman" w:eastAsia="Times New Roman" w:hint="default"/>
          <w:spacing w:val="-2"/>
        </w:rPr>
        <w:t>2018</w:t>
      </w:r>
      <w:r>
        <w:rPr>
          <w:spacing w:val="-2"/>
        </w:rPr>
        <w:t>世界人工智能发展蓝皮书》显示，在中国范围内，人工智能企业主要集中在</w:t>
      </w:r>
      <w:r>
        <w:rPr/>
        <w:t> </w:t>
      </w:r>
      <w:r>
        <w:rPr>
          <w:rFonts w:ascii="Times New Roman" w:hAnsi="Times New Roman" w:cs="Times New Roman" w:eastAsia="Times New Roman" w:hint="default"/>
        </w:rPr>
        <w:t>AI+</w:t>
      </w:r>
      <w:r>
        <w:rPr/>
        <w:t>医疗健康、金融、商业、教育和安防等领域，其中智能金融和智能商业领域占比分别达到</w:t>
      </w:r>
      <w:r>
        <w:rPr>
          <w:rFonts w:ascii="Times New Roman" w:hAnsi="Times New Roman" w:cs="Times New Roman" w:eastAsia="Times New Roman" w:hint="default"/>
        </w:rPr>
        <w:t>14%</w:t>
      </w:r>
      <w:r>
        <w:rPr/>
        <w:t>和</w:t>
      </w:r>
      <w:r>
        <w:rPr>
          <w:rFonts w:ascii="Times New Roman" w:hAnsi="Times New Roman" w:cs="Times New Roman" w:eastAsia="Times New Roman" w:hint="default"/>
        </w:rPr>
        <w:t>11%</w:t>
      </w:r>
      <w:r>
        <w:rPr/>
        <w:t>，预计我国人工智</w:t>
      </w:r>
      <w:r>
        <w:rPr>
          <w:spacing w:val="-53"/>
        </w:rPr>
        <w:t> </w:t>
      </w:r>
      <w:r>
        <w:rPr>
          <w:spacing w:val="-53"/>
        </w:rPr>
      </w:r>
      <w:r>
        <w:rPr/>
        <w:t>能核心产业规模将超过</w:t>
      </w:r>
      <w:r>
        <w:rPr>
          <w:rFonts w:ascii="Times New Roman" w:hAnsi="Times New Roman" w:cs="Times New Roman" w:eastAsia="Times New Roman" w:hint="default"/>
        </w:rPr>
        <w:t>220</w:t>
      </w:r>
      <w:r>
        <w:rPr/>
        <w:t>亿美元，年均增速接近</w:t>
      </w:r>
      <w:r>
        <w:rPr>
          <w:rFonts w:ascii="Times New Roman" w:hAnsi="Times New Roman" w:cs="Times New Roman" w:eastAsia="Times New Roman" w:hint="default"/>
        </w:rPr>
        <w:t>65%</w:t>
      </w:r>
      <w:r>
        <w:rPr/>
        <w:t>。</w:t>
      </w:r>
    </w:p>
    <w:p>
      <w:pPr>
        <w:pStyle w:val="BodyText"/>
        <w:spacing w:line="300" w:lineRule="auto" w:before="51"/>
        <w:ind w:right="1130" w:firstLine="360"/>
        <w:jc w:val="both"/>
      </w:pPr>
      <w:r>
        <w:rPr>
          <w:spacing w:val="-2"/>
        </w:rPr>
        <w:t>广电运通是国内领先的行业人工智能解决方案提供商，也是人工智能行业中为数不多的国有控股上市公司之一，自</w:t>
      </w:r>
      <w:r>
        <w:rPr>
          <w:rFonts w:ascii="Times New Roman" w:hAnsi="Times New Roman" w:cs="Times New Roman" w:eastAsia="Times New Roman" w:hint="default"/>
          <w:spacing w:val="-2"/>
        </w:rPr>
        <w:t>2017</w:t>
      </w:r>
      <w:r>
        <w:rPr>
          <w:rFonts w:ascii="Times New Roman" w:hAnsi="Times New Roman" w:cs="Times New Roman" w:eastAsia="Times New Roman" w:hint="default"/>
        </w:rPr>
        <w:t> </w:t>
      </w:r>
      <w:r>
        <w:rPr>
          <w:spacing w:val="-1"/>
        </w:rPr>
        <w:t>年底确立向人工智能行业转型升级以来，公司围绕应用场景、算法、算力、数据等核心要素构建核心竞争力，战略聚焦</w:t>
      </w:r>
      <w:r>
        <w:rPr>
          <w:rFonts w:ascii="Times New Roman" w:hAnsi="Times New Roman" w:cs="Times New Roman" w:eastAsia="Times New Roman" w:hint="default"/>
          <w:spacing w:val="-1"/>
        </w:rPr>
        <w:t>AI+</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spacing w:val="-2"/>
        </w:rPr>
        <w:t>金融、</w:t>
      </w:r>
      <w:r>
        <w:rPr>
          <w:rFonts w:ascii="Times New Roman" w:hAnsi="Times New Roman" w:cs="Times New Roman" w:eastAsia="Times New Roman" w:hint="default"/>
          <w:spacing w:val="-2"/>
        </w:rPr>
        <w:t>AI+</w:t>
      </w:r>
      <w:r>
        <w:rPr>
          <w:spacing w:val="-2"/>
        </w:rPr>
        <w:t>交通、</w:t>
      </w:r>
      <w:r>
        <w:rPr>
          <w:rFonts w:ascii="Times New Roman" w:hAnsi="Times New Roman" w:cs="Times New Roman" w:eastAsia="Times New Roman" w:hint="default"/>
          <w:spacing w:val="-2"/>
        </w:rPr>
        <w:t>AI+</w:t>
      </w:r>
      <w:r>
        <w:rPr>
          <w:spacing w:val="-2"/>
        </w:rPr>
        <w:t>安全、</w:t>
      </w:r>
      <w:r>
        <w:rPr>
          <w:rFonts w:ascii="Times New Roman" w:hAnsi="Times New Roman" w:cs="Times New Roman" w:eastAsia="Times New Roman" w:hint="default"/>
          <w:spacing w:val="-2"/>
        </w:rPr>
        <w:t>AI+</w:t>
      </w:r>
      <w:r>
        <w:rPr>
          <w:spacing w:val="-2"/>
        </w:rPr>
        <w:t>便民四大领域，科技赋能并推动传统产业升级，经过一系列战略布局，公司已经开启了业务</w:t>
      </w:r>
      <w:r>
        <w:rPr>
          <w:spacing w:val="-40"/>
        </w:rPr>
        <w:t> </w:t>
      </w:r>
      <w:r>
        <w:rPr>
          <w:spacing w:val="-40"/>
        </w:rPr>
      </w:r>
      <w:r>
        <w:rPr/>
        <w:t>增长的新时代。</w:t>
      </w:r>
    </w:p>
    <w:p>
      <w:pPr>
        <w:spacing w:line="340" w:lineRule="auto" w:before="72"/>
        <w:ind w:left="513" w:right="103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AI+</w:t>
      </w:r>
      <w:r>
        <w:rPr>
          <w:rFonts w:ascii="宋体" w:hAnsi="宋体" w:cs="宋体" w:eastAsia="宋体" w:hint="default"/>
          <w:b/>
          <w:bCs/>
          <w:sz w:val="18"/>
          <w:szCs w:val="18"/>
        </w:rPr>
        <w:t>金融领域发展趋势</w:t>
      </w:r>
      <w:r>
        <w:rPr>
          <w:rFonts w:ascii="宋体" w:hAnsi="宋体" w:cs="宋体" w:eastAsia="宋体" w:hint="default"/>
          <w:b/>
          <w:bCs/>
          <w:w w:val="99"/>
          <w:sz w:val="18"/>
          <w:szCs w:val="18"/>
        </w:rPr>
        <w:t> </w:t>
      </w:r>
      <w:r>
        <w:rPr>
          <w:rFonts w:ascii="宋体" w:hAnsi="宋体" w:cs="宋体" w:eastAsia="宋体" w:hint="default"/>
          <w:spacing w:val="-2"/>
          <w:sz w:val="18"/>
          <w:szCs w:val="18"/>
        </w:rPr>
        <w:t>作为人工智能最佳落地场景之一，金融行业（尤其是银行业）正加速向智能化转型，线下网点作为银行业务主战场，为</w:t>
      </w:r>
    </w:p>
    <w:p>
      <w:pPr>
        <w:spacing w:after="0" w:line="3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right="1135"/>
        <w:jc w:val="both"/>
      </w:pPr>
      <w:r>
        <w:rPr>
          <w:spacing w:val="-2"/>
        </w:rPr>
        <w:t>提升用户体验、提供有温度的服务，实现降本增效、精准营销等目标，纷纷探索实施网点转型，网点形态及业务流程不断优</w:t>
      </w:r>
      <w:r>
        <w:rPr>
          <w:spacing w:val="-67"/>
        </w:rPr>
        <w:t> </w:t>
      </w:r>
      <w:r>
        <w:rPr>
          <w:spacing w:val="-67"/>
        </w:rPr>
      </w:r>
      <w:r>
        <w:rPr/>
        <w:t>化，自助设备形态不断推陈出新。</w:t>
      </w:r>
    </w:p>
    <w:p>
      <w:pPr>
        <w:pStyle w:val="BodyText"/>
        <w:spacing w:line="312" w:lineRule="auto" w:before="59"/>
        <w:ind w:right="1128" w:firstLine="360"/>
        <w:jc w:val="both"/>
      </w:pPr>
      <w:r>
        <w:rPr/>
        <w:t>根据《</w:t>
      </w:r>
      <w:r>
        <w:rPr>
          <w:rFonts w:ascii="Times New Roman" w:hAnsi="Times New Roman" w:cs="Times New Roman" w:eastAsia="Times New Roman" w:hint="default"/>
        </w:rPr>
        <w:t>2018</w:t>
      </w:r>
      <w:r>
        <w:rPr/>
        <w:t>年中国银行业服务报告》显示，截止</w:t>
      </w:r>
      <w:r>
        <w:rPr>
          <w:rFonts w:ascii="Times New Roman" w:hAnsi="Times New Roman" w:cs="Times New Roman" w:eastAsia="Times New Roman" w:hint="default"/>
        </w:rPr>
        <w:t>2018</w:t>
      </w:r>
      <w:r>
        <w:rPr/>
        <w:t>年末，我国共有银行金融机构</w:t>
      </w:r>
      <w:r>
        <w:rPr>
          <w:rFonts w:ascii="Times New Roman" w:hAnsi="Times New Roman" w:cs="Times New Roman" w:eastAsia="Times New Roman" w:hint="default"/>
        </w:rPr>
        <w:t>4,093</w:t>
      </w:r>
      <w:r>
        <w:rPr/>
        <w:t>家，网点总数</w:t>
      </w:r>
      <w:r>
        <w:rPr>
          <w:rFonts w:ascii="Times New Roman" w:hAnsi="Times New Roman" w:cs="Times New Roman" w:eastAsia="Times New Roman" w:hint="default"/>
        </w:rPr>
        <w:t>22.86</w:t>
      </w:r>
      <w:r>
        <w:rPr/>
        <w:t>万个，银行 </w:t>
      </w:r>
      <w:r>
        <w:rPr>
          <w:spacing w:val="-2"/>
        </w:rPr>
        <w:t>网点转型市场巨大。随着近年来金融科技的高速发展，各银行在优化网点布局和轻型化建设的同时，持续优化业务流程，大</w:t>
      </w:r>
      <w:r>
        <w:rPr>
          <w:spacing w:val="-64"/>
        </w:rPr>
        <w:t> </w:t>
      </w:r>
      <w:r>
        <w:rPr>
          <w:spacing w:val="-64"/>
        </w:rPr>
      </w:r>
      <w:r>
        <w:rPr>
          <w:spacing w:val="-2"/>
        </w:rPr>
        <w:t>力布设自助终端、智慧柜台，运用智能机具进一步对柜面个人业务及对公业务进行自助化迁移，并引入生物识别、大数据等</w:t>
      </w:r>
      <w:r>
        <w:rPr>
          <w:spacing w:val="-66"/>
        </w:rPr>
        <w:t> </w:t>
      </w:r>
      <w:r>
        <w:rPr>
          <w:spacing w:val="-66"/>
        </w:rPr>
      </w:r>
      <w:r>
        <w:rPr>
          <w:spacing w:val="-2"/>
        </w:rPr>
        <w:t>技术，提升网点经营效率，智能化服务格局日渐成型，网点智能化建设从前期探索试点正式走向全面推广。在网点智能化建</w:t>
      </w:r>
      <w:r>
        <w:rPr>
          <w:spacing w:val="-64"/>
        </w:rPr>
        <w:t> </w:t>
      </w:r>
      <w:r>
        <w:rPr>
          <w:spacing w:val="-64"/>
        </w:rPr>
      </w:r>
      <w:r>
        <w:rPr>
          <w:spacing w:val="-4"/>
        </w:rPr>
        <w:t>设中，银行还积极尝试融入自身经营特色，努力打造“差异化</w:t>
      </w:r>
      <w:r>
        <w:rPr>
          <w:rFonts w:ascii="Times New Roman" w:hAnsi="Times New Roman" w:cs="Times New Roman" w:eastAsia="Times New Roman" w:hint="default"/>
          <w:spacing w:val="-4"/>
        </w:rPr>
        <w:t>+</w:t>
      </w:r>
      <w:r>
        <w:rPr>
          <w:spacing w:val="-4"/>
        </w:rPr>
        <w:t>智能化”的竞争优势，网点功能定位已开始向混业经营转变，</w:t>
      </w:r>
      <w:r>
        <w:rPr>
          <w:spacing w:val="-53"/>
        </w:rPr>
        <w:t> </w:t>
      </w:r>
      <w:r>
        <w:rPr>
          <w:spacing w:val="-53"/>
        </w:rPr>
      </w:r>
      <w:r>
        <w:rPr>
          <w:spacing w:val="-2"/>
        </w:rPr>
        <w:t>银、证、保等金融机构加速融合，银行网点内住房金融、汽车金融、新零售等业务场景逐渐丰富。同时，银行通过布放金融</w:t>
      </w:r>
      <w:r>
        <w:rPr>
          <w:spacing w:val="-72"/>
        </w:rPr>
        <w:t> </w:t>
      </w:r>
      <w:r>
        <w:rPr>
          <w:spacing w:val="-72"/>
        </w:rPr>
      </w:r>
      <w:r>
        <w:rPr/>
        <w:t>智能设备低成本延伸服务渠道的思路日渐清晰，银行渠道向政务、医院、学校、商超等场景加速渗透。</w:t>
      </w:r>
    </w:p>
    <w:p>
      <w:pPr>
        <w:pStyle w:val="BodyText"/>
        <w:spacing w:line="309" w:lineRule="auto" w:before="61"/>
        <w:ind w:right="1034" w:firstLine="360"/>
        <w:jc w:val="left"/>
      </w:pPr>
      <w:r>
        <w:rPr/>
        <w:t>作为银行网点业务流程优化和效率提升的重要载体，智能终端设备保有量呈逐年递增态势。其中：国内传统</w:t>
      </w:r>
      <w:r>
        <w:rPr>
          <w:rFonts w:ascii="Times New Roman" w:hAnsi="Times New Roman" w:cs="Times New Roman" w:eastAsia="Times New Roman" w:hint="default"/>
        </w:rPr>
        <w:t>ATM</w:t>
      </w:r>
      <w:r>
        <w:rPr/>
        <w:t>设备 </w:t>
      </w:r>
      <w:r>
        <w:rPr>
          <w:spacing w:val="-2"/>
        </w:rPr>
        <w:t>保有量趋于饱和，未来新增市场需求主要来源于旧机替换，而大额现金设备、智能柜台、票据处理设备、对公智能柜台、智</w:t>
      </w:r>
      <w:r>
        <w:rPr>
          <w:spacing w:val="-70"/>
        </w:rPr>
        <w:t> </w:t>
      </w:r>
      <w:r>
        <w:rPr>
          <w:spacing w:val="-70"/>
        </w:rPr>
      </w:r>
      <w:r>
        <w:rPr/>
        <w:t>能交互平板、智能便携设备等各类集成了新一代人工智能技术的设备创新层出不穷，且产品迭代更新速度不断加快。另外，</w:t>
      </w:r>
      <w:r>
        <w:rPr>
          <w:spacing w:val="-83"/>
        </w:rPr>
        <w:t> </w:t>
      </w:r>
      <w:r>
        <w:rPr>
          <w:spacing w:val="-83"/>
        </w:rPr>
      </w:r>
      <w:r>
        <w:rPr>
          <w:spacing w:val="-2"/>
        </w:rPr>
        <w:t>在海外市场上，现金支付仍然是重要的支付方式，海外现金自助设备市场仍将保持增长，预计到</w:t>
      </w:r>
      <w:r>
        <w:rPr>
          <w:rFonts w:ascii="Times New Roman" w:hAnsi="Times New Roman" w:cs="Times New Roman" w:eastAsia="Times New Roman" w:hint="default"/>
          <w:spacing w:val="-2"/>
        </w:rPr>
        <w:t>2021</w:t>
      </w:r>
      <w:r>
        <w:rPr>
          <w:spacing w:val="-2"/>
        </w:rPr>
        <w:t>年底全球保有量将超过</w:t>
      </w:r>
      <w:r>
        <w:rPr>
          <w:spacing w:val="-59"/>
        </w:rPr>
        <w:t> </w:t>
      </w:r>
      <w:r>
        <w:rPr>
          <w:spacing w:val="-59"/>
        </w:rPr>
      </w:r>
      <w:r>
        <w:rPr>
          <w:rFonts w:ascii="Times New Roman" w:hAnsi="Times New Roman" w:cs="Times New Roman" w:eastAsia="Times New Roman" w:hint="default"/>
        </w:rPr>
        <w:t>400</w:t>
      </w:r>
      <w:r>
        <w:rPr/>
        <w:t>万台，而且海外银行同样面临网点转型的需求，国内优秀的智能终端及综合解决方案有望在海外市场得到复制推广。</w:t>
      </w:r>
    </w:p>
    <w:p>
      <w:pPr>
        <w:spacing w:line="340" w:lineRule="auto" w:before="46"/>
        <w:ind w:left="513" w:right="103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AI+</w:t>
      </w:r>
      <w:r>
        <w:rPr>
          <w:rFonts w:ascii="宋体" w:hAnsi="宋体" w:cs="宋体" w:eastAsia="宋体" w:hint="default"/>
          <w:b/>
          <w:bCs/>
          <w:sz w:val="18"/>
          <w:szCs w:val="18"/>
        </w:rPr>
        <w:t>安全领域发展趋势</w:t>
      </w:r>
      <w:r>
        <w:rPr>
          <w:rFonts w:ascii="宋体" w:hAnsi="宋体" w:cs="宋体" w:eastAsia="宋体" w:hint="default"/>
          <w:b/>
          <w:bCs/>
          <w:w w:val="99"/>
          <w:sz w:val="18"/>
          <w:szCs w:val="18"/>
        </w:rPr>
        <w:t> </w:t>
      </w:r>
      <w:r>
        <w:rPr>
          <w:rFonts w:ascii="宋体" w:hAnsi="宋体" w:cs="宋体" w:eastAsia="宋体" w:hint="default"/>
          <w:spacing w:val="-2"/>
          <w:sz w:val="18"/>
          <w:szCs w:val="18"/>
        </w:rPr>
        <w:t>在大数据、人工智能等技术的带动下，公共安全领域正向城市化、综合化、主动安防方向发展，包括前端感知硬件、后</w:t>
      </w:r>
    </w:p>
    <w:p>
      <w:pPr>
        <w:pStyle w:val="BodyText"/>
        <w:spacing w:line="316" w:lineRule="auto" w:before="1"/>
        <w:ind w:right="1130"/>
        <w:jc w:val="both"/>
      </w:pPr>
      <w:r>
        <w:rPr>
          <w:spacing w:val="-2"/>
        </w:rPr>
        <w:t>端存储平台、智能分析融合等在内的创新技术不断应用于安防产品中，安防行业的技术门槛不断提升，企业研发投入要求加</w:t>
      </w:r>
      <w:r>
        <w:rPr>
          <w:spacing w:val="-63"/>
        </w:rPr>
        <w:t> </w:t>
      </w:r>
      <w:r>
        <w:rPr>
          <w:spacing w:val="-63"/>
        </w:rPr>
      </w:r>
      <w:r>
        <w:rPr>
          <w:spacing w:val="-2"/>
        </w:rPr>
        <w:t>大，产品功能越来越齐全，安防体系趋于完善。利用深度学习技术来理解视频内容—安防领域成为人工智能技术最大应用场</w:t>
      </w:r>
      <w:r>
        <w:rPr>
          <w:spacing w:val="-65"/>
        </w:rPr>
        <w:t> </w:t>
      </w:r>
      <w:r>
        <w:rPr>
          <w:spacing w:val="-65"/>
        </w:rPr>
      </w:r>
      <w:r>
        <w:rPr>
          <w:spacing w:val="-2"/>
        </w:rPr>
        <w:t>景之一，智慧安防已经成为当前发展的主流趋势。受国家“雪亮工程”政策以及人工智能技术发展的多元驱动，未来智能安</w:t>
      </w:r>
      <w:r>
        <w:rPr>
          <w:spacing w:val="-67"/>
        </w:rPr>
        <w:t> </w:t>
      </w:r>
      <w:r>
        <w:rPr>
          <w:spacing w:val="-67"/>
        </w:rPr>
      </w:r>
      <w:r>
        <w:rPr/>
        <w:t>防市场前景良好。</w:t>
      </w:r>
    </w:p>
    <w:p>
      <w:pPr>
        <w:pStyle w:val="BodyText"/>
        <w:spacing w:line="300" w:lineRule="auto" w:before="57"/>
        <w:ind w:right="1128" w:firstLine="360"/>
        <w:jc w:val="both"/>
      </w:pPr>
      <w:r>
        <w:rPr>
          <w:spacing w:val="-1"/>
        </w:rPr>
        <w:t>根据前瞻产业研究院的数据，在智慧城市和雪亮工程建设背景下，预计到</w:t>
      </w:r>
      <w:r>
        <w:rPr>
          <w:rFonts w:ascii="Times New Roman" w:hAnsi="Times New Roman" w:cs="Times New Roman" w:eastAsia="Times New Roman" w:hint="default"/>
          <w:spacing w:val="-1"/>
        </w:rPr>
        <w:t>2022</w:t>
      </w:r>
      <w:r>
        <w:rPr>
          <w:spacing w:val="-1"/>
        </w:rPr>
        <w:t>年安防市场总体规模达到</w:t>
      </w:r>
      <w:r>
        <w:rPr>
          <w:rFonts w:ascii="Times New Roman" w:hAnsi="Times New Roman" w:cs="Times New Roman" w:eastAsia="Times New Roman" w:hint="default"/>
          <w:spacing w:val="-1"/>
        </w:rPr>
        <w:t>11,799</w:t>
      </w:r>
      <w:r>
        <w:rPr>
          <w:spacing w:val="-1"/>
        </w:rPr>
        <w:t>亿元，复</w:t>
      </w:r>
      <w:r>
        <w:rPr/>
        <w:t> 合增长率约</w:t>
      </w:r>
      <w:r>
        <w:rPr>
          <w:rFonts w:ascii="Times New Roman" w:hAnsi="Times New Roman" w:cs="Times New Roman" w:eastAsia="Times New Roman" w:hint="default"/>
        </w:rPr>
        <w:t>13.5%</w:t>
      </w:r>
      <w:r>
        <w:rPr/>
        <w:t>。中国有</w:t>
      </w:r>
      <w:r>
        <w:rPr>
          <w:rFonts w:ascii="Times New Roman" w:hAnsi="Times New Roman" w:cs="Times New Roman" w:eastAsia="Times New Roman" w:hint="default"/>
        </w:rPr>
        <w:t>660</w:t>
      </w:r>
      <w:r>
        <w:rPr/>
        <w:t>多个城市，如果这些城市逐渐地、全部地建设“雪亮工程”，保守估算“雪亮工程”将形成</w:t>
      </w:r>
      <w:r>
        <w:rPr>
          <w:spacing w:val="-23"/>
        </w:rPr>
        <w:t> </w:t>
      </w:r>
      <w:r>
        <w:rPr>
          <w:spacing w:val="-23"/>
        </w:rPr>
      </w:r>
      <w:r>
        <w:rPr>
          <w:rFonts w:ascii="Times New Roman" w:hAnsi="Times New Roman" w:cs="Times New Roman" w:eastAsia="Times New Roman" w:hint="default"/>
          <w:spacing w:val="-2"/>
        </w:rPr>
        <w:t>300</w:t>
      </w:r>
      <w:r>
        <w:rPr>
          <w:spacing w:val="-2"/>
        </w:rPr>
        <w:t>亿元</w:t>
      </w:r>
      <w:r>
        <w:rPr>
          <w:rFonts w:ascii="Times New Roman" w:hAnsi="Times New Roman" w:cs="Times New Roman" w:eastAsia="Times New Roman" w:hint="default"/>
          <w:spacing w:val="-2"/>
        </w:rPr>
        <w:t>~500</w:t>
      </w:r>
      <w:r>
        <w:rPr>
          <w:spacing w:val="-2"/>
        </w:rPr>
        <w:t>亿元</w:t>
      </w:r>
      <w:r>
        <w:rPr>
          <w:rFonts w:ascii="Times New Roman" w:hAnsi="Times New Roman" w:cs="Times New Roman" w:eastAsia="Times New Roman" w:hint="default"/>
          <w:spacing w:val="-2"/>
        </w:rPr>
        <w:t>/</w:t>
      </w:r>
      <w:r>
        <w:rPr>
          <w:spacing w:val="-2"/>
        </w:rPr>
        <w:t>年的增量市场。同时，随着视频监控战场从“大城市”向“县乡村”下沉，目前雪亮工程建设县区的平均</w:t>
      </w:r>
      <w:r>
        <w:rPr>
          <w:spacing w:val="-36"/>
        </w:rPr>
        <w:t> </w:t>
      </w:r>
      <w:r>
        <w:rPr>
          <w:spacing w:val="-36"/>
        </w:rPr>
      </w:r>
      <w:r>
        <w:rPr/>
        <w:t>投资额约为</w:t>
      </w:r>
      <w:r>
        <w:rPr>
          <w:rFonts w:ascii="Times New Roman" w:hAnsi="Times New Roman" w:cs="Times New Roman" w:eastAsia="Times New Roman" w:hint="default"/>
        </w:rPr>
        <w:t>350</w:t>
      </w:r>
      <w:r>
        <w:rPr/>
        <w:t>万元，而全国共有将近</w:t>
      </w:r>
      <w:r>
        <w:rPr>
          <w:rFonts w:ascii="Times New Roman" w:hAnsi="Times New Roman" w:cs="Times New Roman" w:eastAsia="Times New Roman" w:hint="default"/>
        </w:rPr>
        <w:t>3,000</w:t>
      </w:r>
      <w:r>
        <w:rPr/>
        <w:t>个县，“雪亮工程”有望成为安防行业发展的新蓝海。</w:t>
      </w:r>
    </w:p>
    <w:p>
      <w:pPr>
        <w:pStyle w:val="BodyText"/>
        <w:spacing w:line="316" w:lineRule="auto" w:before="53"/>
        <w:ind w:right="1133" w:firstLine="360"/>
        <w:jc w:val="both"/>
      </w:pPr>
      <w:r>
        <w:rPr>
          <w:spacing w:val="-2"/>
        </w:rPr>
        <w:t>安防行业企业之间既有竞争也有合作，主要企业包括海康威视、大华股份、航天长峰等。广电运通围绕视频联网综合应</w:t>
      </w:r>
      <w:r>
        <w:rPr/>
        <w:t> </w:t>
      </w:r>
      <w:r>
        <w:rPr>
          <w:spacing w:val="-2"/>
        </w:rPr>
        <w:t>用平台、智慧警务云平台、智能人脸大数据应用平台，构建了多元化创新应用系统，以控股子公司信义科技为实施主体，中</w:t>
      </w:r>
      <w:r>
        <w:rPr>
          <w:spacing w:val="-67"/>
        </w:rPr>
        <w:t> </w:t>
      </w:r>
      <w:r>
        <w:rPr>
          <w:spacing w:val="-67"/>
        </w:rPr>
      </w:r>
      <w:r>
        <w:rPr/>
        <w:t>标并建设了深圳龙岗区“雪亮工程”</w:t>
      </w:r>
      <w:r>
        <w:rPr>
          <w:rFonts w:ascii="Times New Roman" w:hAnsi="Times New Roman" w:cs="Times New Roman" w:eastAsia="Times New Roman" w:hint="default"/>
        </w:rPr>
        <w:t>1~4</w:t>
      </w:r>
      <w:r>
        <w:rPr/>
        <w:t>期项目。</w:t>
      </w:r>
    </w:p>
    <w:p>
      <w:pPr>
        <w:spacing w:line="338" w:lineRule="auto" w:before="40"/>
        <w:ind w:left="513" w:right="103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AI+</w:t>
      </w:r>
      <w:r>
        <w:rPr>
          <w:rFonts w:ascii="宋体" w:hAnsi="宋体" w:cs="宋体" w:eastAsia="宋体" w:hint="default"/>
          <w:b/>
          <w:bCs/>
          <w:sz w:val="18"/>
          <w:szCs w:val="18"/>
        </w:rPr>
        <w:t>交通领域发展趋势</w:t>
      </w:r>
      <w:r>
        <w:rPr>
          <w:rFonts w:ascii="宋体" w:hAnsi="宋体" w:cs="宋体" w:eastAsia="宋体" w:hint="default"/>
          <w:b/>
          <w:bCs/>
          <w:w w:val="99"/>
          <w:sz w:val="18"/>
          <w:szCs w:val="18"/>
        </w:rPr>
        <w:t> </w:t>
      </w:r>
      <w:r>
        <w:rPr>
          <w:rFonts w:ascii="宋体" w:hAnsi="宋体" w:cs="宋体" w:eastAsia="宋体" w:hint="default"/>
          <w:spacing w:val="4"/>
          <w:sz w:val="18"/>
          <w:szCs w:val="18"/>
        </w:rPr>
        <w:t>根据城市轨道交通协会的数据快报显示：截止至</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31</w:t>
      </w:r>
      <w:r>
        <w:rPr>
          <w:rFonts w:ascii="宋体" w:hAnsi="宋体" w:cs="宋体" w:eastAsia="宋体" w:hint="default"/>
          <w:spacing w:val="4"/>
          <w:sz w:val="18"/>
          <w:szCs w:val="18"/>
        </w:rPr>
        <w:t>日，中国内地累计有</w:t>
      </w:r>
      <w:r>
        <w:rPr>
          <w:rFonts w:ascii="Times New Roman" w:hAnsi="Times New Roman" w:cs="Times New Roman" w:eastAsia="Times New Roman" w:hint="default"/>
          <w:spacing w:val="4"/>
          <w:sz w:val="18"/>
          <w:szCs w:val="18"/>
        </w:rPr>
        <w:t>35</w:t>
      </w:r>
      <w:r>
        <w:rPr>
          <w:rFonts w:ascii="宋体" w:hAnsi="宋体" w:cs="宋体" w:eastAsia="宋体" w:hint="default"/>
          <w:spacing w:val="4"/>
          <w:sz w:val="18"/>
          <w:szCs w:val="18"/>
        </w:rPr>
        <w:t>个城市建成投运城轨交通线路</w:t>
      </w:r>
    </w:p>
    <w:p>
      <w:pPr>
        <w:pStyle w:val="BodyText"/>
        <w:spacing w:line="230" w:lineRule="exact"/>
        <w:ind w:right="0"/>
        <w:jc w:val="both"/>
      </w:pPr>
      <w:r>
        <w:rPr>
          <w:rFonts w:ascii="Times New Roman" w:hAnsi="Times New Roman" w:cs="Times New Roman" w:eastAsia="Times New Roman" w:hint="default"/>
        </w:rPr>
        <w:t>5,766.6</w:t>
      </w:r>
      <w:r>
        <w:rPr/>
        <w:t>公里，新增运营线路长度</w:t>
      </w:r>
      <w:r>
        <w:rPr>
          <w:rFonts w:ascii="Times New Roman" w:hAnsi="Times New Roman" w:cs="Times New Roman" w:eastAsia="Times New Roman" w:hint="default"/>
        </w:rPr>
        <w:t>734.00</w:t>
      </w:r>
      <w:r>
        <w:rPr/>
        <w:t>公里。进入“十三五”以来，三年累计新增运营线路长度为</w:t>
      </w:r>
      <w:r>
        <w:rPr>
          <w:rFonts w:ascii="Times New Roman" w:hAnsi="Times New Roman" w:cs="Times New Roman" w:eastAsia="Times New Roman" w:hint="default"/>
        </w:rPr>
        <w:t>2,148.7</w:t>
      </w:r>
      <w:r>
        <w:rPr/>
        <w:t>公里，年均新增线</w:t>
      </w:r>
    </w:p>
    <w:p>
      <w:pPr>
        <w:pStyle w:val="BodyText"/>
        <w:spacing w:line="300" w:lineRule="auto" w:before="63"/>
        <w:ind w:right="1127"/>
        <w:jc w:val="both"/>
      </w:pPr>
      <w:r>
        <w:rPr>
          <w:spacing w:val="-1"/>
        </w:rPr>
        <w:t>路长度为</w:t>
      </w:r>
      <w:r>
        <w:rPr>
          <w:rFonts w:ascii="Times New Roman" w:hAnsi="Times New Roman" w:cs="Times New Roman" w:eastAsia="Times New Roman" w:hint="default"/>
          <w:spacing w:val="-1"/>
        </w:rPr>
        <w:t>716.2</w:t>
      </w:r>
      <w:r>
        <w:rPr>
          <w:spacing w:val="-1"/>
        </w:rPr>
        <w:t>公里，城轨交通行业每年建设投资保持在约</w:t>
      </w:r>
      <w:r>
        <w:rPr>
          <w:rFonts w:ascii="Times New Roman" w:hAnsi="Times New Roman" w:cs="Times New Roman" w:eastAsia="Times New Roman" w:hint="default"/>
          <w:spacing w:val="-1"/>
        </w:rPr>
        <w:t>4,000</w:t>
      </w:r>
      <w:r>
        <w:rPr>
          <w:spacing w:val="-1"/>
        </w:rPr>
        <w:t>亿。到“十三五”末期，城市轨道交通的建成规模将达</w:t>
      </w:r>
      <w:r>
        <w:rPr>
          <w:rFonts w:ascii="Times New Roman" w:hAnsi="Times New Roman" w:cs="Times New Roman" w:eastAsia="Times New Roman" w:hint="default"/>
          <w:spacing w:val="-1"/>
        </w:rPr>
        <w:t>7,000</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spacing w:val="-2"/>
        </w:rPr>
        <w:t>公里，未来轨道交通仍然处于建设投资高峰期。另据国家发改委公布的《中长期铁路网规划》，到</w:t>
      </w:r>
      <w:r>
        <w:rPr>
          <w:rFonts w:ascii="Times New Roman" w:hAnsi="Times New Roman" w:cs="Times New Roman" w:eastAsia="Times New Roman" w:hint="default"/>
          <w:spacing w:val="-2"/>
        </w:rPr>
        <w:t>2020</w:t>
      </w:r>
      <w:r>
        <w:rPr>
          <w:spacing w:val="-2"/>
        </w:rPr>
        <w:t>年，我国铁路网规模</w:t>
      </w:r>
      <w:r>
        <w:rPr>
          <w:spacing w:val="-66"/>
        </w:rPr>
        <w:t> </w:t>
      </w:r>
      <w:r>
        <w:rPr>
          <w:spacing w:val="-66"/>
        </w:rPr>
      </w:r>
      <w:r>
        <w:rPr/>
        <w:t>达到</w:t>
      </w:r>
      <w:r>
        <w:rPr>
          <w:rFonts w:ascii="Times New Roman" w:hAnsi="Times New Roman" w:cs="Times New Roman" w:eastAsia="Times New Roman" w:hint="default"/>
        </w:rPr>
        <w:t>15</w:t>
      </w:r>
      <w:r>
        <w:rPr/>
        <w:t>万公里，截止到</w:t>
      </w:r>
      <w:r>
        <w:rPr>
          <w:rFonts w:ascii="Times New Roman" w:hAnsi="Times New Roman" w:cs="Times New Roman" w:eastAsia="Times New Roman" w:hint="default"/>
        </w:rPr>
        <w:t>2030</w:t>
      </w:r>
      <w:r>
        <w:rPr/>
        <w:t>年铁路总体投资额将超过</w:t>
      </w:r>
      <w:r>
        <w:rPr>
          <w:rFonts w:ascii="Times New Roman" w:hAnsi="Times New Roman" w:cs="Times New Roman" w:eastAsia="Times New Roman" w:hint="default"/>
        </w:rPr>
        <w:t>8</w:t>
      </w:r>
      <w:r>
        <w:rPr/>
        <w:t>万亿。</w:t>
      </w:r>
    </w:p>
    <w:p>
      <w:pPr>
        <w:pStyle w:val="BodyText"/>
        <w:spacing w:line="304" w:lineRule="auto" w:before="53"/>
        <w:ind w:right="1130" w:firstLine="360"/>
        <w:jc w:val="both"/>
      </w:pPr>
      <w:r>
        <w:rPr>
          <w:spacing w:val="-2"/>
        </w:rPr>
        <w:t>随着我国城镇化进程的加快，以及中心城市与周边地区的联系日趋紧密，城市轨道交通、市郊铁路、城际铁路、高铁都</w:t>
      </w:r>
      <w:r>
        <w:rPr/>
        <w:t> </w:t>
      </w:r>
      <w:r>
        <w:rPr>
          <w:spacing w:val="-1"/>
        </w:rPr>
        <w:t>迎来巨大发展空间。特别是“中心城市</w:t>
      </w:r>
      <w:r>
        <w:rPr>
          <w:rFonts w:ascii="Times New Roman" w:hAnsi="Times New Roman" w:cs="Times New Roman" w:eastAsia="Times New Roman" w:hint="default"/>
          <w:spacing w:val="-1"/>
        </w:rPr>
        <w:t>-</w:t>
      </w:r>
      <w:r>
        <w:rPr>
          <w:spacing w:val="-1"/>
        </w:rPr>
        <w:t>都市圈</w:t>
      </w:r>
      <w:r>
        <w:rPr>
          <w:rFonts w:ascii="Times New Roman" w:hAnsi="Times New Roman" w:cs="Times New Roman" w:eastAsia="Times New Roman" w:hint="default"/>
          <w:spacing w:val="-1"/>
        </w:rPr>
        <w:t>-</w:t>
      </w:r>
      <w:r>
        <w:rPr>
          <w:spacing w:val="-1"/>
        </w:rPr>
        <w:t>城市群”的格局，正引领带动区域经济的蓬勃发展，粤港澳大湾区作为中国</w:t>
      </w:r>
      <w:r>
        <w:rPr>
          <w:spacing w:val="-59"/>
        </w:rPr>
        <w:t> </w:t>
      </w:r>
      <w:r>
        <w:rPr>
          <w:spacing w:val="-59"/>
        </w:rPr>
      </w:r>
      <w:r>
        <w:rPr/>
        <w:t>实现“弯道超车”的主城市群，轨道交通互联互通是大湾区规划的重要组成部分。广州市政府在</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月制定《广州市推</w:t>
      </w:r>
      <w:r>
        <w:rPr>
          <w:spacing w:val="-83"/>
        </w:rPr>
        <w:t> </w:t>
      </w:r>
      <w:r>
        <w:rPr>
          <w:spacing w:val="-83"/>
        </w:rPr>
      </w:r>
      <w:r>
        <w:rPr>
          <w:spacing w:val="-2"/>
        </w:rPr>
        <w:t>动轨道交通产业发展三年</w:t>
      </w:r>
      <w:r>
        <w:rPr>
          <w:rFonts w:ascii="Times New Roman" w:hAnsi="Times New Roman" w:cs="Times New Roman" w:eastAsia="Times New Roman" w:hint="default"/>
          <w:spacing w:val="-2"/>
        </w:rPr>
        <w:t>(2019-2021</w:t>
      </w:r>
      <w:r>
        <w:rPr>
          <w:spacing w:val="-2"/>
        </w:rPr>
        <w:t>年</w:t>
      </w:r>
      <w:r>
        <w:rPr>
          <w:rFonts w:ascii="Times New Roman" w:hAnsi="Times New Roman" w:cs="Times New Roman" w:eastAsia="Times New Roman" w:hint="default"/>
          <w:spacing w:val="-2"/>
        </w:rPr>
        <w:t>)</w:t>
      </w:r>
      <w:r>
        <w:rPr>
          <w:spacing w:val="-2"/>
        </w:rPr>
        <w:t>行动计划》，提出包括提升产品和服务供给质量、培育壮大企业主体、深化对外开放</w:t>
      </w:r>
      <w:r>
        <w:rPr>
          <w:spacing w:val="-53"/>
        </w:rPr>
        <w:t> </w:t>
      </w:r>
      <w:r>
        <w:rPr>
          <w:spacing w:val="-53"/>
        </w:rPr>
      </w:r>
      <w:r>
        <w:rPr/>
        <w:t>与合作等</w:t>
      </w:r>
      <w:r>
        <w:rPr>
          <w:rFonts w:ascii="Times New Roman" w:hAnsi="Times New Roman" w:cs="Times New Roman" w:eastAsia="Times New Roman" w:hint="default"/>
        </w:rPr>
        <w:t>8</w:t>
      </w:r>
      <w:r>
        <w:rPr/>
        <w:t>方面</w:t>
      </w:r>
      <w:r>
        <w:rPr>
          <w:rFonts w:ascii="Times New Roman" w:hAnsi="Times New Roman" w:cs="Times New Roman" w:eastAsia="Times New Roman" w:hint="default"/>
        </w:rPr>
        <w:t>21</w:t>
      </w:r>
      <w:r>
        <w:rPr/>
        <w:t>项具体任务。到</w:t>
      </w:r>
      <w:r>
        <w:rPr>
          <w:rFonts w:ascii="Times New Roman" w:hAnsi="Times New Roman" w:cs="Times New Roman" w:eastAsia="Times New Roman" w:hint="default"/>
        </w:rPr>
        <w:t>2021</w:t>
      </w:r>
      <w:r>
        <w:rPr/>
        <w:t>年，广州市轨道交通产业规模力争达到</w:t>
      </w:r>
      <w:r>
        <w:rPr>
          <w:rFonts w:ascii="Times New Roman" w:hAnsi="Times New Roman" w:cs="Times New Roman" w:eastAsia="Times New Roman" w:hint="default"/>
        </w:rPr>
        <w:t>1,200</w:t>
      </w:r>
      <w:r>
        <w:rPr/>
        <w:t>亿元</w:t>
      </w:r>
      <w:r>
        <w:rPr>
          <w:rFonts w:ascii="Times New Roman" w:hAnsi="Times New Roman" w:cs="Times New Roman" w:eastAsia="Times New Roman" w:hint="default"/>
        </w:rPr>
        <w:t>,</w:t>
      </w:r>
      <w:r>
        <w:rPr/>
        <w:t>力争</w:t>
      </w:r>
      <w:r>
        <w:rPr>
          <w:rFonts w:ascii="Times New Roman" w:hAnsi="Times New Roman" w:cs="Times New Roman" w:eastAsia="Times New Roman" w:hint="default"/>
        </w:rPr>
        <w:t>2023</w:t>
      </w:r>
      <w:r>
        <w:rPr/>
        <w:t>年实现产值</w:t>
      </w:r>
      <w:r>
        <w:rPr>
          <w:rFonts w:ascii="Times New Roman" w:hAnsi="Times New Roman" w:cs="Times New Roman" w:eastAsia="Times New Roman" w:hint="default"/>
        </w:rPr>
        <w:t>1,800</w:t>
      </w:r>
      <w:r>
        <w:rPr/>
        <w:t>亿元，在</w:t>
      </w:r>
      <w:r>
        <w:rPr>
          <w:spacing w:val="-51"/>
        </w:rPr>
        <w:t> </w:t>
      </w:r>
      <w:r>
        <w:rPr/>
        <w:t>轨道交通运营与维保领域建成具有国际水平的创新平台。</w:t>
      </w:r>
    </w:p>
    <w:p>
      <w:pPr>
        <w:pStyle w:val="BodyText"/>
        <w:spacing w:line="307" w:lineRule="auto" w:before="68"/>
        <w:ind w:right="1131" w:firstLine="360"/>
        <w:jc w:val="both"/>
      </w:pPr>
      <w:r>
        <w:rPr>
          <w:spacing w:val="-1"/>
        </w:rPr>
        <w:t>在我国轨道交通蓬勃发展的热潮下，一方面，</w:t>
      </w:r>
      <w:r>
        <w:rPr>
          <w:rFonts w:ascii="Times New Roman" w:hAnsi="Times New Roman" w:cs="Times New Roman" w:eastAsia="Times New Roman" w:hint="default"/>
          <w:spacing w:val="-1"/>
        </w:rPr>
        <w:t>PPP</w:t>
      </w:r>
      <w:r>
        <w:rPr>
          <w:spacing w:val="-1"/>
        </w:rPr>
        <w:t>模式作为城市轨道交通多元化融资中最重要的手段，在未来一段时间</w:t>
      </w:r>
      <w:r>
        <w:rPr/>
        <w:t> </w:t>
      </w:r>
      <w:r>
        <w:rPr>
          <w:spacing w:val="-1"/>
        </w:rPr>
        <w:t>内仍将继续发挥其重要的融资功能。另一方面，我国对城市轨道交通国产化一直十分重视，要求国产化率</w:t>
      </w:r>
      <w:r>
        <w:rPr>
          <w:rFonts w:ascii="Times New Roman" w:hAnsi="Times New Roman" w:cs="Times New Roman" w:eastAsia="Times New Roman" w:hint="default"/>
          <w:spacing w:val="-1"/>
        </w:rPr>
        <w:t>70%</w:t>
      </w:r>
      <w:r>
        <w:rPr>
          <w:spacing w:val="-1"/>
        </w:rPr>
        <w:t>以上，相关的</w:t>
      </w:r>
      <w:r>
        <w:rPr/>
        <w:t> </w:t>
      </w:r>
      <w:r>
        <w:rPr>
          <w:spacing w:val="-2"/>
        </w:rPr>
        <w:t>国产化与标准化的政策红利将益及国内厂商。此外，随着物联网、云计算、移动互联网、大数据等新一代信息技术发展突飞</w:t>
      </w:r>
      <w:r>
        <w:rPr>
          <w:spacing w:val="-65"/>
        </w:rPr>
        <w:t> </w:t>
      </w:r>
      <w:r>
        <w:rPr>
          <w:spacing w:val="-65"/>
        </w:rPr>
      </w:r>
      <w:r>
        <w:rPr>
          <w:spacing w:val="-2"/>
        </w:rPr>
        <w:t>猛进，以提供舒畅、便捷、安全的人性化交通运输服务为核心的出行体验，将是未来城市轨道交通发展必然趋势。最后，随</w:t>
      </w:r>
    </w:p>
    <w:p>
      <w:pPr>
        <w:spacing w:after="0" w:line="307" w:lineRule="auto"/>
        <w:jc w:val="both"/>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0"/>
        <w:jc w:val="both"/>
      </w:pPr>
      <w:r>
        <w:rPr/>
        <w:t>着轨道交通设备的运营年限不断增加，其设备的维护服务市场总需求也将逐步放大，给具备运维能力的厂商更多机遇。</w:t>
      </w:r>
    </w:p>
    <w:p>
      <w:pPr>
        <w:pStyle w:val="Heading5"/>
        <w:spacing w:line="240" w:lineRule="auto" w:before="117"/>
        <w:ind w:left="513" w:right="1034"/>
        <w:jc w:val="left"/>
        <w:rPr>
          <w:b w:val="0"/>
          <w:bCs w:val="0"/>
        </w:rPr>
      </w:pPr>
      <w:r>
        <w:rPr>
          <w:rFonts w:ascii="Times New Roman" w:hAnsi="Times New Roman" w:cs="Times New Roman" w:eastAsia="Times New Roman" w:hint="default"/>
        </w:rPr>
        <w:t>4</w:t>
      </w:r>
      <w:r>
        <w:rPr/>
        <w:t>、</w:t>
      </w:r>
      <w:r>
        <w:rPr>
          <w:rFonts w:ascii="Times New Roman" w:hAnsi="Times New Roman" w:cs="Times New Roman" w:eastAsia="Times New Roman" w:hint="default"/>
        </w:rPr>
        <w:t>AI+</w:t>
      </w:r>
      <w:r>
        <w:rPr/>
        <w:t>便民领域发展趋势</w:t>
      </w:r>
      <w:r>
        <w:rPr>
          <w:b w:val="0"/>
          <w:bCs w:val="0"/>
        </w:rPr>
      </w:r>
    </w:p>
    <w:p>
      <w:pPr>
        <w:pStyle w:val="BodyText"/>
        <w:spacing w:line="340" w:lineRule="auto" w:before="101"/>
        <w:ind w:left="513" w:right="1123"/>
        <w:jc w:val="left"/>
      </w:pPr>
      <w:r>
        <w:rPr/>
        <w:t>（</w:t>
      </w:r>
      <w:r>
        <w:rPr>
          <w:rFonts w:ascii="Times New Roman" w:hAnsi="Times New Roman" w:cs="Times New Roman" w:eastAsia="Times New Roman" w:hint="default"/>
        </w:rPr>
        <w:t>1</w:t>
      </w:r>
      <w:r>
        <w:rPr/>
        <w:t>）智能文旅领域 旅游经济迈入文旅融合新时代。</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月，国务院提出组建文化和旅游部，各省市政府在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月完成文化和旅游</w:t>
      </w:r>
    </w:p>
    <w:p>
      <w:pPr>
        <w:pStyle w:val="BodyText"/>
        <w:spacing w:line="215" w:lineRule="exact"/>
        <w:ind w:right="0"/>
        <w:jc w:val="both"/>
      </w:pPr>
      <w:r>
        <w:rPr/>
        <w:t>机构改革。文化产业与旅游产业在融合过程中，推动产业结构转型升级，形成以文化为依托的旅游新业态。根据文化和旅游</w:t>
      </w:r>
    </w:p>
    <w:p>
      <w:pPr>
        <w:pStyle w:val="BodyText"/>
        <w:spacing w:line="300" w:lineRule="auto" w:before="76"/>
        <w:ind w:right="1131"/>
        <w:jc w:val="both"/>
      </w:pPr>
      <w:r>
        <w:rPr/>
        <w:t>部发布数据显示，</w:t>
      </w:r>
      <w:r>
        <w:rPr>
          <w:rFonts w:ascii="Times New Roman" w:hAnsi="Times New Roman" w:cs="Times New Roman" w:eastAsia="Times New Roman" w:hint="default"/>
        </w:rPr>
        <w:t>2018</w:t>
      </w:r>
      <w:r>
        <w:rPr/>
        <w:t>年全年国内游客达</w:t>
      </w:r>
      <w:r>
        <w:rPr>
          <w:rFonts w:ascii="Times New Roman" w:hAnsi="Times New Roman" w:cs="Times New Roman" w:eastAsia="Times New Roman" w:hint="default"/>
        </w:rPr>
        <w:t>55.4</w:t>
      </w:r>
      <w:r>
        <w:rPr/>
        <w:t>亿人次，比上年增长</w:t>
      </w:r>
      <w:r>
        <w:rPr>
          <w:rFonts w:ascii="Times New Roman" w:hAnsi="Times New Roman" w:cs="Times New Roman" w:eastAsia="Times New Roman" w:hint="default"/>
        </w:rPr>
        <w:t>10.76%</w:t>
      </w:r>
      <w:r>
        <w:rPr/>
        <w:t>，实现旅游总收入</w:t>
      </w:r>
      <w:r>
        <w:rPr>
          <w:rFonts w:ascii="Times New Roman" w:hAnsi="Times New Roman" w:cs="Times New Roman" w:eastAsia="Times New Roman" w:hint="default"/>
        </w:rPr>
        <w:t>5.97</w:t>
      </w:r>
      <w:r>
        <w:rPr/>
        <w:t>万亿元，同比增长</w:t>
      </w:r>
      <w:r>
        <w:rPr>
          <w:rFonts w:ascii="Times New Roman" w:hAnsi="Times New Roman" w:cs="Times New Roman" w:eastAsia="Times New Roman" w:hint="default"/>
        </w:rPr>
        <w:t>10.5%</w:t>
      </w:r>
      <w:r>
        <w:rPr/>
        <w:t>，</w:t>
      </w:r>
      <w:r>
        <w:rPr>
          <w:spacing w:val="-35"/>
        </w:rPr>
        <w:t> </w:t>
      </w:r>
      <w:r>
        <w:rPr/>
        <w:t>持续保持高速增长，文旅融合开局顺利，产业创新更加活跃。</w:t>
      </w:r>
    </w:p>
    <w:p>
      <w:pPr>
        <w:pStyle w:val="BodyText"/>
        <w:spacing w:line="316" w:lineRule="auto" w:before="72"/>
        <w:ind w:right="1130" w:firstLine="360"/>
        <w:jc w:val="both"/>
      </w:pPr>
      <w:r>
        <w:rPr>
          <w:spacing w:val="-2"/>
        </w:rPr>
        <w:t>全域旅游升级加速产业转型。根据国务院《关于促进全域旅游发展的指导意见》，全国多地在积极构建智慧旅游平台体</w:t>
      </w:r>
      <w:r>
        <w:rPr/>
        <w:t> </w:t>
      </w:r>
      <w:r>
        <w:rPr>
          <w:spacing w:val="-2"/>
        </w:rPr>
        <w:t>系，完善全域旅游格局，预计未来将持续强化全域旅游发展模式，深化旅游数据建设，进一步扩大旅游产业边界，推动大旅</w:t>
      </w:r>
      <w:r>
        <w:rPr>
          <w:spacing w:val="-67"/>
        </w:rPr>
        <w:t> </w:t>
      </w:r>
      <w:r>
        <w:rPr>
          <w:spacing w:val="-67"/>
        </w:rPr>
      </w:r>
      <w:r>
        <w:rPr/>
        <w:t>游产业升级。</w:t>
      </w:r>
    </w:p>
    <w:p>
      <w:pPr>
        <w:pStyle w:val="BodyText"/>
        <w:spacing w:line="316" w:lineRule="auto" w:before="58"/>
        <w:ind w:right="1131" w:firstLine="360"/>
        <w:jc w:val="both"/>
      </w:pPr>
      <w:r>
        <w:rPr>
          <w:spacing w:val="-2"/>
        </w:rPr>
        <w:t>数字科技推动文旅智能化发展。随着“数字中国”战略的深化推进，旅游的智能化应用将趋向全程、全域、全产品、全</w:t>
      </w:r>
      <w:r>
        <w:rPr/>
        <w:t> </w:t>
      </w:r>
      <w:r>
        <w:rPr>
          <w:spacing w:val="-2"/>
        </w:rPr>
        <w:t>服务覆盖，“一机游”云南、景区、博物馆、展览、演艺、餐厅、公交、酒店等，科技正在重新定义生活方式，刺激旅游的</w:t>
      </w:r>
      <w:r>
        <w:rPr>
          <w:spacing w:val="-69"/>
        </w:rPr>
        <w:t> </w:t>
      </w:r>
      <w:r>
        <w:rPr>
          <w:spacing w:val="-69"/>
        </w:rPr>
      </w:r>
      <w:r>
        <w:rPr/>
        <w:t>“二次发育”。</w:t>
      </w:r>
    </w:p>
    <w:p>
      <w:pPr>
        <w:pStyle w:val="BodyText"/>
        <w:spacing w:line="340" w:lineRule="auto" w:before="59"/>
        <w:ind w:left="513" w:right="1034"/>
        <w:jc w:val="left"/>
      </w:pPr>
      <w:r>
        <w:rPr/>
        <w:t>（</w:t>
      </w:r>
      <w:r>
        <w:rPr>
          <w:rFonts w:ascii="Times New Roman" w:hAnsi="Times New Roman" w:cs="Times New Roman" w:eastAsia="Times New Roman" w:hint="default"/>
        </w:rPr>
        <w:t>2</w:t>
      </w:r>
      <w:r>
        <w:rPr/>
        <w:t>）智能政务领域 </w:t>
      </w:r>
      <w:r>
        <w:rPr>
          <w:spacing w:val="-4"/>
        </w:rPr>
        <w:t>智能政务全面升级、前景可期。根据在政府工作报告，</w:t>
      </w:r>
      <w:r>
        <w:rPr>
          <w:rFonts w:ascii="Times New Roman" w:hAnsi="Times New Roman" w:cs="Times New Roman" w:eastAsia="Times New Roman" w:hint="default"/>
          <w:spacing w:val="-4"/>
        </w:rPr>
        <w:t>2018</w:t>
      </w:r>
      <w:r>
        <w:rPr>
          <w:spacing w:val="-4"/>
        </w:rPr>
        <w:t>年提出要深化“互联网</w:t>
      </w:r>
      <w:r>
        <w:rPr>
          <w:rFonts w:ascii="Times New Roman" w:hAnsi="Times New Roman" w:cs="Times New Roman" w:eastAsia="Times New Roman" w:hint="default"/>
          <w:spacing w:val="-4"/>
        </w:rPr>
        <w:t>+</w:t>
      </w:r>
      <w:r>
        <w:rPr>
          <w:spacing w:val="-4"/>
        </w:rPr>
        <w:t>政务服务”，</w:t>
      </w:r>
      <w:r>
        <w:rPr>
          <w:rFonts w:ascii="Times New Roman" w:hAnsi="Times New Roman" w:cs="Times New Roman" w:eastAsia="Times New Roman" w:hint="default"/>
          <w:spacing w:val="-4"/>
        </w:rPr>
        <w:t>2019</w:t>
      </w:r>
      <w:r>
        <w:rPr>
          <w:spacing w:val="-4"/>
        </w:rPr>
        <w:t>年提出要深化“放</w:t>
      </w:r>
    </w:p>
    <w:p>
      <w:pPr>
        <w:pStyle w:val="BodyText"/>
        <w:spacing w:line="215" w:lineRule="exact"/>
        <w:ind w:right="0"/>
        <w:jc w:val="both"/>
      </w:pPr>
      <w:r>
        <w:rPr/>
        <w:t>管服”改革，现场办理要“一窗受理、限时办结”、“最多跑一次”。智能政务已经成为提升执政能力和建设数字型、服务</w:t>
      </w:r>
    </w:p>
    <w:p>
      <w:pPr>
        <w:pStyle w:val="BodyText"/>
        <w:spacing w:line="300" w:lineRule="auto" w:before="76"/>
        <w:ind w:right="1127"/>
        <w:jc w:val="both"/>
      </w:pPr>
      <w:r>
        <w:rPr>
          <w:spacing w:val="-2"/>
        </w:rPr>
        <w:t>型政府可不或缺的手段。</w:t>
      </w:r>
      <w:r>
        <w:rPr>
          <w:rFonts w:ascii="Times New Roman" w:hAnsi="Times New Roman" w:cs="Times New Roman" w:eastAsia="Times New Roman" w:hint="default"/>
          <w:spacing w:val="-2"/>
        </w:rPr>
        <w:t>2018</w:t>
      </w:r>
      <w:r>
        <w:rPr>
          <w:spacing w:val="-2"/>
        </w:rPr>
        <w:t>年以来，政府政策密集出台，智能政务将在未来几年内为行业发展创造出更大的需求空间，前</w:t>
      </w:r>
      <w:r>
        <w:rPr>
          <w:spacing w:val="-62"/>
        </w:rPr>
        <w:t> </w:t>
      </w:r>
      <w:r>
        <w:rPr>
          <w:spacing w:val="-62"/>
        </w:rPr>
      </w:r>
      <w:r>
        <w:rPr>
          <w:spacing w:val="-3"/>
        </w:rPr>
        <w:t>景可期。根据前瞻产业研究院《中国电子政务发展前景与投资战略规划分析报告》，</w:t>
      </w:r>
      <w:r>
        <w:rPr>
          <w:rFonts w:ascii="Times New Roman" w:hAnsi="Times New Roman" w:cs="Times New Roman" w:eastAsia="Times New Roman" w:hint="default"/>
          <w:spacing w:val="-3"/>
        </w:rPr>
        <w:t>2018</w:t>
      </w:r>
      <w:r>
        <w:rPr>
          <w:spacing w:val="-3"/>
        </w:rPr>
        <w:t>年中国电子政务市场规模达到</w:t>
      </w:r>
      <w:r>
        <w:rPr>
          <w:rFonts w:ascii="Times New Roman" w:hAnsi="Times New Roman" w:cs="Times New Roman" w:eastAsia="Times New Roman" w:hint="default"/>
          <w:spacing w:val="-3"/>
        </w:rPr>
        <w:t>3,134</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spacing w:val="-1"/>
        </w:rPr>
        <w:t>亿元，同比增长</w:t>
      </w:r>
      <w:r>
        <w:rPr>
          <w:rFonts w:ascii="Times New Roman" w:hAnsi="Times New Roman" w:cs="Times New Roman" w:eastAsia="Times New Roman" w:hint="default"/>
          <w:spacing w:val="-1"/>
        </w:rPr>
        <w:t>15.1%</w:t>
      </w:r>
      <w:r>
        <w:rPr>
          <w:spacing w:val="-1"/>
        </w:rPr>
        <w:t>，近十年年均复合增速达到</w:t>
      </w:r>
      <w:r>
        <w:rPr>
          <w:rFonts w:ascii="Times New Roman" w:hAnsi="Times New Roman" w:cs="Times New Roman" w:eastAsia="Times New Roman" w:hint="default"/>
          <w:spacing w:val="-1"/>
        </w:rPr>
        <w:t>13.91%</w:t>
      </w:r>
      <w:r>
        <w:rPr>
          <w:spacing w:val="-1"/>
        </w:rPr>
        <w:t>。考虑到硬件和基础设施建设，按照我国</w:t>
      </w:r>
      <w:r>
        <w:rPr>
          <w:rFonts w:ascii="Times New Roman" w:hAnsi="Times New Roman" w:cs="Times New Roman" w:eastAsia="Times New Roman" w:hint="default"/>
          <w:spacing w:val="-1"/>
        </w:rPr>
        <w:t>IT</w:t>
      </w:r>
      <w:r>
        <w:rPr>
          <w:spacing w:val="-1"/>
        </w:rPr>
        <w:t>基础设施投资软件远小</w:t>
      </w:r>
      <w:r>
        <w:rPr>
          <w:spacing w:val="-47"/>
        </w:rPr>
        <w:t> </w:t>
      </w:r>
      <w:r>
        <w:rPr>
          <w:spacing w:val="-47"/>
        </w:rPr>
      </w:r>
      <w:r>
        <w:rPr/>
        <w:t>于硬件的比例来看，整体市场规模将接近千亿级别。</w:t>
      </w:r>
    </w:p>
    <w:p>
      <w:pPr>
        <w:pStyle w:val="BodyText"/>
        <w:spacing w:line="316" w:lineRule="auto" w:before="70"/>
        <w:ind w:right="1034" w:firstLine="360"/>
        <w:jc w:val="left"/>
      </w:pPr>
      <w:r>
        <w:rPr>
          <w:spacing w:val="-2"/>
        </w:rPr>
        <w:t>业务协同、数据共享一体化。当前，智能政务发展正在由“垂直应用阶段”向“共享协同阶段”过渡，政策重点聚焦于</w:t>
      </w:r>
      <w:r>
        <w:rPr/>
        <w:t> 建设一体化的智能政务平台。预计，未来几年行业的发展将向“业务协同、数据共享”的一体化方向升级。</w:t>
      </w:r>
    </w:p>
    <w:p>
      <w:pPr>
        <w:pStyle w:val="BodyText"/>
        <w:spacing w:line="340" w:lineRule="auto" w:before="59"/>
        <w:ind w:left="513" w:right="1034"/>
        <w:jc w:val="left"/>
      </w:pPr>
      <w:r>
        <w:rPr/>
        <w:t>（</w:t>
      </w:r>
      <w:r>
        <w:rPr>
          <w:rFonts w:ascii="Times New Roman" w:hAnsi="Times New Roman" w:cs="Times New Roman" w:eastAsia="Times New Roman" w:hint="default"/>
        </w:rPr>
        <w:t>3</w:t>
      </w:r>
      <w:r>
        <w:rPr/>
        <w:t>）新零售领域 </w:t>
      </w:r>
      <w:r>
        <w:rPr>
          <w:spacing w:val="-2"/>
        </w:rPr>
        <w:t>自动售货市场进入爆发期。十八大以来，国家从深化流通体制改革、培育消费热点、改善营商环境、推动线上线下融合</w:t>
      </w:r>
    </w:p>
    <w:p>
      <w:pPr>
        <w:pStyle w:val="BodyText"/>
        <w:spacing w:line="300" w:lineRule="auto" w:before="1"/>
        <w:ind w:right="1134"/>
        <w:jc w:val="both"/>
      </w:pPr>
      <w:r>
        <w:rPr>
          <w:spacing w:val="-2"/>
        </w:rPr>
        <w:t>发展等方面陆续出台了一系列政策文件。</w:t>
      </w:r>
      <w:r>
        <w:rPr>
          <w:rFonts w:ascii="Times New Roman" w:hAnsi="Times New Roman" w:cs="Times New Roman" w:eastAsia="Times New Roman" w:hint="default"/>
          <w:spacing w:val="-2"/>
        </w:rPr>
        <w:t>2017</w:t>
      </w:r>
      <w:r>
        <w:rPr>
          <w:spacing w:val="-2"/>
        </w:rPr>
        <w:t>年，借助贴近消费者的布局优势，便利店、自动售货机、开放货架成为线下零</w:t>
      </w:r>
      <w:r>
        <w:rPr>
          <w:spacing w:val="-64"/>
        </w:rPr>
        <w:t> </w:t>
      </w:r>
      <w:r>
        <w:rPr>
          <w:spacing w:val="-64"/>
        </w:rPr>
      </w:r>
      <w:r>
        <w:rPr/>
        <w:t>售创新的重要切入点。据艾瑞咨询测算，预计到</w:t>
      </w:r>
      <w:r>
        <w:rPr>
          <w:rFonts w:ascii="Times New Roman" w:hAnsi="Times New Roman" w:cs="Times New Roman" w:eastAsia="Times New Roman" w:hint="default"/>
        </w:rPr>
        <w:t>2020</w:t>
      </w:r>
      <w:r>
        <w:rPr/>
        <w:t>年，自动售货机零售额将突破</w:t>
      </w:r>
      <w:r>
        <w:rPr>
          <w:rFonts w:ascii="Times New Roman" w:hAnsi="Times New Roman" w:cs="Times New Roman" w:eastAsia="Times New Roman" w:hint="default"/>
        </w:rPr>
        <w:t>480</w:t>
      </w:r>
      <w:r>
        <w:rPr/>
        <w:t>亿，复合增长率</w:t>
      </w:r>
      <w:r>
        <w:rPr>
          <w:rFonts w:ascii="Times New Roman" w:hAnsi="Times New Roman" w:cs="Times New Roman" w:eastAsia="Times New Roman" w:hint="default"/>
        </w:rPr>
        <w:t>37%</w:t>
      </w:r>
      <w:r>
        <w:rPr/>
        <w:t>。</w:t>
      </w:r>
    </w:p>
    <w:p>
      <w:pPr>
        <w:pStyle w:val="BodyText"/>
        <w:spacing w:line="309" w:lineRule="auto" w:before="51"/>
        <w:ind w:right="1034" w:firstLine="360"/>
        <w:jc w:val="left"/>
      </w:pPr>
      <w:r>
        <w:rPr>
          <w:spacing w:val="-2"/>
        </w:rPr>
        <w:t>新一代科技应用天然场所，极大提升用户体验。埃森哲预测，零售业将会是从人工智能所带来的发展创新中受益最多的</w:t>
      </w:r>
      <w:r>
        <w:rPr/>
        <w:t> 产业，到</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50%</w:t>
      </w:r>
      <w:r>
        <w:rPr/>
        <w:t>的零售业消费者服务咨询将通过对话式的</w:t>
      </w:r>
      <w:r>
        <w:rPr>
          <w:rFonts w:ascii="Times New Roman" w:hAnsi="Times New Roman" w:cs="Times New Roman" w:eastAsia="Times New Roman" w:hint="default"/>
        </w:rPr>
        <w:t>AI</w:t>
      </w:r>
      <w:r>
        <w:rPr/>
        <w:t>应用来完成，</w:t>
      </w:r>
      <w:r>
        <w:rPr>
          <w:rFonts w:ascii="Times New Roman" w:hAnsi="Times New Roman" w:cs="Times New Roman" w:eastAsia="Times New Roman" w:hint="default"/>
        </w:rPr>
        <w:t>85%</w:t>
      </w:r>
      <w:r>
        <w:rPr/>
        <w:t>的消费者互动将不再需要人工来进行，</w:t>
      </w:r>
      <w:r>
        <w:rPr>
          <w:spacing w:val="-44"/>
        </w:rPr>
        <w:t> </w:t>
      </w:r>
      <w:r>
        <w:rPr>
          <w:spacing w:val="-44"/>
        </w:rPr>
      </w:r>
      <w:r>
        <w:rPr/>
        <w:t>市场前景广阔。同时，近年来移动支付的接入，极大改善了用户使用自动售货机的购买体验。</w:t>
      </w:r>
    </w:p>
    <w:p>
      <w:pPr>
        <w:pStyle w:val="BodyText"/>
        <w:spacing w:line="319" w:lineRule="auto" w:before="65"/>
        <w:ind w:right="1034" w:firstLine="360"/>
        <w:jc w:val="left"/>
      </w:pPr>
      <w:r>
        <w:rPr/>
        <w:t>新零售多元化发展，成为资本竞逐、大众创业集中地。目前，新零售处于资源抢占阶段，资本和创业者正在不断入场、 </w:t>
      </w:r>
      <w:r>
        <w:rPr>
          <w:spacing w:val="-2"/>
        </w:rPr>
        <w:t>竞争激烈。在这一轮角逐中，能快速占领市场、能快速突破产品形态和商业模式、整合产业链资源、持续抢位消费者用户体</w:t>
      </w:r>
      <w:r>
        <w:rPr>
          <w:spacing w:val="-67"/>
        </w:rPr>
        <w:t> </w:t>
      </w:r>
      <w:r>
        <w:rPr>
          <w:spacing w:val="-67"/>
        </w:rPr>
      </w:r>
      <w:r>
        <w:rPr/>
        <w:t>验等新零售企业可能会成为跑赢者。</w:t>
      </w:r>
    </w:p>
    <w:p>
      <w:pPr>
        <w:pStyle w:val="BodyText"/>
        <w:spacing w:line="357" w:lineRule="auto" w:before="58"/>
        <w:ind w:left="513" w:right="1034"/>
        <w:jc w:val="left"/>
      </w:pPr>
      <w:r>
        <w:rPr>
          <w:rFonts w:ascii="宋体" w:hAnsi="宋体" w:cs="宋体" w:eastAsia="宋体" w:hint="default"/>
          <w:b/>
          <w:bCs/>
        </w:rPr>
        <w:t>（二）公司的发展规划</w:t>
      </w:r>
      <w:r>
        <w:rPr>
          <w:rFonts w:ascii="宋体" w:hAnsi="宋体" w:cs="宋体" w:eastAsia="宋体" w:hint="default"/>
          <w:b/>
          <w:bCs/>
          <w:w w:val="99"/>
        </w:rPr>
        <w:t> </w:t>
      </w:r>
      <w:r>
        <w:rPr>
          <w:spacing w:val="-2"/>
        </w:rPr>
        <w:t>在习近平新时代中国特色社会主义思想指引下，充分发挥国有控股的竞争优势、员工持股的机制优势、科技创新的技术</w:t>
      </w:r>
    </w:p>
    <w:p>
      <w:pPr>
        <w:pStyle w:val="BodyText"/>
        <w:spacing w:line="237" w:lineRule="exact"/>
        <w:ind w:right="0"/>
        <w:jc w:val="both"/>
      </w:pPr>
      <w:r>
        <w:rPr/>
        <w:t>优势、布局全国的人才优势，实施以“</w:t>
      </w:r>
      <w:r>
        <w:rPr>
          <w:rFonts w:ascii="Times New Roman" w:hAnsi="Times New Roman" w:cs="Times New Roman" w:eastAsia="Times New Roman" w:hint="default"/>
        </w:rPr>
        <w:t>AI+</w:t>
      </w:r>
      <w:r>
        <w:rPr/>
        <w:t>”引领的战略转型和产业升级。继续做大做强金融智造与服务的存量，同时快速</w:t>
      </w:r>
    </w:p>
    <w:p>
      <w:pPr>
        <w:pStyle w:val="BodyText"/>
        <w:spacing w:line="316" w:lineRule="auto" w:before="63"/>
        <w:ind w:right="1135"/>
        <w:jc w:val="both"/>
      </w:pPr>
      <w:r>
        <w:rPr>
          <w:spacing w:val="-2"/>
        </w:rPr>
        <w:t>扩展人工智能的产业增量，在智能金融、智能安全、智能交通、智能便民等领域为客户构建智能化应用与场景，致力于成为</w:t>
      </w:r>
      <w:r>
        <w:rPr>
          <w:spacing w:val="-67"/>
        </w:rPr>
        <w:t> </w:t>
      </w:r>
      <w:r>
        <w:rPr>
          <w:spacing w:val="-67"/>
        </w:rPr>
      </w:r>
      <w:r>
        <w:rPr>
          <w:spacing w:val="-2"/>
        </w:rPr>
        <w:t>领先的人工智能全栈式服务商，为人民带来更便捷、更智能、更安全的服务与体验，成为构建科技强国、智慧中国的重要力</w:t>
      </w:r>
      <w:r>
        <w:rPr>
          <w:spacing w:val="-67"/>
        </w:rPr>
        <w:t> </w:t>
      </w:r>
      <w:r>
        <w:rPr>
          <w:spacing w:val="-67"/>
        </w:rPr>
      </w:r>
      <w:r>
        <w:rPr/>
        <w:t>量。</w:t>
      </w:r>
    </w:p>
    <w:p>
      <w:pPr>
        <w:pStyle w:val="Heading5"/>
        <w:spacing w:line="240" w:lineRule="auto" w:before="59"/>
        <w:ind w:left="513" w:right="1034"/>
        <w:jc w:val="left"/>
        <w:rPr>
          <w:b w:val="0"/>
          <w:bCs w:val="0"/>
        </w:rPr>
      </w:pPr>
      <w:r>
        <w:rPr/>
        <w:t>（三）</w:t>
      </w:r>
      <w:r>
        <w:rPr>
          <w:rFonts w:ascii="Times New Roman" w:hAnsi="Times New Roman" w:cs="Times New Roman" w:eastAsia="Times New Roman" w:hint="default"/>
        </w:rPr>
        <w:t>2019</w:t>
      </w:r>
      <w:r>
        <w:rPr/>
        <w:t>年经营计划</w:t>
      </w:r>
      <w:r>
        <w:rPr>
          <w:b w:val="0"/>
          <w:bCs w:val="0"/>
        </w:rPr>
      </w:r>
    </w:p>
    <w:p>
      <w:pPr>
        <w:pStyle w:val="BodyText"/>
        <w:spacing w:line="300" w:lineRule="auto" w:before="103"/>
        <w:ind w:right="1132" w:firstLine="360"/>
        <w:jc w:val="both"/>
      </w:pPr>
      <w:r>
        <w:rPr>
          <w:rFonts w:ascii="Times New Roman" w:hAnsi="Times New Roman" w:cs="Times New Roman" w:eastAsia="Times New Roman" w:hint="default"/>
        </w:rPr>
        <w:t>2019</w:t>
      </w:r>
      <w:r>
        <w:rPr/>
        <w:t>年是广电运通深入发力、全面加速战略落地的关键一年，公司将积极把握国家战略发展机遇，围绕“振奋精神•深 </w:t>
      </w:r>
      <w:r>
        <w:rPr>
          <w:spacing w:val="-2"/>
        </w:rPr>
        <w:t>化落地•责任到位，高质量推动</w:t>
      </w:r>
      <w:r>
        <w:rPr>
          <w:rFonts w:ascii="Times New Roman" w:hAnsi="Times New Roman" w:cs="Times New Roman" w:eastAsia="Times New Roman" w:hint="default"/>
          <w:spacing w:val="-2"/>
        </w:rPr>
        <w:t>AI+</w:t>
      </w:r>
      <w:r>
        <w:rPr>
          <w:spacing w:val="-2"/>
        </w:rPr>
        <w:t>战略又好又快发展”的年度经营主题，对标高质量发展要求，加快核心技术研发与应用，</w:t>
      </w:r>
      <w:r>
        <w:rPr>
          <w:spacing w:val="-86"/>
        </w:rPr>
        <w:t> </w:t>
      </w:r>
      <w:r>
        <w:rPr>
          <w:spacing w:val="-86"/>
        </w:rPr>
      </w:r>
      <w:r>
        <w:rPr/>
        <w:t>充分发挥五大事业群的自主能动性与协同效应，狠抓</w:t>
      </w:r>
      <w:r>
        <w:rPr>
          <w:rFonts w:ascii="Times New Roman" w:hAnsi="Times New Roman" w:cs="Times New Roman" w:eastAsia="Times New Roman" w:hint="default"/>
        </w:rPr>
        <w:t>AI+</w:t>
      </w:r>
      <w:r>
        <w:rPr/>
        <w:t>战略落地，推动公司产业快速健康发展。</w:t>
      </w:r>
    </w:p>
    <w:p>
      <w:pPr>
        <w:spacing w:after="0" w:line="300" w:lineRule="auto"/>
        <w:jc w:val="both"/>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left="513" w:right="1034"/>
        <w:jc w:val="left"/>
      </w:pPr>
      <w:r>
        <w:rPr/>
        <w:t>重点做好以下几方面工作：</w:t>
      </w:r>
    </w:p>
    <w:p>
      <w:pPr>
        <w:pStyle w:val="BodyText"/>
        <w:spacing w:line="240" w:lineRule="auto" w:before="117"/>
        <w:ind w:left="513" w:right="1034"/>
        <w:jc w:val="left"/>
      </w:pPr>
      <w:r>
        <w:rPr>
          <w:rFonts w:ascii="Times New Roman" w:hAnsi="Times New Roman" w:cs="Times New Roman" w:eastAsia="Times New Roman" w:hint="default"/>
        </w:rPr>
        <w:t>1</w:t>
      </w:r>
      <w:r>
        <w:rPr/>
        <w:t>、业务拓展方面，发挥事业群的灵活性和创新力，促进公司业务高质量发展。其中：</w:t>
      </w:r>
    </w:p>
    <w:p>
      <w:pPr>
        <w:pStyle w:val="BodyText"/>
        <w:spacing w:line="307" w:lineRule="auto" w:before="101"/>
        <w:ind w:right="1131" w:firstLine="360"/>
        <w:jc w:val="both"/>
      </w:pPr>
      <w:r>
        <w:rPr/>
        <w:t>（</w:t>
      </w:r>
      <w:r>
        <w:rPr>
          <w:rFonts w:ascii="Times New Roman" w:hAnsi="Times New Roman" w:cs="Times New Roman" w:eastAsia="Times New Roman" w:hint="default"/>
        </w:rPr>
        <w:t>1</w:t>
      </w:r>
      <w:r>
        <w:rPr/>
        <w:t>）智能金融事业群：全面保障自助设备总行入围工作，提升客户覆盖率和市场份额，其中现金类产品保持行业龙头 </w:t>
      </w:r>
      <w:r>
        <w:rPr>
          <w:spacing w:val="-5"/>
        </w:rPr>
        <w:t>地位，非现产品进入第一梯队；紧盯银行网点转型趋势，精准定位客户需求，加速推进建行、邮政等大行网点转型项目落地，</w:t>
      </w:r>
      <w:r>
        <w:rPr>
          <w:spacing w:val="-80"/>
        </w:rPr>
        <w:t> </w:t>
      </w:r>
      <w:r>
        <w:rPr>
          <w:spacing w:val="-80"/>
        </w:rPr>
      </w:r>
      <w:r>
        <w:rPr>
          <w:spacing w:val="-1"/>
        </w:rPr>
        <w:t>打造项目标杆并规模化复制，目标为占据国内银行网点转型业务</w:t>
      </w:r>
      <w:r>
        <w:rPr>
          <w:rFonts w:ascii="Times New Roman" w:hAnsi="Times New Roman" w:cs="Times New Roman" w:eastAsia="Times New Roman" w:hint="default"/>
          <w:spacing w:val="-1"/>
        </w:rPr>
        <w:t>30%</w:t>
      </w:r>
      <w:r>
        <w:rPr>
          <w:spacing w:val="-1"/>
        </w:rPr>
        <w:t>以上的市场份额；推进大数据解决方案、智能交互平板</w:t>
      </w:r>
      <w:r>
        <w:rPr>
          <w:spacing w:val="-88"/>
        </w:rPr>
        <w:t> </w:t>
      </w:r>
      <w:r>
        <w:rPr>
          <w:spacing w:val="-88"/>
        </w:rPr>
      </w:r>
      <w:r>
        <w:rPr/>
        <w:t>等产品在银行、财税等行业应用。</w:t>
      </w:r>
    </w:p>
    <w:p>
      <w:pPr>
        <w:pStyle w:val="BodyText"/>
        <w:spacing w:line="309" w:lineRule="auto" w:before="67"/>
        <w:ind w:right="1133" w:firstLine="360"/>
        <w:jc w:val="both"/>
      </w:pPr>
      <w:r>
        <w:rPr/>
        <w:t>（</w:t>
      </w:r>
      <w:r>
        <w:rPr>
          <w:rFonts w:ascii="Times New Roman" w:hAnsi="Times New Roman" w:cs="Times New Roman" w:eastAsia="Times New Roman" w:hint="default"/>
        </w:rPr>
        <w:t>2</w:t>
      </w:r>
      <w:r>
        <w:rPr/>
        <w:t>）智能安全事业群：一方面，巩固平安城市业务在深圳市场优势地位，加大外地市场开拓力度，确保外地市场订单 </w:t>
      </w:r>
      <w:r>
        <w:rPr>
          <w:spacing w:val="-2"/>
        </w:rPr>
        <w:t>显著增长；另一方面，深化子公司的运营模式创新，在夯实传统业务、完善现金安全服务全产业链的同时，加速安防等新业</w:t>
      </w:r>
      <w:r>
        <w:rPr>
          <w:spacing w:val="-67"/>
        </w:rPr>
        <w:t> </w:t>
      </w:r>
      <w:r>
        <w:rPr>
          <w:spacing w:val="-67"/>
        </w:rPr>
      </w:r>
      <w:r>
        <w:rPr/>
        <w:t>务拓展，构建“现金安全服务</w:t>
      </w:r>
      <w:r>
        <w:rPr>
          <w:rFonts w:ascii="Times New Roman" w:hAnsi="Times New Roman" w:cs="Times New Roman" w:eastAsia="Times New Roman" w:hint="default"/>
        </w:rPr>
        <w:t>+</w:t>
      </w:r>
      <w:r>
        <w:rPr/>
        <w:t>智能安防”双核业务格局。</w:t>
      </w:r>
    </w:p>
    <w:p>
      <w:pPr>
        <w:pStyle w:val="BodyText"/>
        <w:spacing w:line="300" w:lineRule="auto" w:before="46"/>
        <w:ind w:right="1045" w:firstLine="360"/>
        <w:jc w:val="both"/>
      </w:pPr>
      <w:r>
        <w:rPr/>
        <w:t>（</w:t>
      </w:r>
      <w:r>
        <w:rPr>
          <w:rFonts w:ascii="Times New Roman" w:hAnsi="Times New Roman" w:cs="Times New Roman" w:eastAsia="Times New Roman" w:hint="default"/>
        </w:rPr>
        <w:t>3</w:t>
      </w:r>
      <w:r>
        <w:rPr/>
        <w:t>）智能交通事业群：深入挖掘传统业务机会，紧盯新增地铁城市客户以及存量市场的替换、维保项目；积极推进</w:t>
      </w:r>
      <w:r>
        <w:rPr>
          <w:rFonts w:ascii="Times New Roman" w:hAnsi="Times New Roman" w:cs="Times New Roman" w:eastAsia="Times New Roman" w:hint="default"/>
        </w:rPr>
        <w:t>AI</w:t>
      </w:r>
      <w:r>
        <w:rPr>
          <w:rFonts w:ascii="Times New Roman" w:hAnsi="Times New Roman" w:cs="Times New Roman" w:eastAsia="Times New Roman" w:hint="default"/>
          <w:spacing w:val="-3"/>
          <w:w w:val="99"/>
        </w:rPr>
        <w:t> </w:t>
      </w:r>
      <w:r>
        <w:rPr/>
        <w:t>技术在轨道交通领域应用，以“互联网</w:t>
      </w:r>
      <w:r>
        <w:rPr>
          <w:rFonts w:ascii="Times New Roman" w:hAnsi="Times New Roman" w:cs="Times New Roman" w:eastAsia="Times New Roman" w:hint="default"/>
        </w:rPr>
        <w:t>+</w:t>
      </w:r>
      <w:r>
        <w:rPr/>
        <w:t>乘客”为突破口，拓展人脸识别、智慧安检等创新业务。同时，通过投资并购手段 横向拓展轨道交通供电、通信等专业领域，</w:t>
      </w:r>
      <w:r>
        <w:rPr>
          <w:rFonts w:ascii="Times New Roman" w:hAnsi="Times New Roman" w:cs="Times New Roman" w:eastAsia="Times New Roman" w:hint="default"/>
        </w:rPr>
        <w:t>2019</w:t>
      </w:r>
      <w:r>
        <w:rPr/>
        <w:t>年至少实现一个项目落地，争取尽快将公司智能交通产业打造成</w:t>
      </w:r>
      <w:r>
        <w:rPr>
          <w:rFonts w:ascii="Times New Roman" w:hAnsi="Times New Roman" w:cs="Times New Roman" w:eastAsia="Times New Roman" w:hint="default"/>
        </w:rPr>
        <w:t>10</w:t>
      </w:r>
      <w:r>
        <w:rPr/>
        <w:t>亿规模。</w:t>
      </w:r>
    </w:p>
    <w:p>
      <w:pPr>
        <w:pStyle w:val="BodyText"/>
        <w:spacing w:line="300" w:lineRule="auto" w:before="51"/>
        <w:ind w:right="1132" w:firstLine="360"/>
        <w:jc w:val="both"/>
      </w:pPr>
      <w:r>
        <w:rPr/>
        <w:t>（</w:t>
      </w:r>
      <w:r>
        <w:rPr>
          <w:rFonts w:ascii="Times New Roman" w:hAnsi="Times New Roman" w:cs="Times New Roman" w:eastAsia="Times New Roman" w:hint="default"/>
        </w:rPr>
        <w:t>4</w:t>
      </w:r>
      <w:r>
        <w:rPr/>
        <w:t>）智能便民事业群：完善服务管理体系，持续提升服务业务核心竞争力，并利用全设备云平台拓展多品牌业务，维 </w:t>
      </w:r>
      <w:r>
        <w:rPr>
          <w:spacing w:val="-2"/>
        </w:rPr>
        <w:t>保设备总量超过</w:t>
      </w:r>
      <w:r>
        <w:rPr>
          <w:rFonts w:ascii="Times New Roman" w:hAnsi="Times New Roman" w:cs="Times New Roman" w:eastAsia="Times New Roman" w:hint="default"/>
          <w:spacing w:val="-2"/>
        </w:rPr>
        <w:t>25</w:t>
      </w:r>
      <w:r>
        <w:rPr>
          <w:spacing w:val="-2"/>
        </w:rPr>
        <w:t>万台；以平云小匠为线上维保业务平台，拓展自助设备、商业显示屏、</w:t>
      </w:r>
      <w:r>
        <w:rPr>
          <w:rFonts w:ascii="Times New Roman" w:hAnsi="Times New Roman" w:cs="Times New Roman" w:eastAsia="Times New Roman" w:hint="default"/>
          <w:spacing w:val="-2"/>
        </w:rPr>
        <w:t>IT</w:t>
      </w:r>
      <w:r>
        <w:rPr>
          <w:spacing w:val="-2"/>
        </w:rPr>
        <w:t>网络设备三大领域；加快新零售</w:t>
      </w:r>
      <w:r>
        <w:rPr>
          <w:spacing w:val="-53"/>
        </w:rPr>
        <w:t> </w:t>
      </w:r>
      <w:r>
        <w:rPr>
          <w:spacing w:val="-53"/>
        </w:rPr>
      </w:r>
      <w:r>
        <w:rPr>
          <w:spacing w:val="-5"/>
        </w:rPr>
        <w:t>业务布局，至少新部署一万台智能零售机，推进智能政务、智慧文旅等重点项目落地，扩大公司在智能便民领域品牌影响力。</w:t>
      </w:r>
    </w:p>
    <w:p>
      <w:pPr>
        <w:pStyle w:val="BodyText"/>
        <w:spacing w:line="300" w:lineRule="auto" w:before="72"/>
        <w:ind w:right="1132" w:firstLine="360"/>
        <w:jc w:val="both"/>
      </w:pPr>
      <w:r>
        <w:rPr/>
        <w:t>（</w:t>
      </w:r>
      <w:r>
        <w:rPr>
          <w:rFonts w:ascii="Times New Roman" w:hAnsi="Times New Roman" w:cs="Times New Roman" w:eastAsia="Times New Roman" w:hint="default"/>
        </w:rPr>
        <w:t>5</w:t>
      </w:r>
      <w:r>
        <w:rPr/>
        <w:t>）海外事业群：落实重点市场销售策略，狠抓创新产品及转型项目落地；持续开展本地化建设，完善墨西哥、新加 坡等子公司服务体系，以及非洲区、南美区的销售和技术支持体系；加强各分子公司基础制度体系建设，并重点推广</w:t>
      </w:r>
      <w:r>
        <w:rPr>
          <w:rFonts w:ascii="Times New Roman" w:hAnsi="Times New Roman" w:cs="Times New Roman" w:eastAsia="Times New Roman" w:hint="default"/>
        </w:rPr>
        <w:t>CRM</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系统应用。</w:t>
      </w:r>
    </w:p>
    <w:p>
      <w:pPr>
        <w:pStyle w:val="BodyText"/>
        <w:spacing w:line="240" w:lineRule="auto" w:before="72"/>
        <w:ind w:left="513" w:right="1034"/>
        <w:jc w:val="left"/>
      </w:pPr>
      <w:r>
        <w:rPr>
          <w:rFonts w:ascii="Times New Roman" w:hAnsi="Times New Roman" w:cs="Times New Roman" w:eastAsia="Times New Roman" w:hint="default"/>
        </w:rPr>
        <w:t>2</w:t>
      </w:r>
      <w:r>
        <w:rPr/>
        <w:t>、技术研发方面，重点要明确清晰的技术发展路径，加强核心技术研发，主要工作如下：</w:t>
      </w:r>
    </w:p>
    <w:p>
      <w:pPr>
        <w:pStyle w:val="BodyText"/>
        <w:spacing w:line="240" w:lineRule="auto" w:before="101"/>
        <w:ind w:left="513" w:right="1034"/>
        <w:jc w:val="left"/>
      </w:pPr>
      <w:r>
        <w:rPr/>
        <w:t>（</w:t>
      </w:r>
      <w:r>
        <w:rPr>
          <w:rFonts w:ascii="Times New Roman" w:hAnsi="Times New Roman" w:cs="Times New Roman" w:eastAsia="Times New Roman" w:hint="default"/>
        </w:rPr>
        <w:t>1</w:t>
      </w:r>
      <w:r>
        <w:rPr/>
        <w:t>）完成</w:t>
      </w:r>
      <w:r>
        <w:rPr>
          <w:rFonts w:ascii="Times New Roman" w:hAnsi="Times New Roman" w:cs="Times New Roman" w:eastAsia="Times New Roman" w:hint="default"/>
        </w:rPr>
        <w:t>AI</w:t>
      </w:r>
      <w:r>
        <w:rPr/>
        <w:t>技术平台开发，并开展生物特征识别、智能视频等核心技术攻关，产品技术性能指标赶超行业领先水平。</w:t>
      </w:r>
    </w:p>
    <w:p>
      <w:pPr>
        <w:pStyle w:val="BodyText"/>
        <w:spacing w:line="300" w:lineRule="auto" w:before="104"/>
        <w:ind w:right="1127" w:firstLine="360"/>
        <w:jc w:val="both"/>
      </w:pPr>
      <w:r>
        <w:rPr/>
        <w:t>（</w:t>
      </w:r>
      <w:r>
        <w:rPr>
          <w:rFonts w:ascii="Times New Roman" w:hAnsi="Times New Roman" w:cs="Times New Roman" w:eastAsia="Times New Roman" w:hint="default"/>
        </w:rPr>
        <w:t>2</w:t>
      </w:r>
      <w:r>
        <w:rPr/>
        <w:t>）优化</w:t>
      </w:r>
      <w:r>
        <w:rPr>
          <w:rFonts w:ascii="Times New Roman" w:hAnsi="Times New Roman" w:cs="Times New Roman" w:eastAsia="Times New Roman" w:hint="default"/>
        </w:rPr>
        <w:t>ATM/VTM/STM/</w:t>
      </w:r>
      <w:r>
        <w:rPr/>
        <w:t>清分机</w:t>
      </w:r>
      <w:r>
        <w:rPr>
          <w:rFonts w:ascii="Times New Roman" w:hAnsi="Times New Roman" w:cs="Times New Roman" w:eastAsia="Times New Roman" w:hint="default"/>
        </w:rPr>
        <w:t>/AFC</w:t>
      </w:r>
      <w:r>
        <w:rPr/>
        <w:t>等现有产品线，确保传统产品处于行业技术领先地位；紧贴市场一线，深入挖</w:t>
      </w:r>
      <w:r>
        <w:rPr>
          <w:spacing w:val="2"/>
        </w:rPr>
        <w:t> </w:t>
      </w:r>
      <w:r>
        <w:rPr/>
        <w:t>掘各业务领域自助终端产品需求，探索具有一定规模和经济效益的新产品。</w:t>
      </w:r>
    </w:p>
    <w:p>
      <w:pPr>
        <w:pStyle w:val="BodyText"/>
        <w:spacing w:line="300" w:lineRule="auto" w:before="72"/>
        <w:ind w:right="1133" w:firstLine="360"/>
        <w:jc w:val="both"/>
      </w:pPr>
      <w:r>
        <w:rPr/>
        <w:t>（</w:t>
      </w:r>
      <w:r>
        <w:rPr>
          <w:rFonts w:ascii="Times New Roman" w:hAnsi="Times New Roman" w:cs="Times New Roman" w:eastAsia="Times New Roman" w:hint="default"/>
        </w:rPr>
        <w:t>3</w:t>
      </w:r>
      <w:r>
        <w:rPr/>
        <w:t>）持续完善网点转型、平安城市、智慧安检、便民服务等业务领域的系统解决方案或应用技术平台，推动重点市场 项目落地。</w:t>
      </w:r>
    </w:p>
    <w:p>
      <w:pPr>
        <w:pStyle w:val="BodyText"/>
        <w:spacing w:line="300" w:lineRule="auto" w:before="70"/>
        <w:ind w:right="1132" w:firstLine="360"/>
        <w:jc w:val="both"/>
      </w:pPr>
      <w:r>
        <w:rPr>
          <w:rFonts w:ascii="Times New Roman" w:hAnsi="Times New Roman" w:cs="Times New Roman" w:eastAsia="Times New Roman" w:hint="default"/>
        </w:rPr>
        <w:t>3</w:t>
      </w:r>
      <w:r>
        <w:rPr/>
        <w:t>、投融资方面，围绕金融、安全、交通、便民四个领域开展产业投资并购，并启动运通购快、平云小匠、广电卓识等 自主孵化的初创企业融资计划，引入社会资本加速企业发展。</w:t>
      </w:r>
    </w:p>
    <w:p>
      <w:pPr>
        <w:pStyle w:val="BodyText"/>
        <w:spacing w:line="240" w:lineRule="auto" w:before="72"/>
        <w:ind w:left="513" w:right="1034"/>
        <w:jc w:val="left"/>
      </w:pPr>
      <w:r>
        <w:rPr>
          <w:rFonts w:ascii="Times New Roman" w:hAnsi="Times New Roman" w:cs="Times New Roman" w:eastAsia="Times New Roman" w:hint="default"/>
        </w:rPr>
        <w:t>4</w:t>
      </w:r>
      <w:r>
        <w:rPr/>
        <w:t>、经营管理方面，重点工作如下：</w:t>
      </w:r>
    </w:p>
    <w:p>
      <w:pPr>
        <w:pStyle w:val="BodyText"/>
        <w:spacing w:line="300" w:lineRule="auto" w:before="103"/>
        <w:ind w:right="1132" w:firstLine="360"/>
        <w:jc w:val="both"/>
      </w:pPr>
      <w:r>
        <w:rPr>
          <w:spacing w:val="-4"/>
        </w:rPr>
        <w:t>（</w:t>
      </w:r>
      <w:r>
        <w:rPr>
          <w:rFonts w:ascii="Times New Roman" w:hAnsi="Times New Roman" w:cs="Times New Roman" w:eastAsia="Times New Roman" w:hint="default"/>
          <w:spacing w:val="-4"/>
        </w:rPr>
        <w:t>1</w:t>
      </w:r>
      <w:r>
        <w:rPr>
          <w:spacing w:val="-4"/>
        </w:rPr>
        <w:t>）不断优化事业群管控模式，形成“服务、管理、监督、拓展”为一体的集团化管理体系，加大业务层面授权力度，</w:t>
      </w:r>
      <w:r>
        <w:rPr/>
        <w:t> 推动事业群独立运作。</w:t>
      </w:r>
    </w:p>
    <w:p>
      <w:pPr>
        <w:pStyle w:val="BodyText"/>
        <w:spacing w:line="240" w:lineRule="auto" w:before="70"/>
        <w:ind w:left="513" w:right="1034"/>
        <w:jc w:val="left"/>
      </w:pPr>
      <w:r>
        <w:rPr/>
        <w:t>（</w:t>
      </w:r>
      <w:r>
        <w:rPr>
          <w:rFonts w:ascii="Times New Roman" w:hAnsi="Times New Roman" w:cs="Times New Roman" w:eastAsia="Times New Roman" w:hint="default"/>
        </w:rPr>
        <w:t>2</w:t>
      </w:r>
      <w:r>
        <w:rPr/>
        <w:t>）以人均效能为导向，推动人工投入与业绩产出相挂钩，推进落实降本增效。</w:t>
      </w:r>
    </w:p>
    <w:p>
      <w:pPr>
        <w:pStyle w:val="BodyText"/>
        <w:spacing w:line="300" w:lineRule="auto" w:before="104"/>
        <w:ind w:right="1129" w:firstLine="360"/>
        <w:jc w:val="both"/>
      </w:pPr>
      <w:r>
        <w:rPr>
          <w:spacing w:val="-1"/>
        </w:rPr>
        <w:t>（</w:t>
      </w:r>
      <w:r>
        <w:rPr>
          <w:rFonts w:ascii="Times New Roman" w:hAnsi="Times New Roman" w:cs="Times New Roman" w:eastAsia="Times New Roman" w:hint="default"/>
          <w:spacing w:val="-1"/>
        </w:rPr>
        <w:t>3</w:t>
      </w:r>
      <w:r>
        <w:rPr>
          <w:spacing w:val="-1"/>
        </w:rPr>
        <w:t>）完善内控和风险管控体系，加强对公司及控股子</w:t>
      </w:r>
      <w:r>
        <w:rPr>
          <w:rFonts w:ascii="Times New Roman" w:hAnsi="Times New Roman" w:cs="Times New Roman" w:eastAsia="Times New Roman" w:hint="default"/>
          <w:spacing w:val="-1"/>
        </w:rPr>
        <w:t>/</w:t>
      </w:r>
      <w:r>
        <w:rPr>
          <w:spacing w:val="-1"/>
        </w:rPr>
        <w:t>孙公司的经营责任审计、经济责任审计及专项审计，确保公司经</w:t>
      </w:r>
      <w:r>
        <w:rPr/>
        <w:t> 营合法合规。</w:t>
      </w:r>
    </w:p>
    <w:p>
      <w:pPr>
        <w:pStyle w:val="BodyText"/>
        <w:spacing w:line="240" w:lineRule="auto" w:before="72"/>
        <w:ind w:left="513" w:right="1034"/>
        <w:jc w:val="left"/>
      </w:pPr>
      <w:r>
        <w:rPr/>
        <w:t>（</w:t>
      </w:r>
      <w:r>
        <w:rPr>
          <w:rFonts w:ascii="Times New Roman" w:hAnsi="Times New Roman" w:cs="Times New Roman" w:eastAsia="Times New Roman" w:hint="default"/>
        </w:rPr>
        <w:t>4</w:t>
      </w:r>
      <w:r>
        <w:rPr/>
        <w:t>）加强企业廉政建设，完善公司纪检监察体系，加大对公司领导班子、关键岗位人员的廉洁督查。</w:t>
      </w:r>
    </w:p>
    <w:p>
      <w:pPr>
        <w:pStyle w:val="Heading5"/>
        <w:spacing w:line="240" w:lineRule="auto" w:before="101"/>
        <w:ind w:left="513" w:right="1034"/>
        <w:jc w:val="left"/>
        <w:rPr>
          <w:b w:val="0"/>
          <w:bCs w:val="0"/>
        </w:rPr>
      </w:pPr>
      <w:r>
        <w:rPr/>
        <w:t>（四）资金需求及使用计划</w:t>
      </w:r>
      <w:r>
        <w:rPr>
          <w:b w:val="0"/>
          <w:bCs w:val="0"/>
        </w:rPr>
      </w:r>
    </w:p>
    <w:p>
      <w:pPr>
        <w:pStyle w:val="BodyText"/>
        <w:spacing w:line="312" w:lineRule="auto" w:before="117"/>
        <w:ind w:right="1132" w:firstLine="360"/>
        <w:jc w:val="both"/>
      </w:pPr>
      <w:r>
        <w:rPr>
          <w:rFonts w:ascii="Times New Roman" w:hAnsi="Times New Roman" w:cs="Times New Roman" w:eastAsia="Times New Roman" w:hint="default"/>
          <w:spacing w:val="-2"/>
        </w:rPr>
        <w:t>2019</w:t>
      </w:r>
      <w:r>
        <w:rPr>
          <w:spacing w:val="-2"/>
        </w:rPr>
        <w:t>年，公司将紧跟行业、技术发展大势，深入拓展生物识别、智能视频、大数据等人工智能技术应用，扎实耕耘智能</w:t>
      </w:r>
      <w:r>
        <w:rPr/>
        <w:t> </w:t>
      </w:r>
      <w:r>
        <w:rPr>
          <w:spacing w:val="-2"/>
        </w:rPr>
        <w:t>金融行业，大力开拓智能安全、智能交通、智能便民等创新领域。随着公司在人工智能应用场景开拓的不断深入，公司对于</w:t>
      </w:r>
      <w:r>
        <w:rPr>
          <w:spacing w:val="-67"/>
        </w:rPr>
        <w:t> </w:t>
      </w:r>
      <w:r>
        <w:rPr>
          <w:spacing w:val="-67"/>
        </w:rPr>
      </w:r>
      <w:r>
        <w:rPr>
          <w:spacing w:val="-2"/>
        </w:rPr>
        <w:t>资金的需求将有所增加。目前公司资产结构稳健、偿债能力较强、信贷资信良好，各种融资渠道畅通，公司及各子公司发展</w:t>
      </w:r>
      <w:r>
        <w:rPr>
          <w:spacing w:val="-67"/>
        </w:rPr>
        <w:t> </w:t>
      </w:r>
      <w:r>
        <w:rPr>
          <w:spacing w:val="-67"/>
        </w:rPr>
      </w:r>
      <w:r>
        <w:rPr/>
        <w:t>的资金来源有充足的保障。</w:t>
      </w:r>
    </w:p>
    <w:p>
      <w:pPr>
        <w:pStyle w:val="Heading5"/>
        <w:spacing w:line="240" w:lineRule="auto" w:before="63"/>
        <w:ind w:left="513" w:right="1034"/>
        <w:jc w:val="left"/>
        <w:rPr>
          <w:b w:val="0"/>
          <w:bCs w:val="0"/>
        </w:rPr>
      </w:pPr>
      <w:r>
        <w:rPr/>
        <w:t>（五）公司面临的风险及应对措施</w:t>
      </w:r>
      <w:r>
        <w:rPr>
          <w:b w:val="0"/>
          <w:bCs w:val="0"/>
        </w:rPr>
      </w:r>
    </w:p>
    <w:p>
      <w:pPr>
        <w:pStyle w:val="BodyText"/>
        <w:spacing w:line="340" w:lineRule="auto" w:before="115"/>
        <w:ind w:left="513" w:right="1034"/>
        <w:jc w:val="left"/>
      </w:pPr>
      <w:r>
        <w:rPr>
          <w:rFonts w:ascii="Times New Roman" w:hAnsi="Times New Roman" w:cs="Times New Roman" w:eastAsia="Times New Roman" w:hint="default"/>
        </w:rPr>
        <w:t>1</w:t>
      </w:r>
      <w:r>
        <w:rPr/>
        <w:t>、市场风险 </w:t>
      </w:r>
      <w:r>
        <w:rPr>
          <w:spacing w:val="-2"/>
        </w:rPr>
        <w:t>随着银行网点转型的持续推进，银行业对网点转型产品的需求不断扩大，而对传统现金设备的需求则持续缩减，传统现</w:t>
      </w:r>
    </w:p>
    <w:p>
      <w:pPr>
        <w:pStyle w:val="BodyText"/>
        <w:spacing w:line="240" w:lineRule="auto" w:before="1"/>
        <w:ind w:right="1034"/>
        <w:jc w:val="left"/>
      </w:pPr>
      <w:r>
        <w:rPr/>
        <w:t>金设备行业洗牌加速，价格持续下滑，整个行业利润持续趋窄。</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left="192" w:right="1130" w:firstLine="360"/>
        <w:jc w:val="both"/>
      </w:pPr>
      <w:r>
        <w:rPr>
          <w:spacing w:val="-2"/>
        </w:rPr>
        <w:t>为此，公司将深度拓展传统现金设备市场，巩固国内传统现金类设备市场第一的行业地位；紧跟银行需求变化，系统规</w:t>
      </w:r>
      <w:r>
        <w:rPr/>
        <w:t> </w:t>
      </w:r>
      <w:r>
        <w:rPr>
          <w:spacing w:val="-2"/>
        </w:rPr>
        <w:t>划创新产品线，提升智能金融设备市场占有率；构筑网点转型综合解决方案竞争优势，打造行业网点集成样板工程；围绕银</w:t>
      </w:r>
      <w:r>
        <w:rPr>
          <w:spacing w:val="-65"/>
        </w:rPr>
        <w:t> </w:t>
      </w:r>
      <w:r>
        <w:rPr>
          <w:spacing w:val="-65"/>
        </w:rPr>
      </w:r>
      <w:r>
        <w:rPr>
          <w:spacing w:val="-2"/>
        </w:rPr>
        <w:t>行新需求，布局与实施金库智能化改造解决方案。同时，深入拓展生物识别、智能视频、大数据等人工智能技术应用，在智</w:t>
      </w:r>
      <w:r>
        <w:rPr>
          <w:spacing w:val="-68"/>
        </w:rPr>
        <w:t> </w:t>
      </w:r>
      <w:r>
        <w:rPr>
          <w:spacing w:val="-68"/>
        </w:rPr>
      </w:r>
      <w:r>
        <w:rPr>
          <w:spacing w:val="-2"/>
        </w:rPr>
        <w:t>能金融、智能安全、智能交通、智能便民四大战略领域同步发力，利用公司原有客户、渠道、人员、技术等协同资源，围绕</w:t>
      </w:r>
      <w:r>
        <w:rPr>
          <w:spacing w:val="-65"/>
        </w:rPr>
        <w:t> </w:t>
      </w:r>
      <w:r>
        <w:rPr>
          <w:spacing w:val="-65"/>
        </w:rPr>
      </w:r>
      <w:r>
        <w:rPr/>
        <w:t>人工智能技术开展技术创新、产业升级，逐步降低现金相关业务在公司所占比例。</w:t>
      </w:r>
    </w:p>
    <w:p>
      <w:pPr>
        <w:pStyle w:val="BodyText"/>
        <w:spacing w:line="240" w:lineRule="auto" w:before="59"/>
        <w:ind w:left="553" w:right="1033"/>
        <w:jc w:val="left"/>
      </w:pPr>
      <w:r>
        <w:rPr>
          <w:rFonts w:ascii="Times New Roman" w:hAnsi="Times New Roman" w:cs="Times New Roman" w:eastAsia="Times New Roman" w:hint="default"/>
        </w:rPr>
        <w:t>2</w:t>
      </w:r>
      <w:r>
        <w:rPr/>
        <w:t>、投资风险</w:t>
      </w:r>
    </w:p>
    <w:p>
      <w:pPr>
        <w:pStyle w:val="BodyText"/>
        <w:spacing w:line="309" w:lineRule="auto" w:before="101"/>
        <w:ind w:left="192" w:right="1133" w:firstLine="360"/>
        <w:jc w:val="both"/>
      </w:pPr>
      <w:r>
        <w:rPr>
          <w:rFonts w:ascii="Times New Roman" w:hAnsi="Times New Roman" w:cs="Times New Roman" w:eastAsia="Times New Roman" w:hint="default"/>
          <w:spacing w:val="-2"/>
        </w:rPr>
        <w:t>2019</w:t>
      </w:r>
      <w:r>
        <w:rPr>
          <w:spacing w:val="-2"/>
        </w:rPr>
        <w:t>年，公司将继续加大投资并购力度，把握市场机遇，瞄准人工智能行业方向，重点把握智能金融、智能安全、智能</w:t>
      </w:r>
      <w:r>
        <w:rPr/>
        <w:t> </w:t>
      </w:r>
      <w:r>
        <w:rPr>
          <w:spacing w:val="-5"/>
        </w:rPr>
        <w:t>交通、智能便民四大战略领域并购机会，拓宽公司产业空间。公司在投资过程中将面临宏观经济波动影响、对新领域不熟悉、</w:t>
      </w:r>
      <w:r>
        <w:rPr>
          <w:spacing w:val="-78"/>
        </w:rPr>
        <w:t> </w:t>
      </w:r>
      <w:r>
        <w:rPr>
          <w:spacing w:val="-78"/>
        </w:rPr>
      </w:r>
      <w:r>
        <w:rPr/>
        <w:t>收益不及预期、未来团队整合及运营管理等风险。</w:t>
      </w:r>
    </w:p>
    <w:p>
      <w:pPr>
        <w:pStyle w:val="BodyText"/>
        <w:spacing w:line="319" w:lineRule="auto" w:before="65"/>
        <w:ind w:left="192" w:right="1133" w:firstLine="360"/>
        <w:jc w:val="both"/>
      </w:pPr>
      <w:r>
        <w:rPr>
          <w:spacing w:val="-2"/>
        </w:rPr>
        <w:t>为此，公司一方面将加强市场分析和调研，严格执行《风险投资管理制度》及对外股权投资相关制度，必要时聘请外部</w:t>
      </w:r>
      <w:r>
        <w:rPr/>
        <w:t> </w:t>
      </w:r>
      <w:r>
        <w:rPr>
          <w:spacing w:val="-2"/>
        </w:rPr>
        <w:t>具有丰富投资实战管理经验的人员为公司对外投资提供咨询服务，努力降低投资风险。另一方面，公司将最大限度保留原管</w:t>
      </w:r>
      <w:r>
        <w:rPr>
          <w:spacing w:val="-66"/>
        </w:rPr>
        <w:t> </w:t>
      </w:r>
      <w:r>
        <w:rPr>
          <w:spacing w:val="-66"/>
        </w:rPr>
      </w:r>
      <w:r>
        <w:rPr>
          <w:spacing w:val="-5"/>
        </w:rPr>
        <w:t>理团队，利用原管理团队对项目进行日常管理，并保持与当地政府、客户之间良好的关系，使投资完成后的公司能平稳过渡、</w:t>
      </w:r>
      <w:r>
        <w:rPr>
          <w:spacing w:val="-78"/>
        </w:rPr>
        <w:t> </w:t>
      </w:r>
      <w:r>
        <w:rPr>
          <w:spacing w:val="-78"/>
        </w:rPr>
      </w:r>
      <w:r>
        <w:rPr/>
        <w:t>顺利运转。</w:t>
      </w:r>
    </w:p>
    <w:p>
      <w:pPr>
        <w:pStyle w:val="BodyText"/>
        <w:spacing w:line="338" w:lineRule="auto" w:before="58"/>
        <w:ind w:left="553" w:right="1033"/>
        <w:jc w:val="left"/>
      </w:pPr>
      <w:r>
        <w:rPr>
          <w:rFonts w:ascii="Times New Roman" w:hAnsi="Times New Roman" w:cs="Times New Roman" w:eastAsia="Times New Roman" w:hint="default"/>
        </w:rPr>
        <w:t>3</w:t>
      </w:r>
      <w:r>
        <w:rPr/>
        <w:t>、经营规模迅速扩张导致的管理风险 随着公司各业务板块规模的扩大及投资并购的逐步开展，公司资产规模、经营规模、人员规模将迅速扩大，下设的分、</w:t>
      </w:r>
    </w:p>
    <w:p>
      <w:pPr>
        <w:pStyle w:val="BodyText"/>
        <w:spacing w:line="360" w:lineRule="auto" w:before="2"/>
        <w:ind w:left="553" w:right="1033" w:hanging="361"/>
        <w:jc w:val="left"/>
      </w:pPr>
      <w:r>
        <w:rPr/>
        <w:t>子、孙公司增多且分布分散，公司经营管理的复杂程度大大提高，面临着管理风险。 </w:t>
      </w:r>
      <w:r>
        <w:rPr>
          <w:spacing w:val="-2"/>
        </w:rPr>
        <w:t>为此，公司围绕集团化管理分工，细化总部服务、管理、监督、拓展职能，系统推进企管、财务、人力资源、公关、法</w:t>
      </w:r>
    </w:p>
    <w:p>
      <w:pPr>
        <w:pStyle w:val="BodyText"/>
        <w:spacing w:line="222" w:lineRule="exact"/>
        <w:ind w:left="192" w:right="0"/>
        <w:jc w:val="left"/>
      </w:pPr>
      <w:r>
        <w:rPr/>
        <w:t>务、审计、证券等各子体系建设，进一步细化和完善分、子、孙公司的经营管理体系；加强集团化财务管控，细化子公司财</w:t>
      </w:r>
    </w:p>
    <w:p>
      <w:pPr>
        <w:pStyle w:val="BodyText"/>
        <w:spacing w:line="316" w:lineRule="auto" w:before="76"/>
        <w:ind w:left="192" w:right="1129"/>
        <w:jc w:val="left"/>
      </w:pPr>
      <w:r>
        <w:rPr>
          <w:spacing w:val="-5"/>
        </w:rPr>
        <w:t>务负责人岗位职责，推进合并报表平台建设，研究建立集团资金管控中心，提升审计综合应对能力；同时加强企业文化建设，</w:t>
      </w:r>
      <w:r>
        <w:rPr>
          <w:spacing w:val="-75"/>
        </w:rPr>
        <w:t> </w:t>
      </w:r>
      <w:r>
        <w:rPr>
          <w:spacing w:val="-75"/>
        </w:rPr>
      </w:r>
      <w:r>
        <w:rPr/>
        <w:t>提高全体人员的企业认同感和归属感，努力降低管理风险。</w:t>
      </w:r>
    </w:p>
    <w:p>
      <w:pPr>
        <w:pStyle w:val="BodyText"/>
        <w:spacing w:line="338" w:lineRule="auto" w:before="60"/>
        <w:ind w:left="553" w:right="1033"/>
        <w:jc w:val="left"/>
      </w:pPr>
      <w:r>
        <w:rPr>
          <w:rFonts w:ascii="Times New Roman" w:hAnsi="Times New Roman" w:cs="Times New Roman" w:eastAsia="Times New Roman" w:hint="default"/>
        </w:rPr>
        <w:t>4</w:t>
      </w:r>
      <w:r>
        <w:rPr/>
        <w:t>、商誉减值风险 </w:t>
      </w:r>
      <w:r>
        <w:rPr>
          <w:spacing w:val="-2"/>
        </w:rPr>
        <w:t>公司在开展各类并购时多采用收益法对并购标的进行评估，由此协定的并购对价会形成较高的商誉。随着公司并购项目</w:t>
      </w:r>
    </w:p>
    <w:p>
      <w:pPr>
        <w:pStyle w:val="BodyText"/>
        <w:spacing w:line="360" w:lineRule="auto" w:before="2"/>
        <w:ind w:left="553" w:right="1033" w:hanging="361"/>
        <w:jc w:val="left"/>
      </w:pPr>
      <w:r>
        <w:rPr/>
        <w:t>的不断增多，因并购形成的商誉存在计提减值的风险。 </w:t>
      </w:r>
      <w:r>
        <w:rPr>
          <w:spacing w:val="-2"/>
        </w:rPr>
        <w:t>为此，公司一方面强化收购成本的控制，避免产生过高的商誉；一方面加强投后管理，努力提高并购效益，减轻商誉减</w:t>
      </w:r>
    </w:p>
    <w:p>
      <w:pPr>
        <w:pStyle w:val="BodyText"/>
        <w:spacing w:line="222" w:lineRule="exact"/>
        <w:ind w:left="192" w:right="1033"/>
        <w:jc w:val="left"/>
      </w:pPr>
      <w:r>
        <w:rPr/>
        <w:t>值压力。</w:t>
      </w:r>
    </w:p>
    <w:p>
      <w:pPr>
        <w:pStyle w:val="BodyText"/>
        <w:spacing w:line="338" w:lineRule="auto" w:before="117"/>
        <w:ind w:left="553" w:right="1118"/>
        <w:jc w:val="left"/>
      </w:pPr>
      <w:r>
        <w:rPr>
          <w:rFonts w:ascii="Times New Roman" w:hAnsi="Times New Roman" w:cs="Times New Roman" w:eastAsia="Times New Roman" w:hint="default"/>
        </w:rPr>
        <w:t>5</w:t>
      </w:r>
      <w:r>
        <w:rPr/>
        <w:t>、汇率波动风险 </w:t>
      </w:r>
      <w:r>
        <w:rPr>
          <w:spacing w:val="-5"/>
        </w:rPr>
        <w:t>公司国际业务主要以美元、欧元、土耳其里拉等外币进行结算，随着公司国际业务的不断拓展，当汇率出现较大波动时，</w:t>
      </w:r>
    </w:p>
    <w:p>
      <w:pPr>
        <w:pStyle w:val="BodyText"/>
        <w:spacing w:line="360" w:lineRule="auto" w:before="2"/>
        <w:ind w:left="553" w:right="1033" w:hanging="361"/>
        <w:jc w:val="left"/>
      </w:pPr>
      <w:r>
        <w:rPr/>
        <w:t>公司可能存在较大的汇率风险。 为此，公司制定了《外汇套期保值业务管理制度》，计划开展外汇套期保值业务，以降低汇率波动对公司利润的影响，</w:t>
      </w:r>
    </w:p>
    <w:p>
      <w:pPr>
        <w:pStyle w:val="BodyText"/>
        <w:spacing w:line="222" w:lineRule="exact"/>
        <w:ind w:left="192" w:right="1033"/>
        <w:jc w:val="left"/>
      </w:pPr>
      <w:r>
        <w:rPr/>
        <w:t>有效防范和控制外币汇率风险。</w:t>
      </w:r>
    </w:p>
    <w:p>
      <w:pPr>
        <w:spacing w:line="240" w:lineRule="auto" w:before="4"/>
        <w:rPr>
          <w:rFonts w:ascii="宋体" w:hAnsi="宋体" w:cs="宋体" w:eastAsia="宋体" w:hint="default"/>
          <w:sz w:val="25"/>
          <w:szCs w:val="25"/>
        </w:rPr>
      </w:pPr>
    </w:p>
    <w:p>
      <w:pPr>
        <w:pStyle w:val="Heading2"/>
        <w:spacing w:line="240" w:lineRule="auto"/>
        <w:ind w:left="192" w:right="1033"/>
        <w:jc w:val="left"/>
        <w:rPr>
          <w:b w:val="0"/>
          <w:bCs w:val="0"/>
        </w:rPr>
      </w:pPr>
      <w:r>
        <w:rPr/>
        <w:t>十、接待调研、沟通、采访等活动</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left="192" w:right="1033"/>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92"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before="44"/>
        <w:ind w:left="0" w:right="996"/>
        <w:jc w:val="right"/>
      </w:pPr>
      <w:r>
        <w:rPr/>
        <w:pict>
          <v:shape style="position:absolute;margin-left:52.799999pt;margin-top:-36.428322pt;width:489.85pt;height:76.4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9"/>
                    <w:gridCol w:w="850"/>
                    <w:gridCol w:w="709"/>
                    <w:gridCol w:w="6805"/>
                  </w:tblGrid>
                  <w:tr>
                    <w:trPr>
                      <w:trHeight w:val="714"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9" w:right="77"/>
                          <w:jc w:val="left"/>
                          <w:rPr>
                            <w:rFonts w:ascii="宋体" w:hAnsi="宋体" w:cs="宋体" w:eastAsia="宋体" w:hint="default"/>
                            <w:sz w:val="18"/>
                            <w:szCs w:val="18"/>
                          </w:rPr>
                        </w:pPr>
                        <w:r>
                          <w:rPr>
                            <w:rFonts w:ascii="宋体" w:hAnsi="宋体" w:cs="宋体" w:eastAsia="宋体" w:hint="default"/>
                            <w:sz w:val="18"/>
                            <w:szCs w:val="18"/>
                          </w:rPr>
                          <w:t>接待对 象类型</w:t>
                        </w:r>
                      </w:p>
                    </w:tc>
                    <w:tc>
                      <w:tcPr>
                        <w:tcW w:w="6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51"/>
                            <w:sz w:val="18"/>
                            <w:szCs w:val="18"/>
                          </w:rPr>
                          <w:t> </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《广电运通：</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日投资者关系活动记录表</w:t>
                        </w:r>
                      </w:p>
                    </w:tc>
                  </w:tr>
                  <w:tr>
                    <w:trPr>
                      <w:trHeight w:val="40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51"/>
                            <w:sz w:val="18"/>
                            <w:szCs w:val="18"/>
                          </w:rPr>
                          <w:t> </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《广电运通：</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日投资者关系活动记录表</w:t>
                        </w:r>
                      </w:p>
                    </w:tc>
                  </w:tr>
                </w:tbl>
                <w:p>
                  <w:pPr/>
                </w:p>
              </w:txbxContent>
            </v:textbox>
            <w10:wrap type="none"/>
          </v:shape>
        </w:pict>
      </w:r>
      <w:r>
        <w:rPr/>
        <w:t>》</w:t>
      </w:r>
    </w:p>
    <w:p>
      <w:pPr>
        <w:spacing w:line="240" w:lineRule="auto" w:before="6"/>
        <w:rPr>
          <w:rFonts w:ascii="宋体" w:hAnsi="宋体" w:cs="宋体" w:eastAsia="宋体" w:hint="default"/>
          <w:sz w:val="9"/>
          <w:szCs w:val="9"/>
        </w:rPr>
      </w:pPr>
    </w:p>
    <w:p>
      <w:pPr>
        <w:pStyle w:val="BodyText"/>
        <w:spacing w:line="240" w:lineRule="auto" w:before="44"/>
        <w:ind w:left="0" w:right="997"/>
        <w:jc w:val="right"/>
      </w:pPr>
      <w:r>
        <w:rPr/>
        <w:t>》</w:t>
      </w:r>
    </w:p>
    <w:p>
      <w:pPr>
        <w:spacing w:after="0" w:line="240" w:lineRule="auto"/>
        <w:jc w:val="right"/>
        <w:sectPr>
          <w:pgSz w:w="11910" w:h="16840"/>
          <w:pgMar w:header="877" w:footer="979" w:top="1100" w:bottom="1160" w:left="940" w:right="0"/>
        </w:sectPr>
      </w:pPr>
    </w:p>
    <w:p>
      <w:pPr>
        <w:spacing w:line="240" w:lineRule="auto" w:before="9"/>
        <w:rPr>
          <w:rFonts w:ascii="宋体" w:hAnsi="宋体" w:cs="宋体" w:eastAsia="宋体" w:hint="default"/>
          <w:sz w:val="25"/>
          <w:szCs w:val="25"/>
        </w:rPr>
      </w:pPr>
    </w:p>
    <w:p>
      <w:pPr>
        <w:pStyle w:val="BodyText"/>
        <w:spacing w:line="240" w:lineRule="auto" w:before="44"/>
        <w:ind w:left="0" w:right="996"/>
        <w:jc w:val="right"/>
      </w:pPr>
      <w:r>
        <w:rPr/>
        <w:pict>
          <v:shape style="position:absolute;margin-left:52.799999pt;margin-top:-.748259pt;width:489.85pt;height:40.7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9"/>
                    <w:gridCol w:w="850"/>
                    <w:gridCol w:w="709"/>
                    <w:gridCol w:w="6805"/>
                  </w:tblGrid>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51"/>
                            <w:sz w:val="18"/>
                            <w:szCs w:val="18"/>
                          </w:rPr>
                          <w:t> </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《广电运通：</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日投资者关系活动记录表</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9"/>
                            <w:sz w:val="18"/>
                            <w:szCs w:val="18"/>
                          </w:rPr>
                          <w:t> </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《广电运通：</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日投资者关系活动记录表》</w:t>
                        </w:r>
                      </w:p>
                    </w:tc>
                  </w:tr>
                </w:tbl>
                <w:p>
                  <w:pPr/>
                </w:p>
              </w:txbxContent>
            </v:textbox>
            <w10:wrap type="none"/>
          </v:shape>
        </w:pict>
      </w:r>
      <w:r>
        <w:rPr/>
        <w:t>》</w:t>
      </w:r>
    </w:p>
    <w:p>
      <w:pPr>
        <w:spacing w:after="0" w:line="240" w:lineRule="auto"/>
        <w:jc w:val="right"/>
        <w:sectPr>
          <w:pgSz w:w="11910" w:h="16840"/>
          <w:pgMar w:header="877" w:footer="979" w:top="1100" w:bottom="1160" w:left="94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976"/>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报告期内普通股利润分配政策，特别是现金分红政策的制定、执行或调整情况</w:t>
      </w:r>
    </w:p>
    <w:p>
      <w:pPr>
        <w:pStyle w:val="BodyText"/>
        <w:spacing w:line="338" w:lineRule="auto" w:before="117"/>
        <w:ind w:left="513" w:right="1034"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为建立和健全公司科学、持续、稳定的分红决策和监督机制，积极回报投资者，引导投资者树立长期投资和理性投资理</w:t>
      </w:r>
    </w:p>
    <w:p>
      <w:pPr>
        <w:pStyle w:val="BodyText"/>
        <w:spacing w:line="240" w:lineRule="auto" w:before="2"/>
        <w:ind w:right="0"/>
        <w:jc w:val="both"/>
      </w:pPr>
      <w:r>
        <w:rPr/>
        <w:t>念，董事会综合公司盈利能力、经营发展规划、股东回报、资金成本以及外部融资环境等因素，根据《公司法》《证券法》</w:t>
      </w:r>
    </w:p>
    <w:p>
      <w:pPr>
        <w:pStyle w:val="BodyText"/>
        <w:spacing w:line="300" w:lineRule="auto" w:before="77"/>
        <w:ind w:right="1130"/>
        <w:jc w:val="both"/>
      </w:pPr>
      <w:r>
        <w:rPr/>
        <w:t>《上市公司章程指引》《关于进一步落实上市公司现金分红有关事项的通知》《上市公司监管指引第</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上市公司现金</w:t>
      </w:r>
      <w:r>
        <w:rPr>
          <w:spacing w:val="-87"/>
        </w:rPr>
        <w:t> </w:t>
      </w:r>
      <w:r>
        <w:rPr>
          <w:spacing w:val="-6"/>
        </w:rPr>
        <w:t>分红》等法律、法规、规章及《公司章程》的要求，公司制定了《广州广电运通金融电子股份有限公司未来三年（</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-2020</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年）股东回报规划》，并经公司第五届董事会第四次会议审议通过。</w:t>
      </w:r>
    </w:p>
    <w:p>
      <w:pPr>
        <w:spacing w:line="240" w:lineRule="auto" w:before="12"/>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6641"/>
        <w:gridCol w:w="2918"/>
      </w:tblGrid>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1"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319" w:lineRule="auto" w:before="49"/>
        <w:ind w:left="513" w:right="1348" w:hanging="361"/>
        <w:jc w:val="left"/>
      </w:pPr>
      <w:r>
        <w:rPr/>
        <w:t>公司近</w:t>
      </w:r>
      <w:r>
        <w:rPr>
          <w:spacing w:val="-45"/>
        </w:rPr>
        <w:t> </w:t>
      </w:r>
      <w:r>
        <w:rPr>
          <w:rFonts w:ascii="Times New Roman" w:hAnsi="Times New Roman" w:cs="Times New Roman" w:eastAsia="Times New Roman" w:hint="default"/>
        </w:rPr>
        <w:t>3 </w:t>
      </w:r>
      <w:r>
        <w:rPr/>
        <w:t>年（包括本报告期）的普通股股利分配方案（预案）、资本公积金转增股本方案（预案）情况 </w:t>
      </w: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2016</w:t>
      </w:r>
      <w:r>
        <w:rPr/>
        <w:t>年利润分配方案 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1,619,257,150</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w:t>
      </w:r>
      <w:r>
        <w:rPr/>
        <w:t>元（含税），共计分配利润</w:t>
      </w:r>
    </w:p>
    <w:p>
      <w:pPr>
        <w:pStyle w:val="BodyText"/>
        <w:spacing w:line="300" w:lineRule="auto"/>
        <w:ind w:right="1034"/>
        <w:jc w:val="left"/>
      </w:pPr>
      <w:r>
        <w:rPr>
          <w:rFonts w:ascii="Times New Roman" w:hAnsi="Times New Roman" w:cs="Times New Roman" w:eastAsia="Times New Roman" w:hint="default"/>
          <w:spacing w:val="-1"/>
        </w:rPr>
        <w:t>161,925,715</w:t>
      </w:r>
      <w:r>
        <w:rPr>
          <w:spacing w:val="-1"/>
        </w:rPr>
        <w:t>元，剩余未分配利润</w:t>
      </w:r>
      <w:r>
        <w:rPr>
          <w:rFonts w:ascii="Times New Roman" w:hAnsi="Times New Roman" w:cs="Times New Roman" w:eastAsia="Times New Roman" w:hint="default"/>
          <w:spacing w:val="-1"/>
        </w:rPr>
        <w:t>2,294,939,287.32</w:t>
      </w:r>
      <w:r>
        <w:rPr>
          <w:spacing w:val="-1"/>
        </w:rPr>
        <w:t>元结转至下一年度。同时，以</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日公司总股本</w:t>
      </w:r>
      <w:r>
        <w:rPr>
          <w:rFonts w:ascii="Times New Roman" w:hAnsi="Times New Roman" w:cs="Times New Roman" w:eastAsia="Times New Roman" w:hint="default"/>
          <w:spacing w:val="-1"/>
        </w:rPr>
        <w:t>1,619,257,150</w:t>
      </w:r>
      <w:r>
        <w:rPr>
          <w:spacing w:val="-1"/>
        </w:rPr>
        <w:t>股为</w:t>
      </w:r>
      <w:r>
        <w:rPr>
          <w:spacing w:val="-71"/>
        </w:rPr>
        <w:t> </w:t>
      </w:r>
      <w:r>
        <w:rPr/>
        <w:t>基数，以资本公积金转增股本，向全体股东每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股，合计转增</w:t>
      </w:r>
      <w:r>
        <w:rPr>
          <w:rFonts w:ascii="Times New Roman" w:hAnsi="Times New Roman" w:cs="Times New Roman" w:eastAsia="Times New Roman" w:hint="default"/>
        </w:rPr>
        <w:t>809,628,575</w:t>
      </w:r>
      <w:r>
        <w:rPr/>
        <w:t>股，转增后股本为</w:t>
      </w:r>
      <w:r>
        <w:rPr>
          <w:rFonts w:ascii="Times New Roman" w:hAnsi="Times New Roman" w:cs="Times New Roman" w:eastAsia="Times New Roman" w:hint="default"/>
        </w:rPr>
        <w:t>2,428,885,725</w:t>
      </w:r>
      <w:r>
        <w:rPr/>
        <w:t>股。</w:t>
      </w:r>
    </w:p>
    <w:p>
      <w:pPr>
        <w:pStyle w:val="BodyText"/>
        <w:spacing w:line="300" w:lineRule="auto" w:before="13"/>
        <w:ind w:left="513" w:right="1168"/>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2017</w:t>
      </w:r>
      <w:r>
        <w:rPr/>
        <w:t>年利润分配方案 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2,428,885,725</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2</w:t>
      </w:r>
      <w:r>
        <w:rPr/>
        <w:t>元（含税），共计派发现金红</w:t>
      </w:r>
    </w:p>
    <w:p>
      <w:pPr>
        <w:pStyle w:val="BodyText"/>
        <w:spacing w:line="300" w:lineRule="auto" w:before="13"/>
        <w:ind w:left="513" w:right="1529" w:hanging="361"/>
        <w:jc w:val="left"/>
      </w:pPr>
      <w:r>
        <w:rPr/>
        <w:t>利</w:t>
      </w:r>
      <w:r>
        <w:rPr>
          <w:rFonts w:ascii="Times New Roman" w:hAnsi="Times New Roman" w:cs="Times New Roman" w:eastAsia="Times New Roman" w:hint="default"/>
        </w:rPr>
        <w:t>485,777,145.00</w:t>
      </w:r>
      <w:r>
        <w:rPr/>
        <w:t>元，剩余未分配利润</w:t>
      </w:r>
      <w:r>
        <w:rPr>
          <w:rFonts w:ascii="Times New Roman" w:hAnsi="Times New Roman" w:cs="Times New Roman" w:eastAsia="Times New Roman" w:hint="default"/>
        </w:rPr>
        <w:t>2,494,925,484.01</w:t>
      </w:r>
      <w:r>
        <w:rPr/>
        <w:t>元结转至下一年度。</w:t>
      </w:r>
      <w:r>
        <w:rPr>
          <w:rFonts w:ascii="Times New Roman" w:hAnsi="Times New Roman" w:cs="Times New Roman" w:eastAsia="Times New Roman" w:hint="default"/>
        </w:rPr>
        <w:t>2017</w:t>
      </w:r>
      <w:r>
        <w:rPr/>
        <w:t>年度，公司不进行资本公积转增股本。 </w:t>
      </w: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2018</w:t>
      </w:r>
      <w:r>
        <w:rPr/>
        <w:t>年利润分配预案 以目前公司总股本</w:t>
      </w:r>
      <w:r>
        <w:rPr>
          <w:rFonts w:ascii="Times New Roman" w:hAnsi="Times New Roman" w:cs="Times New Roman" w:eastAsia="Times New Roman" w:hint="default"/>
        </w:rPr>
        <w:t>2,408,993,951</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1.20</w:t>
      </w:r>
      <w:r>
        <w:rPr/>
        <w:t>元（含税），共计派发现金红利</w:t>
      </w:r>
    </w:p>
    <w:p>
      <w:pPr>
        <w:pStyle w:val="BodyText"/>
        <w:spacing w:line="340" w:lineRule="auto" w:before="13"/>
        <w:ind w:right="1709"/>
        <w:jc w:val="left"/>
      </w:pPr>
      <w:r>
        <w:rPr>
          <w:rFonts w:ascii="Times New Roman" w:hAnsi="Times New Roman" w:cs="Times New Roman" w:eastAsia="Times New Roman" w:hint="default"/>
        </w:rPr>
        <w:t>289,079,274.12</w:t>
      </w:r>
      <w:r>
        <w:rPr/>
        <w:t>元，剩余未分配利润</w:t>
      </w:r>
      <w:r>
        <w:rPr>
          <w:rFonts w:ascii="Times New Roman" w:hAnsi="Times New Roman" w:cs="Times New Roman" w:eastAsia="Times New Roman" w:hint="default"/>
        </w:rPr>
        <w:t>2,327,473,108.95</w:t>
      </w:r>
      <w:r>
        <w:rPr/>
        <w:t>元结转至下一年度。</w:t>
      </w:r>
      <w:r>
        <w:rPr>
          <w:rFonts w:ascii="Times New Roman" w:hAnsi="Times New Roman" w:cs="Times New Roman" w:eastAsia="Times New Roman" w:hint="default"/>
        </w:rPr>
        <w:t>2018</w:t>
      </w:r>
      <w:r>
        <w:rPr/>
        <w:t>年度，公司不进行资本公积转增股本。 公司近三年（包括本报告期）普通股现金分红情况表</w:t>
      </w:r>
    </w:p>
    <w:p>
      <w:pPr>
        <w:pStyle w:val="BodyText"/>
        <w:spacing w:line="240" w:lineRule="auto" w:before="39"/>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5"/>
        <w:gridCol w:w="1196"/>
        <w:gridCol w:w="1198"/>
      </w:tblGrid>
      <w:tr>
        <w:trPr>
          <w:trHeight w:val="2276"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2" w:right="5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2" w:right="140"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bl>
    <w:p>
      <w:pPr>
        <w:spacing w:after="0" w:line="316"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5"/>
        <w:gridCol w:w="1196"/>
        <w:gridCol w:w="1198"/>
      </w:tblGrid>
      <w:tr>
        <w:trPr>
          <w:trHeight w:val="401"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289,079,274.12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670,297,043.52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43.13%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112,992,948.02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402,072,222.14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59.98%</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485,777,145.00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899,485,037.43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54.01%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161,925,715.00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843,972,144.65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19.19%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034"/>
        <w:jc w:val="left"/>
      </w:pPr>
      <w:r>
        <w:rPr/>
        <w:t>公司报告期内盈利且母公司可供普通股股东分配利润为正但未提出普通股现金红利分配预案</w:t>
      </w:r>
    </w:p>
    <w:p>
      <w:pPr>
        <w:pStyle w:val="BodyText"/>
        <w:spacing w:line="240" w:lineRule="auto" w:before="115"/>
        <w:ind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034"/>
        <w:jc w:val="left"/>
        <w:rPr>
          <w:b w:val="0"/>
          <w:bCs w:val="0"/>
        </w:rPr>
      </w:pPr>
      <w:r>
        <w:rPr/>
        <w:t>二、本报告期利润分配及资本公积金转增股本预案</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785"/>
        <w:gridCol w:w="5786"/>
      </w:tblGrid>
      <w:tr>
        <w:trPr>
          <w:trHeight w:val="404" w:hRule="exact"/>
        </w:trPr>
        <w:tc>
          <w:tcPr>
            <w:tcW w:w="3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w:t>
            </w:r>
          </w:p>
        </w:tc>
      </w:tr>
      <w:tr>
        <w:trPr>
          <w:trHeight w:val="403" w:hRule="exact"/>
        </w:trPr>
        <w:tc>
          <w:tcPr>
            <w:tcW w:w="3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2,408,993,951</w:t>
            </w:r>
          </w:p>
        </w:tc>
      </w:tr>
      <w:tr>
        <w:trPr>
          <w:trHeight w:val="403" w:hRule="exact"/>
        </w:trPr>
        <w:tc>
          <w:tcPr>
            <w:tcW w:w="3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289,079,274.12</w:t>
            </w:r>
          </w:p>
        </w:tc>
      </w:tr>
      <w:tr>
        <w:trPr>
          <w:trHeight w:val="401" w:hRule="exact"/>
        </w:trPr>
        <w:tc>
          <w:tcPr>
            <w:tcW w:w="378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42"/>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786" w:type="dxa"/>
            <w:tcBorders>
              <w:top w:val="single" w:sz="4" w:space="0" w:color="000000"/>
              <w:left w:val="single" w:sz="2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112,992,948.02</w:t>
            </w:r>
          </w:p>
        </w:tc>
      </w:tr>
      <w:tr>
        <w:trPr>
          <w:trHeight w:val="403" w:hRule="exact"/>
        </w:trPr>
        <w:tc>
          <w:tcPr>
            <w:tcW w:w="3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现金分红总额（含其他方式）（元）</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402,072,222.14</w:t>
            </w:r>
          </w:p>
        </w:tc>
      </w:tr>
      <w:tr>
        <w:trPr>
          <w:trHeight w:val="401" w:hRule="exact"/>
        </w:trPr>
        <w:tc>
          <w:tcPr>
            <w:tcW w:w="3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2,616,552,383.07</w:t>
            </w:r>
          </w:p>
        </w:tc>
      </w:tr>
      <w:tr>
        <w:trPr>
          <w:trHeight w:val="404" w:hRule="exact"/>
        </w:trPr>
        <w:tc>
          <w:tcPr>
            <w:tcW w:w="3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667"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firstLine="360"/>
              <w:jc w:val="both"/>
              <w:rPr>
                <w:rFonts w:ascii="宋体" w:hAnsi="宋体" w:cs="宋体" w:eastAsia="宋体" w:hint="default"/>
                <w:sz w:val="18"/>
                <w:szCs w:val="18"/>
              </w:rPr>
            </w:pPr>
            <w:r>
              <w:rPr>
                <w:rFonts w:ascii="宋体" w:hAnsi="宋体" w:cs="宋体" w:eastAsia="宋体" w:hint="default"/>
                <w:sz w:val="18"/>
                <w:szCs w:val="18"/>
              </w:rPr>
              <w:t>经立信会计师事务所（特殊普通合伙）审计确认，公司（母公司）</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年度实现净利润</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135,140,998.96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元。依照《公 </w:t>
            </w:r>
            <w:r>
              <w:rPr>
                <w:rFonts w:ascii="宋体" w:hAnsi="宋体" w:cs="宋体" w:eastAsia="宋体" w:hint="default"/>
                <w:spacing w:val="-5"/>
                <w:sz w:val="18"/>
                <w:szCs w:val="18"/>
              </w:rPr>
              <w:t>司法》和《公司章程》的规定，提取法定盈余公积金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13,514,099.90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元后，公司可供股东分配利润为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2,616,552,383.07</w:t>
            </w:r>
            <w:r>
              <w:rPr>
                <w:rFonts w:ascii="Times New Roman" w:hAnsi="Times New Roman" w:cs="Times New Roman" w:eastAsia="Times New Roman" w:hint="default"/>
                <w:spacing w:val="5"/>
                <w:sz w:val="18"/>
                <w:szCs w:val="18"/>
              </w:rPr>
              <w:t> </w:t>
            </w:r>
            <w:r>
              <w:rPr>
                <w:rFonts w:ascii="宋体" w:hAnsi="宋体" w:cs="宋体" w:eastAsia="宋体" w:hint="default"/>
                <w:spacing w:val="-10"/>
                <w:sz w:val="18"/>
                <w:szCs w:val="18"/>
              </w:rPr>
              <w:t>元（含</w:t>
            </w:r>
            <w:r>
              <w:rPr>
                <w:rFonts w:ascii="宋体" w:hAnsi="宋体" w:cs="宋体" w:eastAsia="宋体" w:hint="default"/>
                <w:sz w:val="18"/>
                <w:szCs w:val="18"/>
              </w:rPr>
              <w:t> 以前年度未分配利润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2,494,925,484.01 </w:t>
            </w:r>
            <w:r>
              <w:rPr>
                <w:rFonts w:ascii="宋体" w:hAnsi="宋体" w:cs="宋体" w:eastAsia="宋体" w:hint="default"/>
                <w:sz w:val="18"/>
                <w:szCs w:val="18"/>
              </w:rPr>
              <w:t>元）。</w:t>
            </w:r>
          </w:p>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鉴于公司已于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日在中国证券登记结算有限责任公司深圳分公司办理完毕</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19,891,774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股回购股份注销手</w:t>
            </w:r>
          </w:p>
          <w:p>
            <w:pPr>
              <w:pStyle w:val="TableParagraph"/>
              <w:spacing w:line="300" w:lineRule="auto" w:before="63"/>
              <w:ind w:left="24" w:right="35"/>
              <w:jc w:val="left"/>
              <w:rPr>
                <w:rFonts w:ascii="宋体" w:hAnsi="宋体" w:cs="宋体" w:eastAsia="宋体" w:hint="default"/>
                <w:sz w:val="18"/>
                <w:szCs w:val="18"/>
              </w:rPr>
            </w:pPr>
            <w:r>
              <w:rPr>
                <w:rFonts w:ascii="宋体" w:hAnsi="宋体" w:cs="宋体" w:eastAsia="宋体" w:hint="default"/>
                <w:sz w:val="18"/>
                <w:szCs w:val="18"/>
              </w:rPr>
              <w:t>续，注销后公司总股本由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2,428,885,725 </w:t>
            </w:r>
            <w:r>
              <w:rPr>
                <w:rFonts w:ascii="宋体" w:hAnsi="宋体" w:cs="宋体" w:eastAsia="宋体" w:hint="default"/>
                <w:sz w:val="18"/>
                <w:szCs w:val="18"/>
              </w:rPr>
              <w:t>股减少至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2,408,993,951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股。根据公司利润实现情况和公司发展需要，</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 司利润分配预案为：</w:t>
            </w:r>
          </w:p>
          <w:p>
            <w:pPr>
              <w:pStyle w:val="TableParagraph"/>
              <w:spacing w:line="240" w:lineRule="auto" w:before="70"/>
              <w:ind w:left="384" w:right="0"/>
              <w:jc w:val="left"/>
              <w:rPr>
                <w:rFonts w:ascii="宋体" w:hAnsi="宋体" w:cs="宋体" w:eastAsia="宋体" w:hint="default"/>
                <w:sz w:val="18"/>
                <w:szCs w:val="18"/>
              </w:rPr>
            </w:pPr>
            <w:r>
              <w:rPr>
                <w:rFonts w:ascii="宋体" w:hAnsi="宋体" w:cs="宋体" w:eastAsia="宋体" w:hint="default"/>
                <w:sz w:val="18"/>
                <w:szCs w:val="18"/>
              </w:rPr>
              <w:t>以目前公司总股本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2,408,993,951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股派发现金红利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1.20 </w:t>
            </w:r>
            <w:r>
              <w:rPr>
                <w:rFonts w:ascii="宋体" w:hAnsi="宋体" w:cs="宋体" w:eastAsia="宋体" w:hint="default"/>
                <w:sz w:val="18"/>
                <w:szCs w:val="18"/>
              </w:rPr>
              <w:t>元（含税），共计派发现金红利</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289,079,274.12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元，剩余未分配利润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2,327,473,108.95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元结转至下一年度。</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年度，公司不进行资本公积转增股本。</w:t>
            </w:r>
          </w:p>
        </w:tc>
      </w:tr>
    </w:tbl>
    <w:p>
      <w:pPr>
        <w:spacing w:line="240" w:lineRule="auto" w:before="1"/>
        <w:rPr>
          <w:rFonts w:ascii="宋体" w:hAnsi="宋体" w:cs="宋体" w:eastAsia="宋体" w:hint="default"/>
          <w:sz w:val="18"/>
          <w:szCs w:val="18"/>
        </w:rPr>
      </w:pPr>
    </w:p>
    <w:p>
      <w:pPr>
        <w:pStyle w:val="Heading2"/>
        <w:spacing w:line="240" w:lineRule="auto" w:before="26"/>
        <w:ind w:right="1034"/>
        <w:jc w:val="left"/>
        <w:rPr>
          <w:b w:val="0"/>
          <w:bCs w:val="0"/>
        </w:rPr>
      </w:pPr>
      <w:r>
        <w:rPr/>
        <w:t>三、承诺事项履行情况</w:t>
      </w:r>
      <w:r>
        <w:rPr>
          <w:b w:val="0"/>
          <w:bCs w:val="0"/>
        </w:rPr>
      </w:r>
    </w:p>
    <w:p>
      <w:pPr>
        <w:spacing w:line="240" w:lineRule="auto" w:before="6"/>
        <w:rPr>
          <w:rFonts w:ascii="宋体" w:hAnsi="宋体" w:cs="宋体" w:eastAsia="宋体" w:hint="default"/>
          <w:b/>
          <w:bCs/>
          <w:sz w:val="25"/>
          <w:szCs w:val="25"/>
        </w:rPr>
      </w:pPr>
    </w:p>
    <w:p>
      <w:pPr>
        <w:pStyle w:val="Heading4"/>
        <w:spacing w:line="271" w:lineRule="auto"/>
        <w:ind w:right="1034"/>
        <w:jc w:val="left"/>
        <w:rPr>
          <w:b w:val="0"/>
          <w:bCs w:val="0"/>
        </w:rPr>
      </w:pPr>
      <w:r>
        <w:rPr>
          <w:rFonts w:ascii="Times New Roman" w:hAnsi="Times New Roman" w:cs="Times New Roman" w:eastAsia="Times New Roman" w:hint="default"/>
          <w:spacing w:val="-1"/>
          <w:w w:val="95"/>
        </w:rPr>
        <w:t>1</w:t>
      </w:r>
      <w:r>
        <w:rPr>
          <w:spacing w:val="-1"/>
          <w:w w:val="95"/>
        </w:rPr>
        <w:t>、公司实际控制人、股东、关联方、收购人以及公司等承诺相关方在报告期内履行完毕及截至报告期末尚未履</w:t>
      </w:r>
      <w:r>
        <w:rPr>
          <w:spacing w:val="43"/>
          <w:w w:val="95"/>
        </w:rPr>
        <w:t> </w:t>
      </w:r>
      <w:r>
        <w:rPr>
          <w:spacing w:val="43"/>
          <w:w w:val="95"/>
        </w:rPr>
      </w:r>
      <w:r>
        <w:rPr/>
        <w:t>行完毕的承诺事项</w:t>
      </w:r>
      <w:r>
        <w:rPr>
          <w:b w:val="0"/>
          <w:bCs w:val="0"/>
        </w:rPr>
      </w:r>
    </w:p>
    <w:p>
      <w:pPr>
        <w:spacing w:line="240" w:lineRule="auto" w:before="0"/>
        <w:rPr>
          <w:rFonts w:ascii="宋体" w:hAnsi="宋体" w:cs="宋体" w:eastAsia="宋体" w:hint="default"/>
          <w:b/>
          <w:bCs/>
          <w:sz w:val="26"/>
          <w:szCs w:val="26"/>
        </w:rPr>
      </w:pPr>
    </w:p>
    <w:p>
      <w:pPr>
        <w:pStyle w:val="BodyText"/>
        <w:spacing w:line="240" w:lineRule="auto"/>
        <w:ind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01"/>
        <w:gridCol w:w="1419"/>
        <w:gridCol w:w="708"/>
        <w:gridCol w:w="3404"/>
        <w:gridCol w:w="425"/>
        <w:gridCol w:w="425"/>
        <w:gridCol w:w="1486"/>
      </w:tblGrid>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59" w:right="77" w:hanging="180"/>
              <w:jc w:val="left"/>
              <w:rPr>
                <w:rFonts w:ascii="宋体" w:hAnsi="宋体" w:cs="宋体" w:eastAsia="宋体" w:hint="default"/>
                <w:sz w:val="18"/>
                <w:szCs w:val="18"/>
              </w:rPr>
            </w:pPr>
            <w:r>
              <w:rPr>
                <w:rFonts w:ascii="宋体" w:hAnsi="宋体" w:cs="宋体" w:eastAsia="宋体" w:hint="default"/>
                <w:sz w:val="18"/>
                <w:szCs w:val="18"/>
              </w:rPr>
              <w:t>承诺类 型</w:t>
            </w:r>
          </w:p>
        </w:tc>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 w:right="24"/>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 w:right="26"/>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履行情况</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418.51001pt;margin-top:493.515991pt;width:20.8pt;height:80.1pt;mso-position-horizontal-relative:page;mso-position-vertical-relative:page;z-index:-1290064" coordorigin="8370,9870" coordsize="416,1602">
            <v:shape style="position:absolute;left:8370;top:9870;width:416;height:1602" coordorigin="8370,9870" coordsize="416,1602" path="m8370,11472l8785,11472,8785,9870,8370,9870,8370,11472xe" filled="true" fillcolor="#ffffff" stroked="false">
              <v:path arrowok="t"/>
              <v:fill type="solid"/>
            </v:shape>
            <w10:wrap type="none"/>
          </v:group>
        </w:pict>
      </w:r>
      <w:r>
        <w:rPr/>
        <w:pict>
          <v:group style="position:absolute;margin-left:419.709991pt;margin-top:413.589996pt;width:18.4pt;height:15.6pt;mso-position-horizontal-relative:page;mso-position-vertical-relative:page;z-index:-1290040" coordorigin="8394,8272" coordsize="368,312">
            <v:shape style="position:absolute;left:8394;top:8272;width:368;height:312" coordorigin="8394,8272" coordsize="368,312" path="m8394,8584l8761,8584,8761,8272,8394,8272,8394,8584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701"/>
        <w:gridCol w:w="1419"/>
        <w:gridCol w:w="708"/>
        <w:gridCol w:w="3404"/>
        <w:gridCol w:w="425"/>
        <w:gridCol w:w="425"/>
        <w:gridCol w:w="1486"/>
      </w:tblGrid>
      <w:tr>
        <w:trPr>
          <w:trHeight w:val="401"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0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46"/>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0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7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0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88" w:hRule="exact"/>
        </w:trPr>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4"/>
              <w:ind w:left="22" w:right="46"/>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公司控股股东无 线电集团和其他 三名发起人股东 梅州敬基实业有 </w:t>
            </w:r>
            <w:r>
              <w:rPr>
                <w:rFonts w:ascii="宋体" w:hAnsi="宋体" w:cs="宋体" w:eastAsia="宋体" w:hint="default"/>
                <w:spacing w:val="-10"/>
                <w:sz w:val="18"/>
                <w:szCs w:val="18"/>
              </w:rPr>
              <w:t>限公司、盈富泰克</w:t>
            </w:r>
            <w:r>
              <w:rPr>
                <w:rFonts w:ascii="宋体" w:hAnsi="宋体" w:cs="宋体" w:eastAsia="宋体" w:hint="default"/>
                <w:sz w:val="18"/>
                <w:szCs w:val="18"/>
              </w:rPr>
              <w:t> 创业投资有限公 </w:t>
            </w:r>
            <w:r>
              <w:rPr>
                <w:rFonts w:ascii="宋体" w:hAnsi="宋体" w:cs="宋体" w:eastAsia="宋体" w:hint="default"/>
                <w:spacing w:val="-10"/>
                <w:sz w:val="18"/>
                <w:szCs w:val="18"/>
              </w:rPr>
              <w:t>司、广州藤川科技</w:t>
            </w:r>
            <w:r>
              <w:rPr>
                <w:rFonts w:ascii="宋体" w:hAnsi="宋体" w:cs="宋体" w:eastAsia="宋体" w:hint="default"/>
                <w:sz w:val="18"/>
                <w:szCs w:val="18"/>
              </w:rPr>
              <w:t> 有限公司</w:t>
            </w:r>
          </w:p>
        </w:tc>
        <w:tc>
          <w:tcPr>
            <w:tcW w:w="708"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58"/>
              <w:jc w:val="left"/>
              <w:rPr>
                <w:rFonts w:ascii="宋体" w:hAnsi="宋体" w:cs="宋体" w:eastAsia="宋体" w:hint="default"/>
                <w:sz w:val="18"/>
                <w:szCs w:val="18"/>
              </w:rPr>
            </w:pPr>
            <w:r>
              <w:rPr>
                <w:rFonts w:ascii="宋体" w:hAnsi="宋体" w:cs="宋体" w:eastAsia="宋体" w:hint="default"/>
                <w:sz w:val="18"/>
                <w:szCs w:val="18"/>
              </w:rPr>
              <w:t>关于同 业竞争、 关联交 </w:t>
            </w:r>
            <w:r>
              <w:rPr>
                <w:rFonts w:ascii="宋体" w:hAnsi="宋体" w:cs="宋体" w:eastAsia="宋体" w:hint="default"/>
                <w:spacing w:val="-17"/>
                <w:sz w:val="18"/>
                <w:szCs w:val="18"/>
              </w:rPr>
              <w:t>易、资金</w:t>
            </w:r>
            <w:r>
              <w:rPr>
                <w:rFonts w:ascii="宋体" w:hAnsi="宋体" w:cs="宋体" w:eastAsia="宋体" w:hint="default"/>
                <w:sz w:val="18"/>
                <w:szCs w:val="18"/>
              </w:rPr>
              <w:t> 占用方 面的承</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404"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51"/>
              <w:ind w:left="11" w:right="21"/>
              <w:jc w:val="left"/>
              <w:rPr>
                <w:rFonts w:ascii="宋体" w:hAnsi="宋体" w:cs="宋体" w:eastAsia="宋体" w:hint="default"/>
                <w:sz w:val="18"/>
                <w:szCs w:val="18"/>
              </w:rPr>
            </w:pPr>
            <w:r>
              <w:rPr>
                <w:rFonts w:ascii="宋体" w:hAnsi="宋体" w:cs="宋体" w:eastAsia="宋体" w:hint="default"/>
                <w:spacing w:val="-4"/>
                <w:sz w:val="18"/>
                <w:szCs w:val="18"/>
              </w:rPr>
              <w:t>为避免在以后的经营中产生同业竞争，公司</w:t>
            </w:r>
            <w:r>
              <w:rPr>
                <w:rFonts w:ascii="宋体" w:hAnsi="宋体" w:cs="宋体" w:eastAsia="宋体" w:hint="default"/>
                <w:sz w:val="18"/>
                <w:szCs w:val="18"/>
              </w:rPr>
              <w:t> 控股股东无线电集团和其他三名发起人股 </w:t>
            </w:r>
            <w:r>
              <w:rPr>
                <w:rFonts w:ascii="宋体" w:hAnsi="宋体" w:cs="宋体" w:eastAsia="宋体" w:hint="default"/>
                <w:spacing w:val="-4"/>
                <w:sz w:val="18"/>
                <w:szCs w:val="18"/>
              </w:rPr>
              <w:t>东梅州敬基实业有限公司、盈富泰克创业投</w:t>
            </w:r>
            <w:r>
              <w:rPr>
                <w:rFonts w:ascii="宋体" w:hAnsi="宋体" w:cs="宋体" w:eastAsia="宋体" w:hint="default"/>
                <w:sz w:val="18"/>
                <w:szCs w:val="18"/>
              </w:rPr>
              <w:t> </w:t>
            </w:r>
            <w:r>
              <w:rPr>
                <w:rFonts w:ascii="宋体" w:hAnsi="宋体" w:cs="宋体" w:eastAsia="宋体" w:hint="default"/>
                <w:spacing w:val="-4"/>
                <w:sz w:val="18"/>
                <w:szCs w:val="18"/>
              </w:rPr>
              <w:t>资有限公司、广州藤川科技有限公司向公司</w:t>
            </w:r>
            <w:r>
              <w:rPr>
                <w:rFonts w:ascii="宋体" w:hAnsi="宋体" w:cs="宋体" w:eastAsia="宋体" w:hint="default"/>
                <w:sz w:val="18"/>
                <w:szCs w:val="18"/>
              </w:rPr>
              <w:t> </w:t>
            </w:r>
            <w:r>
              <w:rPr>
                <w:rFonts w:ascii="宋体" w:hAnsi="宋体" w:cs="宋体" w:eastAsia="宋体" w:hint="default"/>
                <w:spacing w:val="-4"/>
                <w:sz w:val="18"/>
                <w:szCs w:val="18"/>
              </w:rPr>
              <w:t>出具了《关于避免与广州广电运通金融电子</w:t>
            </w:r>
            <w:r>
              <w:rPr>
                <w:rFonts w:ascii="宋体" w:hAnsi="宋体" w:cs="宋体" w:eastAsia="宋体" w:hint="default"/>
                <w:sz w:val="18"/>
                <w:szCs w:val="18"/>
              </w:rPr>
              <w:t> </w:t>
            </w:r>
            <w:r>
              <w:rPr>
                <w:rFonts w:ascii="宋体" w:hAnsi="宋体" w:cs="宋体" w:eastAsia="宋体" w:hint="default"/>
                <w:spacing w:val="-4"/>
                <w:sz w:val="18"/>
                <w:szCs w:val="18"/>
              </w:rPr>
              <w:t>股份有限公司同业竞争的承诺函》，承诺其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以后不从事与本公司业务相同或相近的业 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2007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9"/>
              <w:ind w:left="23" w:right="29"/>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731"/>
              <w:jc w:val="righ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961"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3" w:right="22"/>
              <w:jc w:val="both"/>
              <w:rPr>
                <w:rFonts w:ascii="宋体" w:hAnsi="宋体" w:cs="宋体" w:eastAsia="宋体" w:hint="default"/>
                <w:sz w:val="18"/>
                <w:szCs w:val="18"/>
              </w:rPr>
            </w:pPr>
            <w:r>
              <w:rPr>
                <w:rFonts w:ascii="宋体" w:hAnsi="宋体" w:cs="宋体" w:eastAsia="宋体" w:hint="default"/>
                <w:sz w:val="18"/>
                <w:szCs w:val="18"/>
              </w:rPr>
              <w:t>广州广电运通金 融电子股份有限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第一期员工 </w:t>
            </w:r>
            <w:r>
              <w:rPr>
                <w:rFonts w:ascii="宋体" w:hAnsi="宋体" w:cs="宋体" w:eastAsia="宋体" w:hint="default"/>
                <w:spacing w:val="-10"/>
                <w:sz w:val="18"/>
                <w:szCs w:val="18"/>
              </w:rPr>
              <w:t>持股计划、无线电</w:t>
            </w:r>
            <w:r>
              <w:rPr>
                <w:rFonts w:ascii="宋体" w:hAnsi="宋体" w:cs="宋体" w:eastAsia="宋体" w:hint="default"/>
                <w:sz w:val="18"/>
                <w:szCs w:val="18"/>
              </w:rPr>
              <w:t> 集团</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3404"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4" w:right="10"/>
              <w:jc w:val="left"/>
              <w:rPr>
                <w:rFonts w:ascii="宋体" w:hAnsi="宋体" w:cs="宋体" w:eastAsia="宋体" w:hint="default"/>
                <w:sz w:val="18"/>
                <w:szCs w:val="18"/>
              </w:rPr>
            </w:pPr>
            <w:r>
              <w:rPr>
                <w:rFonts w:ascii="宋体" w:hAnsi="宋体" w:cs="宋体" w:eastAsia="宋体" w:hint="default"/>
                <w:spacing w:val="-4"/>
                <w:sz w:val="18"/>
                <w:szCs w:val="18"/>
              </w:rPr>
              <w:t>本次非公开发行对象无线电集团、广州广电</w:t>
            </w:r>
            <w:r>
              <w:rPr>
                <w:rFonts w:ascii="宋体" w:hAnsi="宋体" w:cs="宋体" w:eastAsia="宋体" w:hint="default"/>
                <w:sz w:val="18"/>
                <w:szCs w:val="18"/>
              </w:rPr>
              <w:t> 运通金融电子股份有限公司第一期员工持 股计划（鲲鹏运通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号定向资产管理计划</w:t>
            </w:r>
          </w:p>
          <w:p>
            <w:pPr>
              <w:pStyle w:val="TableParagraph"/>
              <w:spacing w:line="309" w:lineRule="auto"/>
              <w:ind w:left="24" w:right="23"/>
              <w:jc w:val="left"/>
              <w:rPr>
                <w:rFonts w:ascii="宋体" w:hAnsi="宋体" w:cs="宋体" w:eastAsia="宋体" w:hint="default"/>
                <w:sz w:val="18"/>
                <w:szCs w:val="18"/>
              </w:rPr>
            </w:pPr>
            <w:r>
              <w:rPr>
                <w:rFonts w:ascii="宋体" w:hAnsi="宋体" w:cs="宋体" w:eastAsia="宋体" w:hint="default"/>
                <w:sz w:val="18"/>
                <w:szCs w:val="18"/>
              </w:rPr>
              <w:t>承诺：自本次发行结束之日起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不以任何方式转让在本次发行中认购的广 电运通的股份。</w:t>
            </w:r>
          </w:p>
        </w:tc>
        <w:tc>
          <w:tcPr>
            <w:tcW w:w="42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312" w:lineRule="exact" w:before="37"/>
              <w:ind w:left="12" w:right="206" w:hanging="164"/>
              <w:jc w:val="both"/>
              <w:rPr>
                <w:rFonts w:ascii="Times New Roman" w:hAnsi="Times New Roman" w:cs="Times New Roman" w:eastAsia="Times New Roman"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11</w:t>
            </w:r>
          </w:p>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312" w:lineRule="exact" w:before="23"/>
              <w:ind w:left="23" w:right="73"/>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11</w:t>
            </w:r>
          </w:p>
          <w:p>
            <w:pPr>
              <w:pStyle w:val="TableParagraph"/>
              <w:spacing w:line="240" w:lineRule="auto" w:before="39"/>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731"/>
              <w:jc w:val="right"/>
              <w:rPr>
                <w:rFonts w:ascii="宋体" w:hAnsi="宋体" w:cs="宋体" w:eastAsia="宋体" w:hint="default"/>
                <w:sz w:val="18"/>
                <w:szCs w:val="18"/>
              </w:rPr>
            </w:pPr>
            <w:r>
              <w:rPr>
                <w:rFonts w:ascii="宋体" w:hAnsi="宋体" w:cs="宋体" w:eastAsia="宋体" w:hint="default"/>
                <w:sz w:val="18"/>
                <w:szCs w:val="18"/>
              </w:rPr>
              <w:t>履行完毕</w:t>
            </w:r>
          </w:p>
        </w:tc>
      </w:tr>
      <w:tr>
        <w:trPr>
          <w:trHeight w:val="403"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0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7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63" w:hRule="exact"/>
        </w:trPr>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3"/>
              <w:jc w:val="both"/>
              <w:rPr>
                <w:rFonts w:ascii="宋体" w:hAnsi="宋体" w:cs="宋体" w:eastAsia="宋体" w:hint="default"/>
                <w:sz w:val="18"/>
                <w:szCs w:val="18"/>
              </w:rPr>
            </w:pPr>
            <w:r>
              <w:rPr>
                <w:rFonts w:ascii="宋体" w:hAnsi="宋体" w:cs="宋体" w:eastAsia="宋体" w:hint="default"/>
                <w:sz w:val="18"/>
                <w:szCs w:val="18"/>
              </w:rPr>
              <w:t>广州广电运通金 融电子股份有限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2"/>
              <w:jc w:val="both"/>
              <w:rPr>
                <w:rFonts w:ascii="宋体" w:hAnsi="宋体" w:cs="宋体" w:eastAsia="宋体" w:hint="default"/>
                <w:sz w:val="18"/>
                <w:szCs w:val="18"/>
              </w:rPr>
            </w:pPr>
            <w:r>
              <w:rPr>
                <w:rFonts w:ascii="宋体" w:hAnsi="宋体" w:cs="宋体" w:eastAsia="宋体" w:hint="default"/>
                <w:sz w:val="18"/>
                <w:szCs w:val="18"/>
              </w:rPr>
              <w:t>募集资 金使用 承诺</w:t>
            </w:r>
          </w:p>
        </w:tc>
        <w:tc>
          <w:tcPr>
            <w:tcW w:w="3404" w:type="dxa"/>
            <w:tcBorders>
              <w:top w:val="single" w:sz="4" w:space="0" w:color="000000"/>
              <w:left w:val="single" w:sz="4" w:space="0" w:color="000000"/>
              <w:bottom w:val="single" w:sz="4" w:space="0" w:color="000000"/>
              <w:right w:val="single" w:sz="13" w:space="0" w:color="FFFFFF"/>
            </w:tcBorders>
          </w:tcPr>
          <w:p>
            <w:pPr>
              <w:pStyle w:val="TableParagraph"/>
              <w:spacing w:line="307" w:lineRule="auto" w:before="49"/>
              <w:ind w:left="24" w:right="-46"/>
              <w:jc w:val="both"/>
              <w:rPr>
                <w:rFonts w:ascii="宋体" w:hAnsi="宋体" w:cs="宋体" w:eastAsia="宋体" w:hint="default"/>
                <w:sz w:val="18"/>
                <w:szCs w:val="18"/>
              </w:rPr>
            </w:pPr>
            <w:r>
              <w:rPr>
                <w:rFonts w:ascii="宋体" w:hAnsi="宋体" w:cs="宋体" w:eastAsia="宋体" w:hint="default"/>
                <w:sz w:val="18"/>
                <w:szCs w:val="18"/>
              </w:rPr>
              <w:t>公司在以下期间，不进行风险投资：</w:t>
            </w:r>
            <w:r>
              <w:rPr>
                <w:rFonts w:ascii="Times New Roman" w:hAnsi="Times New Roman" w:cs="Times New Roman" w:eastAsia="Times New Roman" w:hint="default"/>
                <w:sz w:val="18"/>
                <w:szCs w:val="18"/>
              </w:rPr>
              <w:t>1</w:t>
            </w:r>
            <w:r>
              <w:rPr>
                <w:rFonts w:ascii="宋体" w:hAnsi="宋体" w:cs="宋体" w:eastAsia="宋体" w:hint="default"/>
                <w:sz w:val="18"/>
                <w:szCs w:val="18"/>
              </w:rPr>
              <w:t>、使</w:t>
            </w:r>
            <w:r>
              <w:rPr>
                <w:rFonts w:ascii="宋体" w:hAnsi="宋体" w:cs="宋体" w:eastAsia="宋体" w:hint="default"/>
                <w:spacing w:val="-79"/>
                <w:sz w:val="18"/>
                <w:szCs w:val="18"/>
              </w:rPr>
              <w:t> </w:t>
            </w:r>
            <w:r>
              <w:rPr>
                <w:rFonts w:ascii="宋体" w:hAnsi="宋体" w:cs="宋体" w:eastAsia="宋体" w:hint="default"/>
                <w:spacing w:val="-6"/>
                <w:sz w:val="18"/>
                <w:szCs w:val="18"/>
              </w:rPr>
              <w:t>用闲置募集资金暂时补充流动资金期间；</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w:t>
            </w:r>
            <w:r>
              <w:rPr>
                <w:rFonts w:ascii="宋体" w:hAnsi="宋体" w:cs="宋体" w:eastAsia="宋体" w:hint="default"/>
                <w:spacing w:val="-77"/>
                <w:sz w:val="18"/>
                <w:szCs w:val="18"/>
              </w:rPr>
              <w:t> </w:t>
            </w:r>
            <w:r>
              <w:rPr>
                <w:rFonts w:ascii="宋体" w:hAnsi="宋体" w:cs="宋体" w:eastAsia="宋体" w:hint="default"/>
                <w:spacing w:val="5"/>
                <w:sz w:val="18"/>
                <w:szCs w:val="18"/>
              </w:rPr>
              <w:t>将募集资金投向变更为永久性补充流动资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金后十二个月内；</w:t>
            </w:r>
            <w:r>
              <w:rPr>
                <w:rFonts w:ascii="Times New Roman" w:hAnsi="Times New Roman" w:cs="Times New Roman" w:eastAsia="Times New Roman" w:hint="default"/>
                <w:sz w:val="18"/>
                <w:szCs w:val="18"/>
              </w:rPr>
              <w:t>3</w:t>
            </w:r>
            <w:r>
              <w:rPr>
                <w:rFonts w:ascii="宋体" w:hAnsi="宋体" w:cs="宋体" w:eastAsia="宋体" w:hint="default"/>
                <w:sz w:val="18"/>
                <w:szCs w:val="18"/>
              </w:rPr>
              <w:t>、将超募资金永久性用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于补充流动资金或者归还银行贷款后的十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二个月内。</w:t>
            </w:r>
          </w:p>
          <w:p>
            <w:pPr>
              <w:pStyle w:val="TableParagraph"/>
              <w:spacing w:line="316" w:lineRule="auto" w:before="64"/>
              <w:ind w:left="24" w:right="10"/>
              <w:jc w:val="left"/>
              <w:rPr>
                <w:rFonts w:ascii="宋体" w:hAnsi="宋体" w:cs="宋体" w:eastAsia="宋体" w:hint="default"/>
                <w:sz w:val="18"/>
                <w:szCs w:val="18"/>
              </w:rPr>
            </w:pPr>
            <w:r>
              <w:rPr>
                <w:rFonts w:ascii="宋体" w:hAnsi="宋体" w:cs="宋体" w:eastAsia="宋体" w:hint="default"/>
                <w:spacing w:val="-4"/>
                <w:sz w:val="18"/>
                <w:szCs w:val="18"/>
              </w:rPr>
              <w:t>公司承诺进行风险投资后的十二个月内，不</w:t>
            </w:r>
            <w:r>
              <w:rPr>
                <w:rFonts w:ascii="宋体" w:hAnsi="宋体" w:cs="宋体" w:eastAsia="宋体" w:hint="default"/>
                <w:sz w:val="18"/>
                <w:szCs w:val="18"/>
              </w:rPr>
              <w:t> </w:t>
            </w:r>
            <w:r>
              <w:rPr>
                <w:rFonts w:ascii="宋体" w:hAnsi="宋体" w:cs="宋体" w:eastAsia="宋体" w:hint="default"/>
                <w:spacing w:val="-4"/>
                <w:sz w:val="18"/>
                <w:szCs w:val="18"/>
              </w:rPr>
              <w:t>使用闲置募集资金暂时补充流动资金，不将</w:t>
            </w:r>
            <w:r>
              <w:rPr>
                <w:rFonts w:ascii="宋体" w:hAnsi="宋体" w:cs="宋体" w:eastAsia="宋体" w:hint="default"/>
                <w:sz w:val="18"/>
                <w:szCs w:val="18"/>
              </w:rPr>
              <w:t> 募集资金投向变更为永久性补充流动资金 不将超募资金永久性用于补充流动资金或 归还银行贷款。</w:t>
            </w:r>
          </w:p>
        </w:tc>
        <w:tc>
          <w:tcPr>
            <w:tcW w:w="42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8"/>
              <w:ind w:left="12" w:right="0"/>
              <w:jc w:val="left"/>
              <w:rPr>
                <w:rFonts w:ascii="Times New Roman" w:hAnsi="Times New Roman" w:cs="Times New Roman" w:eastAsia="Times New Roman" w:hint="default"/>
                <w:sz w:val="18"/>
                <w:szCs w:val="18"/>
              </w:rPr>
            </w:pPr>
            <w:r>
              <w:rPr>
                <w:rFonts w:ascii="Times New Roman"/>
                <w:sz w:val="18"/>
              </w:rPr>
              <w:t>02</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2" w:right="0"/>
              <w:jc w:val="left"/>
              <w:rPr>
                <w:rFonts w:ascii="Times New Roman" w:hAnsi="Times New Roman" w:cs="Times New Roman" w:eastAsia="Times New Roman" w:hint="default"/>
                <w:sz w:val="18"/>
                <w:szCs w:val="18"/>
              </w:rPr>
            </w:pPr>
            <w:r>
              <w:rPr>
                <w:rFonts w:ascii="Times New Roman"/>
                <w:sz w:val="18"/>
              </w:rPr>
              <w:t>03</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both"/>
              <w:rPr>
                <w:rFonts w:ascii="宋体" w:hAnsi="宋体" w:cs="宋体" w:eastAsia="宋体" w:hint="default"/>
                <w:sz w:val="18"/>
                <w:szCs w:val="18"/>
              </w:rPr>
            </w:pPr>
            <w:r>
              <w:rPr>
                <w:rFonts w:ascii="宋体" w:hAnsi="宋体" w:cs="宋体" w:eastAsia="宋体" w:hint="default"/>
                <w:sz w:val="18"/>
                <w:szCs w:val="18"/>
              </w:rPr>
              <w:t>进行 风险 投资 后的 十二 个月 内</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31"/>
              <w:jc w:val="righ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795"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center"/>
              <w:rPr>
                <w:rFonts w:ascii="宋体" w:hAnsi="宋体" w:cs="宋体" w:eastAsia="宋体" w:hint="default"/>
                <w:sz w:val="18"/>
                <w:szCs w:val="18"/>
              </w:rPr>
            </w:pPr>
            <w:r>
              <w:rPr>
                <w:rFonts w:ascii="宋体" w:hAnsi="宋体" w:cs="宋体" w:eastAsia="宋体" w:hint="default"/>
                <w:sz w:val="18"/>
                <w:szCs w:val="18"/>
              </w:rPr>
              <w:t>王艳春、郑孙满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2"/>
              <w:jc w:val="both"/>
              <w:rPr>
                <w:rFonts w:ascii="宋体" w:hAnsi="宋体" w:cs="宋体" w:eastAsia="宋体" w:hint="default"/>
                <w:sz w:val="18"/>
                <w:szCs w:val="18"/>
              </w:rPr>
            </w:pPr>
            <w:r>
              <w:rPr>
                <w:rFonts w:ascii="宋体" w:hAnsi="宋体" w:cs="宋体" w:eastAsia="宋体" w:hint="default"/>
                <w:sz w:val="18"/>
                <w:szCs w:val="18"/>
              </w:rPr>
              <w:t>业绩承 诺及补 偿安排</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日召开的第四届 </w:t>
            </w:r>
            <w:r>
              <w:rPr>
                <w:rFonts w:ascii="宋体" w:hAnsi="宋体" w:cs="宋体" w:eastAsia="宋体" w:hint="default"/>
                <w:spacing w:val="-4"/>
                <w:sz w:val="18"/>
                <w:szCs w:val="18"/>
              </w:rPr>
              <w:t>董事会第二十九次（临时）会议审议通过了</w:t>
            </w:r>
          </w:p>
          <w:p>
            <w:pPr>
              <w:pStyle w:val="TableParagraph"/>
              <w:spacing w:line="307" w:lineRule="auto" w:before="31"/>
              <w:ind w:left="24" w:right="-10"/>
              <w:jc w:val="left"/>
              <w:rPr>
                <w:rFonts w:ascii="宋体" w:hAnsi="宋体" w:cs="宋体" w:eastAsia="宋体" w:hint="default"/>
                <w:sz w:val="18"/>
                <w:szCs w:val="18"/>
              </w:rPr>
            </w:pPr>
            <w:r>
              <w:rPr>
                <w:rFonts w:ascii="宋体" w:hAnsi="宋体" w:cs="宋体" w:eastAsia="宋体" w:hint="default"/>
                <w:sz w:val="18"/>
                <w:szCs w:val="18"/>
              </w:rPr>
              <w:t>《关于拟协议受让及认购定向发行股份投 资持有广东美电贝尔科技集团股份有限公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股权的议案》，公司使用自有资金 </w:t>
            </w:r>
            <w:r>
              <w:rPr>
                <w:rFonts w:ascii="Times New Roman" w:hAnsi="Times New Roman" w:cs="Times New Roman" w:eastAsia="Times New Roman" w:hint="default"/>
                <w:sz w:val="18"/>
                <w:szCs w:val="18"/>
              </w:rPr>
              <w:t>63,998,892 </w:t>
            </w:r>
            <w:r>
              <w:rPr>
                <w:rFonts w:ascii="宋体" w:hAnsi="宋体" w:cs="宋体" w:eastAsia="宋体" w:hint="default"/>
                <w:sz w:val="18"/>
                <w:szCs w:val="18"/>
              </w:rPr>
              <w:t>元收购广东美电贝尔科技集团 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的股权。出让两方郑孙 </w:t>
            </w:r>
            <w:r>
              <w:rPr>
                <w:rFonts w:ascii="宋体" w:hAnsi="宋体" w:cs="宋体" w:eastAsia="宋体" w:hint="default"/>
                <w:spacing w:val="-6"/>
                <w:sz w:val="18"/>
                <w:szCs w:val="18"/>
              </w:rPr>
              <w:t>满、王艳春承诺：（</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）美电贝尔</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年经</w:t>
            </w:r>
            <w:r>
              <w:rPr>
                <w:rFonts w:ascii="宋体" w:hAnsi="宋体" w:cs="宋体" w:eastAsia="宋体" w:hint="default"/>
                <w:spacing w:val="-86"/>
                <w:sz w:val="18"/>
                <w:szCs w:val="18"/>
              </w:rPr>
              <w:t> </w:t>
            </w:r>
            <w:r>
              <w:rPr>
                <w:rFonts w:ascii="宋体" w:hAnsi="宋体" w:cs="宋体" w:eastAsia="宋体" w:hint="default"/>
                <w:sz w:val="18"/>
                <w:szCs w:val="18"/>
              </w:rPr>
              <w:t>审计的扣除非经常性损益的税后净利润不 低于人民币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22,000,000 </w:t>
            </w:r>
            <w:r>
              <w:rPr>
                <w:rFonts w:ascii="宋体" w:hAnsi="宋体" w:cs="宋体" w:eastAsia="宋体" w:hint="default"/>
                <w:sz w:val="18"/>
                <w:szCs w:val="18"/>
              </w:rPr>
              <w:t>元；（</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年和</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年美电贝尔经审计的扣除非 经常性损益的税后净利润累计不低于人民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、公司所持有的 美电贝尔</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股 份（合计 </w:t>
            </w:r>
            <w:r>
              <w:rPr>
                <w:rFonts w:ascii="Times New Roman" w:hAnsi="Times New Roman" w:cs="Times New Roman" w:eastAsia="Times New Roman" w:hint="default"/>
                <w:sz w:val="18"/>
                <w:szCs w:val="18"/>
              </w:rPr>
              <w:t>11,210,667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股）已</w:t>
            </w:r>
          </w:p>
          <w:p>
            <w:pPr>
              <w:pStyle w:val="TableParagraph"/>
              <w:spacing w:line="240" w:lineRule="auto" w:before="7"/>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31</w:t>
            </w:r>
          </w:p>
          <w:p>
            <w:pPr>
              <w:pStyle w:val="TableParagraph"/>
              <w:spacing w:line="314"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日前通过产权交 易所挂牌转让并 签订正式股权转 </w:t>
            </w:r>
            <w:r>
              <w:rPr>
                <w:rFonts w:ascii="宋体" w:hAnsi="宋体" w:cs="宋体" w:eastAsia="宋体" w:hint="default"/>
                <w:spacing w:val="-2"/>
                <w:sz w:val="18"/>
                <w:szCs w:val="18"/>
              </w:rPr>
              <w:t>让协议。公司所持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有的美电贝尔 </w:t>
            </w:r>
            <w:r>
              <w:rPr>
                <w:rFonts w:ascii="Times New Roman" w:hAnsi="Times New Roman" w:cs="Times New Roman" w:eastAsia="Times New Roman" w:hint="default"/>
                <w:sz w:val="18"/>
                <w:szCs w:val="18"/>
              </w:rPr>
              <w:t>20%</w:t>
            </w:r>
            <w:r>
              <w:rPr>
                <w:rFonts w:ascii="宋体" w:hAnsi="宋体" w:cs="宋体" w:eastAsia="宋体" w:hint="default"/>
                <w:sz w:val="18"/>
                <w:szCs w:val="18"/>
              </w:rPr>
              <w:t>股份对应的业 </w:t>
            </w:r>
            <w:r>
              <w:rPr>
                <w:rFonts w:ascii="宋体" w:hAnsi="宋体" w:cs="宋体" w:eastAsia="宋体" w:hint="default"/>
                <w:spacing w:val="-2"/>
                <w:sz w:val="18"/>
                <w:szCs w:val="18"/>
              </w:rPr>
              <w:t>绩对赌取消，剩余</w:t>
            </w:r>
          </w:p>
        </w:tc>
      </w:tr>
    </w:tbl>
    <w:p>
      <w:pPr>
        <w:spacing w:after="0" w:line="314"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701"/>
        <w:gridCol w:w="1419"/>
        <w:gridCol w:w="708"/>
        <w:gridCol w:w="3404"/>
        <w:gridCol w:w="425"/>
        <w:gridCol w:w="425"/>
        <w:gridCol w:w="1488"/>
      </w:tblGrid>
      <w:tr>
        <w:trPr>
          <w:trHeight w:val="11212" w:hRule="exact"/>
        </w:trPr>
        <w:tc>
          <w:tcPr>
            <w:tcW w:w="1701" w:type="dxa"/>
            <w:vMerge w:val="restart"/>
            <w:tcBorders>
              <w:top w:val="single" w:sz="4" w:space="0" w:color="000000"/>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80,080,000 </w:t>
            </w:r>
            <w:r>
              <w:rPr>
                <w:rFonts w:ascii="宋体" w:hAnsi="宋体" w:cs="宋体" w:eastAsia="宋体" w:hint="default"/>
                <w:sz w:val="18"/>
                <w:szCs w:val="18"/>
              </w:rPr>
              <w:t>元。</w:t>
            </w:r>
          </w:p>
          <w:p>
            <w:pPr>
              <w:pStyle w:val="TableParagraph"/>
              <w:spacing w:line="240" w:lineRule="auto" w:before="10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、公司分别于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p>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日召开第五届董事会第十一次</w:t>
            </w:r>
          </w:p>
          <w:p>
            <w:pPr>
              <w:pStyle w:val="TableParagraph"/>
              <w:spacing w:line="312" w:lineRule="auto" w:before="63"/>
              <w:ind w:left="24" w:right="22"/>
              <w:jc w:val="left"/>
              <w:rPr>
                <w:rFonts w:ascii="宋体" w:hAnsi="宋体" w:cs="宋体" w:eastAsia="宋体" w:hint="default"/>
                <w:sz w:val="18"/>
                <w:szCs w:val="18"/>
              </w:rPr>
            </w:pPr>
            <w:r>
              <w:rPr>
                <w:rFonts w:ascii="宋体" w:hAnsi="宋体" w:cs="宋体" w:eastAsia="宋体" w:hint="default"/>
                <w:sz w:val="18"/>
                <w:szCs w:val="18"/>
              </w:rPr>
              <w:t>（临时）会议、</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年第二次临时股东大 </w:t>
            </w:r>
            <w:r>
              <w:rPr>
                <w:rFonts w:ascii="宋体" w:hAnsi="宋体" w:cs="宋体" w:eastAsia="宋体" w:hint="default"/>
                <w:spacing w:val="-4"/>
                <w:sz w:val="18"/>
                <w:szCs w:val="18"/>
              </w:rPr>
              <w:t>会审议通过《关于公开挂牌转让广东美电贝</w:t>
            </w:r>
            <w:r>
              <w:rPr>
                <w:rFonts w:ascii="宋体" w:hAnsi="宋体" w:cs="宋体" w:eastAsia="宋体" w:hint="default"/>
                <w:sz w:val="18"/>
                <w:szCs w:val="18"/>
              </w:rPr>
              <w:t> 尔科技集团股份有限公司股权暨变更业绩 承诺的议案》，具体如下：</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）广电运通拟将所持有的美电贝尔</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w:t>
            </w:r>
          </w:p>
          <w:p>
            <w:pPr>
              <w:pStyle w:val="TableParagraph"/>
              <w:spacing w:line="312" w:lineRule="auto" w:before="63"/>
              <w:ind w:left="24" w:right="21"/>
              <w:jc w:val="left"/>
              <w:rPr>
                <w:rFonts w:ascii="宋体" w:hAnsi="宋体" w:cs="宋体" w:eastAsia="宋体" w:hint="default"/>
                <w:sz w:val="18"/>
                <w:szCs w:val="18"/>
              </w:rPr>
            </w:pPr>
            <w:r>
              <w:rPr>
                <w:rFonts w:ascii="宋体" w:hAnsi="宋体" w:cs="宋体" w:eastAsia="宋体" w:hint="default"/>
                <w:spacing w:val="-8"/>
                <w:sz w:val="18"/>
                <w:szCs w:val="18"/>
              </w:rPr>
              <w:t>股份（合计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11,210,667</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股）通过产权交易所</w:t>
            </w:r>
            <w:r>
              <w:rPr>
                <w:rFonts w:ascii="宋体" w:hAnsi="宋体" w:cs="宋体" w:eastAsia="宋体" w:hint="default"/>
                <w:sz w:val="18"/>
                <w:szCs w:val="18"/>
              </w:rPr>
              <w:t> </w:t>
            </w:r>
            <w:r>
              <w:rPr>
                <w:rFonts w:ascii="宋体" w:hAnsi="宋体" w:cs="宋体" w:eastAsia="宋体" w:hint="default"/>
                <w:spacing w:val="-4"/>
                <w:sz w:val="18"/>
                <w:szCs w:val="18"/>
              </w:rPr>
              <w:t>进行挂牌转让，对于该股份，郑孙满承诺自</w:t>
            </w:r>
            <w:r>
              <w:rPr>
                <w:rFonts w:ascii="宋体" w:hAnsi="宋体" w:cs="宋体" w:eastAsia="宋体" w:hint="default"/>
                <w:sz w:val="18"/>
                <w:szCs w:val="18"/>
              </w:rPr>
              <w:t> 行或者寻找合适的第三方投资者以不低于 </w:t>
            </w:r>
            <w:r>
              <w:rPr>
                <w:rFonts w:ascii="Times New Roman" w:hAnsi="Times New Roman" w:cs="Times New Roman" w:eastAsia="Times New Roman" w:hint="default"/>
                <w:sz w:val="18"/>
                <w:szCs w:val="18"/>
              </w:rPr>
              <w:t>4.90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股的价格参与竞买，若成功摘牌，</w:t>
            </w:r>
          </w:p>
          <w:p>
            <w:pPr>
              <w:pStyle w:val="TableParagraph"/>
              <w:spacing w:line="300" w:lineRule="auto" w:before="3"/>
              <w:ind w:left="24" w:right="36"/>
              <w:jc w:val="left"/>
              <w:rPr>
                <w:rFonts w:ascii="宋体" w:hAnsi="宋体" w:cs="宋体" w:eastAsia="宋体" w:hint="default"/>
                <w:sz w:val="18"/>
                <w:szCs w:val="18"/>
              </w:rPr>
            </w:pPr>
            <w:r>
              <w:rPr>
                <w:rFonts w:ascii="宋体" w:hAnsi="宋体" w:cs="宋体" w:eastAsia="宋体" w:hint="default"/>
                <w:sz w:val="18"/>
                <w:szCs w:val="18"/>
              </w:rPr>
              <w:t>承诺不晚于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日前完成摘牌 并签订正式股权转让协议。</w:t>
            </w:r>
          </w:p>
          <w:p>
            <w:pPr>
              <w:pStyle w:val="TableParagraph"/>
              <w:spacing w:line="307" w:lineRule="auto" w:before="72"/>
              <w:ind w:left="24" w:right="21"/>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6"/>
                <w:sz w:val="18"/>
                <w:szCs w:val="18"/>
              </w:rPr>
              <w:t>日，对于按照本</w:t>
            </w:r>
            <w:r>
              <w:rPr>
                <w:rFonts w:ascii="宋体" w:hAnsi="宋体" w:cs="宋体" w:eastAsia="宋体" w:hint="default"/>
                <w:sz w:val="18"/>
                <w:szCs w:val="18"/>
              </w:rPr>
              <w:t> 承诺第（</w:t>
            </w:r>
            <w:r>
              <w:rPr>
                <w:rFonts w:ascii="Times New Roman" w:hAnsi="Times New Roman" w:cs="Times New Roman" w:eastAsia="Times New Roman" w:hint="default"/>
                <w:sz w:val="18"/>
                <w:szCs w:val="18"/>
              </w:rPr>
              <w:t>1</w:t>
            </w:r>
            <w:r>
              <w:rPr>
                <w:rFonts w:ascii="宋体" w:hAnsi="宋体" w:cs="宋体" w:eastAsia="宋体" w:hint="default"/>
                <w:sz w:val="18"/>
                <w:szCs w:val="18"/>
              </w:rPr>
              <w:t>）条已经签订正式股权转让协议 </w:t>
            </w:r>
            <w:r>
              <w:rPr>
                <w:rFonts w:ascii="宋体" w:hAnsi="宋体" w:cs="宋体" w:eastAsia="宋体" w:hint="default"/>
                <w:spacing w:val="-4"/>
                <w:sz w:val="18"/>
                <w:szCs w:val="18"/>
              </w:rPr>
              <w:t>的美电贝尔股份对应的业绩承诺取消，对于</w:t>
            </w:r>
            <w:r>
              <w:rPr>
                <w:rFonts w:ascii="宋体" w:hAnsi="宋体" w:cs="宋体" w:eastAsia="宋体" w:hint="default"/>
                <w:sz w:val="18"/>
                <w:szCs w:val="18"/>
              </w:rPr>
              <w:t> 广电运通持有美电贝尔</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股份中剩余未 </w:t>
            </w:r>
            <w:r>
              <w:rPr>
                <w:rFonts w:ascii="宋体" w:hAnsi="宋体" w:cs="宋体" w:eastAsia="宋体" w:hint="default"/>
                <w:spacing w:val="-4"/>
                <w:sz w:val="18"/>
                <w:szCs w:val="18"/>
              </w:rPr>
              <w:t>签订正式股权转让协议的部分，郑孙满承诺</w:t>
            </w:r>
            <w:r>
              <w:rPr>
                <w:rFonts w:ascii="宋体" w:hAnsi="宋体" w:cs="宋体" w:eastAsia="宋体" w:hint="default"/>
                <w:sz w:val="18"/>
                <w:szCs w:val="18"/>
              </w:rPr>
              <w:t> 按以下方式对甲方进行经营业绩补偿：</w:t>
            </w:r>
          </w:p>
          <w:p>
            <w:pPr>
              <w:pStyle w:val="TableParagraph"/>
              <w:spacing w:line="240" w:lineRule="auto" w:before="6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补偿金额</w:t>
            </w:r>
            <w:r>
              <w:rPr>
                <w:rFonts w:ascii="Times New Roman" w:hAnsi="Times New Roman" w:cs="Times New Roman" w:eastAsia="Times New Roman" w:hint="default"/>
                <w:sz w:val="18"/>
                <w:szCs w:val="18"/>
              </w:rPr>
              <w:t>=</w:t>
            </w:r>
            <w:r>
              <w:rPr>
                <w:rFonts w:ascii="宋体" w:hAnsi="宋体" w:cs="宋体" w:eastAsia="宋体" w:hint="default"/>
                <w:sz w:val="18"/>
                <w:szCs w:val="18"/>
              </w:rPr>
              <w:t>剩余投资金额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x</w:t>
            </w:r>
            <w:r>
              <w:rPr>
                <w:rFonts w:ascii="宋体" w:hAnsi="宋体" w:cs="宋体" w:eastAsia="宋体" w:hint="default"/>
                <w:sz w:val="18"/>
                <w:szCs w:val="18"/>
              </w:rPr>
              <w:t>（（</w:t>
            </w:r>
            <w:r>
              <w:rPr>
                <w:rFonts w:ascii="Times New Roman" w:hAnsi="Times New Roman" w:cs="Times New Roman" w:eastAsia="Times New Roman" w:hint="default"/>
                <w:sz w:val="18"/>
                <w:szCs w:val="18"/>
              </w:rPr>
              <w:t>80,080,000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累计实际扣除非经常性损益的净利润）</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/80,080,000 </w:t>
            </w:r>
            <w:r>
              <w:rPr>
                <w:rFonts w:ascii="宋体" w:hAnsi="宋体" w:cs="宋体" w:eastAsia="宋体" w:hint="default"/>
                <w:sz w:val="18"/>
                <w:szCs w:val="18"/>
              </w:rPr>
              <w:t>元），剩余投资金额即在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p>
          <w:p>
            <w:pPr>
              <w:pStyle w:val="TableParagraph"/>
              <w:spacing w:line="309" w:lineRule="auto" w:before="63"/>
              <w:ind w:left="24" w:right="2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日广电运通剩余持有的未签订正 式股权转让协议的美电贝尔股份对应的投 资本金。</w:t>
            </w:r>
          </w:p>
          <w:p>
            <w:pPr>
              <w:pStyle w:val="TableParagraph"/>
              <w:spacing w:line="316" w:lineRule="auto" w:before="65"/>
              <w:ind w:left="24"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）原股权转让协议约定的经营业绩补偿 </w:t>
            </w:r>
            <w:r>
              <w:rPr>
                <w:rFonts w:ascii="宋体" w:hAnsi="宋体" w:cs="宋体" w:eastAsia="宋体" w:hint="default"/>
                <w:spacing w:val="-4"/>
                <w:sz w:val="18"/>
                <w:szCs w:val="18"/>
              </w:rPr>
              <w:t>是由郑孙满及王艳春承担连带责任，郑孙满</w:t>
            </w:r>
            <w:r>
              <w:rPr>
                <w:rFonts w:ascii="宋体" w:hAnsi="宋体" w:cs="宋体" w:eastAsia="宋体" w:hint="default"/>
                <w:sz w:val="18"/>
                <w:szCs w:val="18"/>
              </w:rPr>
              <w:t> </w:t>
            </w:r>
            <w:r>
              <w:rPr>
                <w:rFonts w:ascii="宋体" w:hAnsi="宋体" w:cs="宋体" w:eastAsia="宋体" w:hint="default"/>
                <w:spacing w:val="-4"/>
                <w:sz w:val="18"/>
                <w:szCs w:val="18"/>
              </w:rPr>
              <w:t>确认，关于本补充协议约定的义务及经营业</w:t>
            </w:r>
            <w:r>
              <w:rPr>
                <w:rFonts w:ascii="宋体" w:hAnsi="宋体" w:cs="宋体" w:eastAsia="宋体" w:hint="default"/>
                <w:sz w:val="18"/>
                <w:szCs w:val="18"/>
              </w:rPr>
              <w:t> 绩补偿款支付均由郑孙满直接承担全部责 </w:t>
            </w:r>
            <w:r>
              <w:rPr>
                <w:rFonts w:ascii="宋体" w:hAnsi="宋体" w:cs="宋体" w:eastAsia="宋体" w:hint="default"/>
                <w:spacing w:val="-4"/>
                <w:sz w:val="18"/>
                <w:szCs w:val="18"/>
              </w:rPr>
              <w:t>任，郑孙满自行处理与原协议签约人王艳春</w:t>
            </w:r>
            <w:r>
              <w:rPr>
                <w:rFonts w:ascii="宋体" w:hAnsi="宋体" w:cs="宋体" w:eastAsia="宋体" w:hint="default"/>
                <w:sz w:val="18"/>
                <w:szCs w:val="18"/>
              </w:rPr>
              <w:t> </w:t>
            </w:r>
            <w:r>
              <w:rPr>
                <w:rFonts w:ascii="宋体" w:hAnsi="宋体" w:cs="宋体" w:eastAsia="宋体" w:hint="default"/>
                <w:spacing w:val="-4"/>
                <w:sz w:val="18"/>
                <w:szCs w:val="18"/>
              </w:rPr>
              <w:t>之间的关系及责任问题，郑孙满与王艳春之</w:t>
            </w:r>
            <w:r>
              <w:rPr>
                <w:rFonts w:ascii="宋体" w:hAnsi="宋体" w:cs="宋体" w:eastAsia="宋体" w:hint="default"/>
                <w:sz w:val="18"/>
                <w:szCs w:val="18"/>
              </w:rPr>
              <w:t> </w:t>
            </w:r>
            <w:r>
              <w:rPr>
                <w:rFonts w:ascii="宋体" w:hAnsi="宋体" w:cs="宋体" w:eastAsia="宋体" w:hint="default"/>
                <w:spacing w:val="-4"/>
                <w:sz w:val="18"/>
                <w:szCs w:val="18"/>
              </w:rPr>
              <w:t>间的关系不影响本协议效力，亦不在任何情</w:t>
            </w:r>
            <w:r>
              <w:rPr>
                <w:rFonts w:ascii="宋体" w:hAnsi="宋体" w:cs="宋体" w:eastAsia="宋体" w:hint="default"/>
                <w:sz w:val="18"/>
                <w:szCs w:val="18"/>
              </w:rPr>
              <w:t> 况下构成郑孙满不履行本协议约定义务之 抗辩理由。</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股份的业绩对</w:t>
            </w:r>
            <w:r>
              <w:rPr>
                <w:rFonts w:ascii="宋体" w:hAnsi="宋体" w:cs="宋体" w:eastAsia="宋体" w:hint="default"/>
                <w:w w:val="99"/>
                <w:sz w:val="18"/>
                <w:szCs w:val="18"/>
              </w:rPr>
              <w:t> </w:t>
            </w:r>
            <w:r>
              <w:rPr>
                <w:rFonts w:ascii="宋体" w:hAnsi="宋体" w:cs="宋体" w:eastAsia="宋体" w:hint="default"/>
                <w:spacing w:val="-2"/>
                <w:sz w:val="18"/>
                <w:szCs w:val="18"/>
              </w:rPr>
              <w:t>赌仍然有效，向郑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孙满继续主张经</w:t>
            </w:r>
            <w:r>
              <w:rPr>
                <w:rFonts w:ascii="宋体" w:hAnsi="宋体" w:cs="宋体" w:eastAsia="宋体" w:hint="default"/>
                <w:w w:val="99"/>
                <w:sz w:val="18"/>
                <w:szCs w:val="18"/>
              </w:rPr>
              <w:t> </w:t>
            </w:r>
            <w:r>
              <w:rPr>
                <w:rFonts w:ascii="宋体" w:hAnsi="宋体" w:cs="宋体" w:eastAsia="宋体" w:hint="default"/>
                <w:sz w:val="18"/>
                <w:szCs w:val="18"/>
              </w:rPr>
              <w:t>营业绩承诺。</w:t>
            </w:r>
          </w:p>
          <w:p>
            <w:pPr>
              <w:pStyle w:val="TableParagraph"/>
              <w:spacing w:line="309" w:lineRule="auto" w:before="63"/>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、美电贝尔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年经审计的扣除 非经常性损益的 税后净利润分别</w:t>
            </w:r>
          </w:p>
          <w:p>
            <w:pPr>
              <w:pStyle w:val="TableParagraph"/>
              <w:spacing w:line="240" w:lineRule="auto" w:before="24"/>
              <w:ind w:left="24"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2,322.97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1,402.12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12" w:lineRule="auto" w:before="63"/>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1,930.63 </w:t>
            </w:r>
            <w:r>
              <w:rPr>
                <w:rFonts w:ascii="宋体" w:hAnsi="宋体" w:cs="宋体" w:eastAsia="宋体" w:hint="default"/>
                <w:sz w:val="18"/>
                <w:szCs w:val="18"/>
              </w:rPr>
              <w:t>万元，三 年合计未达到 </w:t>
            </w:r>
            <w:r>
              <w:rPr>
                <w:rFonts w:ascii="Times New Roman" w:hAnsi="Times New Roman" w:cs="Times New Roman" w:eastAsia="Times New Roman" w:hint="default"/>
                <w:sz w:val="18"/>
                <w:szCs w:val="18"/>
              </w:rPr>
              <w:t>8,008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万元。郑孙 满将以现金形式 </w:t>
            </w:r>
            <w:r>
              <w:rPr>
                <w:rFonts w:ascii="宋体" w:hAnsi="宋体" w:cs="宋体" w:eastAsia="宋体" w:hint="default"/>
                <w:spacing w:val="-2"/>
                <w:sz w:val="18"/>
                <w:szCs w:val="18"/>
              </w:rPr>
              <w:t>进行业绩补偿，补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偿金额</w:t>
            </w:r>
          </w:p>
          <w:p>
            <w:pPr>
              <w:pStyle w:val="TableParagraph"/>
              <w:spacing w:line="240" w:lineRule="auto" w:before="64"/>
              <w:ind w:left="24" w:right="0"/>
              <w:jc w:val="left"/>
              <w:rPr>
                <w:rFonts w:ascii="Times New Roman" w:hAnsi="Times New Roman" w:cs="Times New Roman" w:eastAsia="Times New Roman" w:hint="default"/>
                <w:sz w:val="18"/>
                <w:szCs w:val="18"/>
              </w:rPr>
            </w:pPr>
            <w:r>
              <w:rPr>
                <w:rFonts w:ascii="Times New Roman"/>
                <w:sz w:val="18"/>
              </w:rPr>
              <w:t>=6,399.89*20%*</w:t>
            </w:r>
          </w:p>
          <w:p>
            <w:pPr>
              <w:pStyle w:val="TableParagraph"/>
              <w:spacing w:line="300" w:lineRule="auto" w:before="63"/>
              <w:ind w:left="24" w:right="2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8008-2,322.97-1,</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402.12-1,930.63</w:t>
            </w:r>
            <w:r>
              <w:rPr>
                <w:rFonts w:ascii="宋体" w:hAnsi="宋体" w:cs="宋体" w:eastAsia="宋体" w:hint="default"/>
                <w:sz w:val="18"/>
                <w:szCs w:val="18"/>
              </w:rPr>
              <w:t>）</w:t>
            </w:r>
          </w:p>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/8008=375.9823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2585"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郑孙满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2"/>
              <w:jc w:val="left"/>
              <w:rPr>
                <w:rFonts w:ascii="宋体" w:hAnsi="宋体" w:cs="宋体" w:eastAsia="宋体" w:hint="default"/>
                <w:sz w:val="18"/>
                <w:szCs w:val="18"/>
              </w:rPr>
            </w:pPr>
            <w:r>
              <w:rPr>
                <w:rFonts w:ascii="宋体" w:hAnsi="宋体" w:cs="宋体" w:eastAsia="宋体" w:hint="default"/>
                <w:sz w:val="18"/>
                <w:szCs w:val="18"/>
              </w:rPr>
              <w:t>股份回 购承诺</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若美电贝尔于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日前未实现 </w:t>
            </w:r>
            <w:r>
              <w:rPr>
                <w:rFonts w:ascii="宋体" w:hAnsi="宋体" w:cs="宋体" w:eastAsia="宋体" w:hint="default"/>
                <w:spacing w:val="-6"/>
                <w:sz w:val="18"/>
                <w:szCs w:val="18"/>
              </w:rPr>
              <w:t>上市，对于广电运通持有美电贝尔</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股份 中截至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日剩余未签订正式 </w:t>
            </w:r>
            <w:r>
              <w:rPr>
                <w:rFonts w:ascii="宋体" w:hAnsi="宋体" w:cs="宋体" w:eastAsia="宋体" w:hint="default"/>
                <w:spacing w:val="-4"/>
                <w:sz w:val="18"/>
                <w:szCs w:val="18"/>
              </w:rPr>
              <w:t>股权转让协议的部分，郑孙满承诺自行或寻</w:t>
            </w:r>
            <w:r>
              <w:rPr>
                <w:rFonts w:ascii="宋体" w:hAnsi="宋体" w:cs="宋体" w:eastAsia="宋体" w:hint="default"/>
                <w:sz w:val="18"/>
                <w:szCs w:val="18"/>
              </w:rPr>
              <w:t> 找第三方投资者按年化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的资金成本率， 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8"/>
                <w:sz w:val="18"/>
                <w:szCs w:val="18"/>
              </w:rPr>
              <w:t>日前回购该股份，每股回</w:t>
            </w:r>
          </w:p>
          <w:p>
            <w:pPr>
              <w:pStyle w:val="TableParagraph"/>
              <w:spacing w:line="300" w:lineRule="auto" w:before="9"/>
              <w:ind w:left="24" w:right="21"/>
              <w:jc w:val="both"/>
              <w:rPr>
                <w:rFonts w:ascii="宋体" w:hAnsi="宋体" w:cs="宋体" w:eastAsia="宋体" w:hint="default"/>
                <w:sz w:val="18"/>
                <w:szCs w:val="18"/>
              </w:rPr>
            </w:pPr>
            <w:r>
              <w:rPr>
                <w:rFonts w:ascii="宋体" w:hAnsi="宋体" w:cs="宋体" w:eastAsia="宋体" w:hint="default"/>
                <w:sz w:val="18"/>
                <w:szCs w:val="18"/>
              </w:rPr>
              <w:t>购价不低于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5.754</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元</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股，且在符合国有资产</w:t>
            </w:r>
            <w:r>
              <w:rPr>
                <w:rFonts w:ascii="宋体" w:hAnsi="宋体" w:cs="宋体" w:eastAsia="宋体" w:hint="default"/>
                <w:sz w:val="18"/>
                <w:szCs w:val="18"/>
              </w:rPr>
              <w:t> 相关规定的条件下进行回购。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11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31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701"/>
        <w:gridCol w:w="1419"/>
        <w:gridCol w:w="708"/>
        <w:gridCol w:w="3404"/>
        <w:gridCol w:w="425"/>
        <w:gridCol w:w="425"/>
        <w:gridCol w:w="1486"/>
      </w:tblGrid>
      <w:tr>
        <w:trPr>
          <w:trHeight w:val="2273" w:hRule="exact"/>
        </w:trPr>
        <w:tc>
          <w:tcPr>
            <w:tcW w:w="1701" w:type="dxa"/>
            <w:vMerge w:val="restart"/>
            <w:tcBorders>
              <w:top w:val="single" w:sz="4" w:space="0" w:color="000000"/>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3"/>
              <w:jc w:val="left"/>
              <w:rPr>
                <w:rFonts w:ascii="宋体" w:hAnsi="宋体" w:cs="宋体" w:eastAsia="宋体" w:hint="default"/>
                <w:sz w:val="18"/>
                <w:szCs w:val="18"/>
              </w:rPr>
            </w:pPr>
            <w:r>
              <w:rPr>
                <w:rFonts w:ascii="宋体" w:hAnsi="宋体" w:cs="宋体" w:eastAsia="宋体" w:hint="default"/>
                <w:sz w:val="18"/>
                <w:szCs w:val="18"/>
              </w:rPr>
              <w:t>湖北琪顺投资有 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2"/>
              <w:jc w:val="both"/>
              <w:rPr>
                <w:rFonts w:ascii="宋体" w:hAnsi="宋体" w:cs="宋体" w:eastAsia="宋体" w:hint="default"/>
                <w:sz w:val="18"/>
                <w:szCs w:val="18"/>
              </w:rPr>
            </w:pPr>
            <w:r>
              <w:rPr>
                <w:rFonts w:ascii="宋体" w:hAnsi="宋体" w:cs="宋体" w:eastAsia="宋体" w:hint="default"/>
                <w:sz w:val="18"/>
                <w:szCs w:val="18"/>
              </w:rPr>
              <w:t>业绩承 诺及补 偿安排</w:t>
            </w:r>
          </w:p>
        </w:tc>
        <w:tc>
          <w:tcPr>
            <w:tcW w:w="3404" w:type="dxa"/>
            <w:tcBorders>
              <w:top w:val="single" w:sz="4" w:space="0" w:color="000000"/>
              <w:left w:val="single" w:sz="4" w:space="0" w:color="000000"/>
              <w:bottom w:val="single" w:sz="4" w:space="0" w:color="000000"/>
              <w:right w:val="single" w:sz="13" w:space="0" w:color="FFFFFF"/>
            </w:tcBorders>
          </w:tcPr>
          <w:p>
            <w:pPr>
              <w:pStyle w:val="TableParagraph"/>
              <w:spacing w:line="307" w:lineRule="auto" w:before="49"/>
              <w:ind w:left="24" w:right="-46"/>
              <w:jc w:val="both"/>
              <w:rPr>
                <w:rFonts w:ascii="宋体" w:hAnsi="宋体" w:cs="宋体" w:eastAsia="宋体" w:hint="default"/>
                <w:sz w:val="18"/>
                <w:szCs w:val="18"/>
              </w:rPr>
            </w:pPr>
            <w:r>
              <w:rPr>
                <w:rFonts w:ascii="宋体" w:hAnsi="宋体" w:cs="宋体" w:eastAsia="宋体" w:hint="default"/>
                <w:sz w:val="18"/>
                <w:szCs w:val="18"/>
              </w:rPr>
              <w:t>湖北琪顺投资有限公司承诺湖北融信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年三个会计年度扣除非 </w:t>
            </w:r>
            <w:r>
              <w:rPr>
                <w:rFonts w:ascii="宋体" w:hAnsi="宋体" w:cs="宋体" w:eastAsia="宋体" w:hint="default"/>
                <w:spacing w:val="-4"/>
                <w:sz w:val="18"/>
                <w:szCs w:val="18"/>
              </w:rPr>
              <w:t>经常性损益后的净利润（经具有证券业务资</w:t>
            </w:r>
            <w:r>
              <w:rPr>
                <w:rFonts w:ascii="宋体" w:hAnsi="宋体" w:cs="宋体" w:eastAsia="宋体" w:hint="default"/>
                <w:sz w:val="18"/>
                <w:szCs w:val="18"/>
              </w:rPr>
              <w:t> </w:t>
            </w:r>
            <w:r>
              <w:rPr>
                <w:rFonts w:ascii="宋体" w:hAnsi="宋体" w:cs="宋体" w:eastAsia="宋体" w:hint="default"/>
                <w:spacing w:val="-7"/>
                <w:sz w:val="18"/>
                <w:szCs w:val="18"/>
              </w:rPr>
              <w:t>格的审计机构审计）累计不低于</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8"/>
                <w:szCs w:val="18"/>
              </w:rPr>
              <w:t>1,946</w:t>
            </w:r>
            <w:r>
              <w:rPr>
                <w:rFonts w:ascii="Times New Roman" w:hAnsi="Times New Roman" w:cs="Times New Roman" w:eastAsia="Times New Roman" w:hint="default"/>
                <w:spacing w:val="-8"/>
                <w:sz w:val="18"/>
                <w:szCs w:val="18"/>
              </w:rPr>
              <w:t> </w:t>
            </w:r>
            <w:r>
              <w:rPr>
                <w:rFonts w:ascii="宋体" w:hAnsi="宋体" w:cs="宋体" w:eastAsia="宋体" w:hint="default"/>
                <w:spacing w:val="-12"/>
                <w:sz w:val="18"/>
                <w:szCs w:val="18"/>
              </w:rPr>
              <w:t>万元。</w:t>
            </w:r>
            <w:r>
              <w:rPr>
                <w:rFonts w:ascii="宋体" w:hAnsi="宋体" w:cs="宋体" w:eastAsia="宋体" w:hint="default"/>
                <w:sz w:val="18"/>
                <w:szCs w:val="18"/>
              </w:rPr>
            </w:r>
          </w:p>
        </w:tc>
        <w:tc>
          <w:tcPr>
            <w:tcW w:w="42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8"/>
              <w:ind w:left="12" w:right="0"/>
              <w:jc w:val="left"/>
              <w:rPr>
                <w:rFonts w:ascii="Times New Roman" w:hAnsi="Times New Roman" w:cs="Times New Roman" w:eastAsia="Times New Roman" w:hint="default"/>
                <w:sz w:val="18"/>
                <w:szCs w:val="18"/>
              </w:rPr>
            </w:pPr>
            <w:r>
              <w:rPr>
                <w:rFonts w:ascii="Times New Roman"/>
                <w:sz w:val="18"/>
              </w:rPr>
              <w:t>01</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2" w:right="0"/>
              <w:jc w:val="left"/>
              <w:rPr>
                <w:rFonts w:ascii="Times New Roman" w:hAnsi="Times New Roman" w:cs="Times New Roman" w:eastAsia="Times New Roman" w:hint="default"/>
                <w:sz w:val="18"/>
                <w:szCs w:val="18"/>
              </w:rPr>
            </w:pPr>
            <w:r>
              <w:rPr>
                <w:rFonts w:ascii="Times New Roman"/>
                <w:sz w:val="18"/>
              </w:rPr>
              <w:t>01</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312" w:lineRule="exact"/>
              <w:ind w:left="12"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18.4pt;height:15.6pt;mso-position-horizontal-relative:char;mso-position-vertical-relative:line" coordorigin="0,0" coordsize="368,312">
                  <v:group style="position:absolute;left:0;top:0;width:368;height:312" coordorigin="0,0" coordsize="368,312">
                    <v:shape style="position:absolute;left:0;top:0;width:368;height:312" coordorigin="0,0" coordsize="368,312" path="m0,312l367,312,367,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湖北融信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2" w:lineRule="auto" w:before="63"/>
              <w:ind w:left="24"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年经审计 的扣除非经常性 损益后的净利润 分别为</w:t>
            </w:r>
            <w:r>
              <w:rPr>
                <w:rFonts w:ascii="Times New Roman" w:hAnsi="Times New Roman" w:cs="Times New Roman" w:eastAsia="Times New Roman" w:hint="default"/>
                <w:sz w:val="18"/>
                <w:szCs w:val="18"/>
              </w:rPr>
              <w:t>-1,287.45</w:t>
            </w:r>
          </w:p>
          <w:p>
            <w:pPr>
              <w:pStyle w:val="TableParagraph"/>
              <w:spacing w:line="300" w:lineRule="auto" w:before="3"/>
              <w:ind w:left="24" w:right="127"/>
              <w:jc w:val="left"/>
              <w:rPr>
                <w:rFonts w:ascii="宋体" w:hAnsi="宋体" w:cs="宋体" w:eastAsia="宋体" w:hint="default"/>
                <w:sz w:val="18"/>
                <w:szCs w:val="18"/>
              </w:rPr>
            </w:pPr>
            <w:r>
              <w:rPr>
                <w:rFonts w:ascii="宋体" w:hAnsi="宋体" w:cs="宋体" w:eastAsia="宋体" w:hint="default"/>
                <w:sz w:val="18"/>
                <w:szCs w:val="18"/>
              </w:rPr>
              <w:t>万元和</w:t>
            </w:r>
            <w:r>
              <w:rPr>
                <w:rFonts w:ascii="Times New Roman" w:hAnsi="Times New Roman" w:cs="Times New Roman" w:eastAsia="Times New Roman" w:hint="default"/>
                <w:sz w:val="18"/>
                <w:szCs w:val="18"/>
              </w:rPr>
              <w:t>-462.46 </w:t>
            </w:r>
            <w:r>
              <w:rPr>
                <w:rFonts w:ascii="宋体" w:hAnsi="宋体" w:cs="宋体" w:eastAsia="宋体" w:hint="default"/>
                <w:sz w:val="18"/>
                <w:szCs w:val="18"/>
              </w:rPr>
              <w:t>万 元。</w:t>
            </w:r>
          </w:p>
        </w:tc>
      </w:tr>
      <w:tr>
        <w:trPr>
          <w:trHeight w:val="2276" w:hRule="exact"/>
        </w:trPr>
        <w:tc>
          <w:tcPr>
            <w:tcW w:w="1701" w:type="dxa"/>
            <w:vMerge/>
            <w:tcBorders>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中科江南</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2"/>
              <w:jc w:val="both"/>
              <w:rPr>
                <w:rFonts w:ascii="宋体" w:hAnsi="宋体" w:cs="宋体" w:eastAsia="宋体" w:hint="default"/>
                <w:sz w:val="18"/>
                <w:szCs w:val="18"/>
              </w:rPr>
            </w:pPr>
            <w:r>
              <w:rPr>
                <w:rFonts w:ascii="宋体" w:hAnsi="宋体" w:cs="宋体" w:eastAsia="宋体" w:hint="default"/>
                <w:sz w:val="18"/>
                <w:szCs w:val="18"/>
              </w:rPr>
              <w:t>业绩承 诺及补 偿安排</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丁绍连、天津融商力源企业管理咨询中心</w:t>
            </w:r>
          </w:p>
          <w:p>
            <w:pPr>
              <w:pStyle w:val="TableParagraph"/>
              <w:spacing w:line="240" w:lineRule="auto" w:before="74"/>
              <w:ind w:left="24" w:right="0"/>
              <w:jc w:val="both"/>
              <w:rPr>
                <w:rFonts w:ascii="宋体" w:hAnsi="宋体" w:cs="宋体" w:eastAsia="宋体" w:hint="default"/>
                <w:sz w:val="18"/>
                <w:szCs w:val="18"/>
              </w:rPr>
            </w:pPr>
            <w:r>
              <w:rPr>
                <w:rFonts w:ascii="宋体" w:hAnsi="宋体" w:cs="宋体" w:eastAsia="宋体" w:hint="default"/>
                <w:spacing w:val="-4"/>
                <w:sz w:val="18"/>
                <w:szCs w:val="18"/>
              </w:rPr>
              <w:t>（有限合伙）、天津科鼎好友信息技术中心</w:t>
            </w:r>
          </w:p>
          <w:p>
            <w:pPr>
              <w:pStyle w:val="TableParagraph"/>
              <w:spacing w:line="240" w:lineRule="auto" w:before="76"/>
              <w:ind w:left="24" w:right="0"/>
              <w:jc w:val="both"/>
              <w:rPr>
                <w:rFonts w:ascii="宋体" w:hAnsi="宋体" w:cs="宋体" w:eastAsia="宋体" w:hint="default"/>
                <w:sz w:val="18"/>
                <w:szCs w:val="18"/>
              </w:rPr>
            </w:pPr>
            <w:r>
              <w:rPr>
                <w:rFonts w:ascii="宋体" w:hAnsi="宋体" w:cs="宋体" w:eastAsia="宋体" w:hint="default"/>
                <w:spacing w:val="-4"/>
                <w:sz w:val="18"/>
                <w:szCs w:val="18"/>
              </w:rPr>
              <w:t>（有限合伙）、天津众志软科信息技术中心</w:t>
            </w:r>
          </w:p>
          <w:p>
            <w:pPr>
              <w:pStyle w:val="TableParagraph"/>
              <w:spacing w:line="300" w:lineRule="auto" w:before="77"/>
              <w:ind w:left="24" w:right="21"/>
              <w:jc w:val="both"/>
              <w:rPr>
                <w:rFonts w:ascii="宋体" w:hAnsi="宋体" w:cs="宋体" w:eastAsia="宋体" w:hint="default"/>
                <w:sz w:val="18"/>
                <w:szCs w:val="18"/>
              </w:rPr>
            </w:pPr>
            <w:r>
              <w:rPr>
                <w:rFonts w:ascii="宋体" w:hAnsi="宋体" w:cs="宋体" w:eastAsia="宋体" w:hint="default"/>
                <w:sz w:val="18"/>
                <w:szCs w:val="18"/>
              </w:rPr>
              <w:t>（有限合伙）承诺中科江南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 </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年扣除非经常性损益后 的净利润分别不低于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4,500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5,100 </w:t>
            </w:r>
            <w:r>
              <w:rPr>
                <w:rFonts w:ascii="宋体" w:hAnsi="宋体" w:cs="宋体" w:eastAsia="宋体" w:hint="default"/>
                <w:sz w:val="18"/>
                <w:szCs w:val="18"/>
              </w:rPr>
              <w:t>万元及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6,000 </w:t>
            </w:r>
            <w:r>
              <w:rPr>
                <w:rFonts w:ascii="宋体" w:hAnsi="宋体" w:cs="宋体" w:eastAsia="宋体" w:hint="default"/>
                <w:sz w:val="18"/>
                <w:szCs w:val="18"/>
              </w:rPr>
              <w:t>万元。</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中科江南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2" w:lineRule="auto" w:before="60"/>
              <w:ind w:left="24" w:right="17"/>
              <w:jc w:val="left"/>
              <w:rPr>
                <w:rFonts w:ascii="宋体" w:hAnsi="宋体" w:cs="宋体" w:eastAsia="宋体" w:hint="default"/>
                <w:sz w:val="18"/>
                <w:szCs w:val="18"/>
              </w:rPr>
            </w:pPr>
            <w:r>
              <w:rPr>
                <w:rFonts w:ascii="宋体" w:hAnsi="宋体" w:cs="宋体" w:eastAsia="宋体" w:hint="default"/>
                <w:sz w:val="18"/>
                <w:szCs w:val="18"/>
              </w:rPr>
              <w:t>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年经审计 的扣除非经常性 损益后的净利润 分别为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4,657.23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w:t>
            </w:r>
          </w:p>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元和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5,294.03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2897"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信义科技</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2"/>
              <w:jc w:val="both"/>
              <w:rPr>
                <w:rFonts w:ascii="宋体" w:hAnsi="宋体" w:cs="宋体" w:eastAsia="宋体" w:hint="default"/>
                <w:sz w:val="18"/>
                <w:szCs w:val="18"/>
              </w:rPr>
            </w:pPr>
            <w:r>
              <w:rPr>
                <w:rFonts w:ascii="宋体" w:hAnsi="宋体" w:cs="宋体" w:eastAsia="宋体" w:hint="default"/>
                <w:sz w:val="18"/>
                <w:szCs w:val="18"/>
              </w:rPr>
              <w:t>业绩承 诺及补 偿安排</w:t>
            </w:r>
          </w:p>
        </w:tc>
        <w:tc>
          <w:tcPr>
            <w:tcW w:w="3404"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4" w:right="7"/>
              <w:jc w:val="left"/>
              <w:rPr>
                <w:rFonts w:ascii="宋体" w:hAnsi="宋体" w:cs="宋体" w:eastAsia="宋体" w:hint="default"/>
                <w:sz w:val="18"/>
                <w:szCs w:val="18"/>
              </w:rPr>
            </w:pPr>
            <w:r>
              <w:rPr>
                <w:rFonts w:ascii="宋体" w:hAnsi="宋体" w:cs="宋体" w:eastAsia="宋体" w:hint="default"/>
                <w:sz w:val="18"/>
                <w:szCs w:val="18"/>
              </w:rPr>
              <w:t>日照秉信网络科技合伙企业（有限合伙） 五莲正本清源网络科技合伙企业（有限合 </w:t>
            </w:r>
            <w:r>
              <w:rPr>
                <w:rFonts w:ascii="宋体" w:hAnsi="宋体" w:cs="宋体" w:eastAsia="宋体" w:hint="default"/>
                <w:spacing w:val="-4"/>
                <w:sz w:val="18"/>
                <w:szCs w:val="18"/>
              </w:rPr>
              <w:t>伙）、天津华霖股权投资基金合伙企业（有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限合伙）、深圳市致诚博瑞投资合伙企业（有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限合伙）、姜盈顺、叶国庆、程良钰、黄琼</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承诺信义科技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年的</w:t>
            </w:r>
          </w:p>
          <w:p>
            <w:pPr>
              <w:pStyle w:val="TableParagraph"/>
              <w:spacing w:line="319" w:lineRule="auto"/>
              <w:ind w:left="24" w:right="10"/>
              <w:jc w:val="left"/>
              <w:rPr>
                <w:rFonts w:ascii="宋体" w:hAnsi="宋体" w:cs="宋体" w:eastAsia="宋体" w:hint="default"/>
                <w:sz w:val="18"/>
                <w:szCs w:val="18"/>
              </w:rPr>
            </w:pPr>
            <w:r>
              <w:rPr>
                <w:rFonts w:ascii="宋体" w:hAnsi="宋体" w:cs="宋体" w:eastAsia="宋体" w:hint="default"/>
                <w:spacing w:val="-4"/>
                <w:sz w:val="18"/>
                <w:szCs w:val="18"/>
              </w:rPr>
              <w:t>（归属于公司的）扣除非经常性损益的税后</w:t>
            </w:r>
            <w:r>
              <w:rPr>
                <w:rFonts w:ascii="宋体" w:hAnsi="宋体" w:cs="宋体" w:eastAsia="宋体" w:hint="default"/>
                <w:sz w:val="18"/>
                <w:szCs w:val="18"/>
              </w:rPr>
              <w:t> 净利润合计不低于人民币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12,740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w:t>
            </w:r>
          </w:p>
          <w:p>
            <w:pPr>
              <w:pStyle w:val="TableParagraph"/>
              <w:spacing w:line="246" w:lineRule="exact"/>
              <w:ind w:left="24" w:right="0"/>
              <w:jc w:val="left"/>
              <w:rPr>
                <w:rFonts w:ascii="宋体" w:hAnsi="宋体" w:cs="宋体" w:eastAsia="宋体" w:hint="default"/>
                <w:sz w:val="18"/>
                <w:szCs w:val="18"/>
              </w:rPr>
            </w:pPr>
            <w:r>
              <w:rPr>
                <w:rFonts w:ascii="宋体" w:hAnsi="宋体" w:cs="宋体" w:eastAsia="宋体" w:hint="default"/>
                <w:sz w:val="18"/>
                <w:szCs w:val="18"/>
              </w:rPr>
              <w:t>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年不低于人民币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42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49"/>
              <w:ind w:left="-152" w:right="28"/>
              <w:jc w:val="center"/>
              <w:rPr>
                <w:rFonts w:ascii="Times New Roman" w:hAnsi="Times New Roman" w:cs="Times New Roman" w:eastAsia="Times New Roman"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2017</w:t>
            </w:r>
          </w:p>
          <w:p>
            <w:pPr>
              <w:pStyle w:val="TableParagraph"/>
              <w:spacing w:line="240" w:lineRule="auto" w:before="63"/>
              <w:ind w:right="197"/>
              <w:jc w:val="center"/>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8"/>
              <w:ind w:right="194"/>
              <w:jc w:val="center"/>
              <w:rPr>
                <w:rFonts w:ascii="Times New Roman" w:hAnsi="Times New Roman" w:cs="Times New Roman" w:eastAsia="Times New Roman" w:hint="default"/>
                <w:sz w:val="18"/>
                <w:szCs w:val="18"/>
              </w:rPr>
            </w:pPr>
            <w:r>
              <w:rPr>
                <w:rFonts w:ascii="Times New Roman"/>
                <w:sz w:val="18"/>
              </w:rPr>
              <w:t>01</w:t>
            </w:r>
          </w:p>
          <w:p>
            <w:pPr>
              <w:pStyle w:val="TableParagraph"/>
              <w:spacing w:line="240" w:lineRule="auto" w:before="63"/>
              <w:ind w:right="197"/>
              <w:jc w:val="center"/>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right="194"/>
              <w:jc w:val="center"/>
              <w:rPr>
                <w:rFonts w:ascii="Times New Roman" w:hAnsi="Times New Roman" w:cs="Times New Roman" w:eastAsia="Times New Roman" w:hint="default"/>
                <w:sz w:val="18"/>
                <w:szCs w:val="18"/>
              </w:rPr>
            </w:pPr>
            <w:r>
              <w:rPr>
                <w:rFonts w:ascii="Times New Roman"/>
                <w:sz w:val="18"/>
              </w:rPr>
              <w:t>01</w:t>
            </w:r>
          </w:p>
          <w:p>
            <w:pPr>
              <w:pStyle w:val="TableParagraph"/>
              <w:spacing w:line="240" w:lineRule="auto" w:before="63"/>
              <w:ind w:right="197"/>
              <w:jc w:val="center"/>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信义科技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2"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年经审计 的扣除非经常性 损益后的净利润 分别为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3,131.63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w:t>
            </w:r>
          </w:p>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元和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4,449.11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403"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86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51"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6"/>
              <w:jc w:val="both"/>
              <w:rPr>
                <w:rFonts w:ascii="宋体" w:hAnsi="宋体" w:cs="宋体" w:eastAsia="宋体" w:hint="default"/>
                <w:sz w:val="18"/>
                <w:szCs w:val="18"/>
              </w:rPr>
            </w:pPr>
            <w:r>
              <w:rPr>
                <w:rFonts w:ascii="宋体" w:hAnsi="宋体" w:cs="宋体" w:eastAsia="宋体" w:hint="default"/>
                <w:sz w:val="18"/>
                <w:szCs w:val="18"/>
              </w:rPr>
              <w:t>如承诺超期未履行完 毕的，应当详细说明 未完成履行的具体原 因及下一步的工作计 划</w:t>
            </w:r>
          </w:p>
        </w:tc>
        <w:tc>
          <w:tcPr>
            <w:tcW w:w="786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4"/>
        <w:rPr>
          <w:rFonts w:ascii="Times New Roman" w:hAnsi="Times New Roman" w:cs="Times New Roman" w:eastAsia="Times New Roman" w:hint="default"/>
          <w:sz w:val="22"/>
          <w:szCs w:val="22"/>
        </w:rPr>
      </w:pPr>
    </w:p>
    <w:p>
      <w:pPr>
        <w:pStyle w:val="Heading4"/>
        <w:spacing w:line="271" w:lineRule="auto" w:before="37"/>
        <w:ind w:right="1034"/>
        <w:jc w:val="left"/>
        <w:rPr>
          <w:b w:val="0"/>
          <w:bCs w:val="0"/>
        </w:rPr>
      </w:pPr>
      <w:r>
        <w:rPr>
          <w:rFonts w:ascii="Times New Roman" w:hAnsi="Times New Roman" w:cs="Times New Roman" w:eastAsia="Times New Roman" w:hint="default"/>
          <w:spacing w:val="-1"/>
          <w:w w:val="95"/>
        </w:rPr>
        <w:t>2</w:t>
      </w:r>
      <w:r>
        <w:rPr>
          <w:spacing w:val="-1"/>
          <w:w w:val="95"/>
        </w:rPr>
        <w:t>、公司资产或项目存在盈利预测，且报告期仍处在盈利预测期间，公司就资产或项目达到原盈利预测及其原因</w:t>
      </w:r>
      <w:r>
        <w:rPr>
          <w:spacing w:val="37"/>
          <w:w w:val="95"/>
        </w:rPr>
        <w:t> </w:t>
      </w:r>
      <w:r>
        <w:rPr>
          <w:spacing w:val="37"/>
          <w:w w:val="95"/>
        </w:rPr>
      </w:r>
      <w:r>
        <w:rPr/>
        <w:t>做出说明</w:t>
      </w:r>
      <w:r>
        <w:rPr>
          <w:b w:val="0"/>
          <w:bCs w:val="0"/>
        </w:rPr>
      </w:r>
    </w:p>
    <w:p>
      <w:pPr>
        <w:spacing w:line="240" w:lineRule="auto" w:before="0"/>
        <w:rPr>
          <w:rFonts w:ascii="宋体" w:hAnsi="宋体" w:cs="宋体" w:eastAsia="宋体" w:hint="default"/>
          <w:b/>
          <w:bCs/>
          <w:sz w:val="26"/>
          <w:szCs w:val="26"/>
        </w:rPr>
      </w:pPr>
    </w:p>
    <w:p>
      <w:pPr>
        <w:pStyle w:val="BodyText"/>
        <w:spacing w:line="240" w:lineRule="auto"/>
        <w:ind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9"/>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244"/>
        <w:gridCol w:w="850"/>
        <w:gridCol w:w="850"/>
        <w:gridCol w:w="1987"/>
        <w:gridCol w:w="1133"/>
        <w:gridCol w:w="1274"/>
        <w:gridCol w:w="853"/>
        <w:gridCol w:w="1380"/>
      </w:tblGrid>
      <w:tr>
        <w:trPr>
          <w:trHeight w:val="749" w:hRule="exact"/>
        </w:trPr>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166" w:right="75"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240" w:right="59" w:hanging="180"/>
              <w:jc w:val="left"/>
              <w:rPr>
                <w:rFonts w:ascii="宋体" w:hAnsi="宋体" w:cs="宋体" w:eastAsia="宋体" w:hint="default"/>
                <w:sz w:val="18"/>
                <w:szCs w:val="18"/>
              </w:rPr>
            </w:pPr>
            <w:r>
              <w:rPr>
                <w:rFonts w:ascii="宋体" w:hAnsi="宋体" w:cs="宋体" w:eastAsia="宋体" w:hint="default"/>
                <w:sz w:val="18"/>
                <w:szCs w:val="18"/>
              </w:rPr>
              <w:t>预测起始 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239" w:right="58" w:hanging="180"/>
              <w:jc w:val="left"/>
              <w:rPr>
                <w:rFonts w:ascii="宋体" w:hAnsi="宋体" w:cs="宋体" w:eastAsia="宋体" w:hint="default"/>
                <w:sz w:val="18"/>
                <w:szCs w:val="18"/>
              </w:rPr>
            </w:pPr>
            <w:r>
              <w:rPr>
                <w:rFonts w:ascii="宋体" w:hAnsi="宋体" w:cs="宋体" w:eastAsia="宋体" w:hint="default"/>
                <w:sz w:val="18"/>
                <w:szCs w:val="18"/>
              </w:rPr>
              <w:t>预测终止 时间</w:t>
            </w:r>
          </w:p>
        </w:tc>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当期预测业绩（万元）</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112" w:right="108"/>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4"/>
              <w:ind w:left="362" w:right="269" w:hanging="89"/>
              <w:jc w:val="left"/>
              <w:rPr>
                <w:rFonts w:ascii="宋体" w:hAnsi="宋体" w:cs="宋体" w:eastAsia="宋体" w:hint="default"/>
                <w:sz w:val="18"/>
                <w:szCs w:val="18"/>
              </w:rPr>
            </w:pPr>
            <w:r>
              <w:rPr>
                <w:rFonts w:ascii="宋体" w:hAnsi="宋体" w:cs="宋体" w:eastAsia="宋体" w:hint="default"/>
                <w:sz w:val="18"/>
                <w:szCs w:val="18"/>
              </w:rPr>
              <w:t>未达预测 的原因</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151" w:right="62" w:hanging="92"/>
              <w:jc w:val="left"/>
              <w:rPr>
                <w:rFonts w:ascii="宋体" w:hAnsi="宋体" w:cs="宋体" w:eastAsia="宋体" w:hint="default"/>
                <w:sz w:val="18"/>
                <w:szCs w:val="18"/>
              </w:rPr>
            </w:pPr>
            <w:r>
              <w:rPr>
                <w:rFonts w:ascii="宋体" w:hAnsi="宋体" w:cs="宋体" w:eastAsia="宋体" w:hint="default"/>
                <w:sz w:val="18"/>
                <w:szCs w:val="18"/>
              </w:rPr>
              <w:t>原预测披 露日期</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1649" w:hRule="exact"/>
        </w:trPr>
        <w:tc>
          <w:tcPr>
            <w:tcW w:w="124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316" w:lineRule="auto"/>
              <w:ind w:left="24" w:right="129"/>
              <w:jc w:val="both"/>
              <w:rPr>
                <w:rFonts w:ascii="宋体" w:hAnsi="宋体" w:cs="宋体" w:eastAsia="宋体" w:hint="default"/>
                <w:sz w:val="18"/>
                <w:szCs w:val="18"/>
              </w:rPr>
            </w:pPr>
            <w:r>
              <w:rPr>
                <w:rFonts w:ascii="宋体" w:hAnsi="宋体" w:cs="宋体" w:eastAsia="宋体" w:hint="default"/>
                <w:sz w:val="18"/>
                <w:szCs w:val="18"/>
              </w:rPr>
              <w:t>协议受让及认 购定向发行股 份投资持有美 电贝尔股权</w:t>
            </w:r>
          </w:p>
        </w:tc>
        <w:tc>
          <w:tcPr>
            <w:tcW w:w="850"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38" w:right="2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2016-2018 </w:t>
            </w:r>
            <w:r>
              <w:rPr>
                <w:rFonts w:ascii="宋体" w:hAnsi="宋体" w:cs="宋体" w:eastAsia="宋体" w:hint="default"/>
                <w:sz w:val="18"/>
                <w:szCs w:val="18"/>
              </w:rPr>
              <w:t>年三年经审计 扣除非经常性损益的税 后净利润累计不低于 </w:t>
            </w:r>
            <w:r>
              <w:rPr>
                <w:rFonts w:ascii="Times New Roman" w:hAnsi="Times New Roman" w:cs="Times New Roman" w:eastAsia="Times New Roman" w:hint="default"/>
                <w:sz w:val="18"/>
                <w:szCs w:val="18"/>
              </w:rPr>
              <w:t>8,008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1,930.63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center"/>
              <w:rPr>
                <w:rFonts w:ascii="宋体" w:hAnsi="宋体" w:cs="宋体" w:eastAsia="宋体" w:hint="default"/>
                <w:sz w:val="18"/>
                <w:szCs w:val="18"/>
              </w:rPr>
            </w:pPr>
            <w:r>
              <w:rPr>
                <w:rFonts w:ascii="宋体" w:hAnsi="宋体" w:cs="宋体" w:eastAsia="宋体" w:hint="default"/>
                <w:sz w:val="18"/>
                <w:szCs w:val="18"/>
              </w:rPr>
              <w:t>主要受军改及 试点项目业绩 尚未释放等影 响所致</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43" w:right="45" w:firstLine="3"/>
              <w:jc w:val="center"/>
              <w:rPr>
                <w:rFonts w:ascii="Times New Roman" w:hAnsi="Times New Roman" w:cs="Times New Roman" w:eastAsia="Times New Roman" w:hint="default"/>
                <w:sz w:val="18"/>
                <w:szCs w:val="18"/>
              </w:rPr>
            </w:pPr>
            <w:r>
              <w:rPr>
                <w:rFonts w:ascii="宋体" w:hAnsi="宋体" w:cs="宋体" w:eastAsia="宋体" w:hint="default"/>
                <w:sz w:val="18"/>
                <w:szCs w:val="18"/>
              </w:rPr>
              <w:t>《证券时报》及 巨潮资讯网 </w:t>
            </w:r>
            <w:hyperlink r:id="rId13">
              <w:r>
                <w:rPr>
                  <w:rFonts w:ascii="Times New Roman" w:hAnsi="Times New Roman" w:cs="Times New Roman" w:eastAsia="Times New Roman" w:hint="default"/>
                  <w:spacing w:val="-2"/>
                  <w:sz w:val="18"/>
                  <w:szCs w:val="18"/>
                </w:rPr>
                <w:t>www.cninfo.com.</w:t>
              </w:r>
            </w:hyperlink>
          </w:p>
          <w:p>
            <w:pPr>
              <w:pStyle w:val="TableParagraph"/>
              <w:spacing w:line="230" w:lineRule="exact"/>
              <w:ind w:left="3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cn </w:t>
            </w:r>
            <w:r>
              <w:rPr>
                <w:rFonts w:ascii="宋体" w:hAnsi="宋体" w:cs="宋体" w:eastAsia="宋体" w:hint="default"/>
                <w:sz w:val="18"/>
                <w:szCs w:val="18"/>
              </w:rPr>
              <w:t>上的临</w:t>
            </w:r>
          </w:p>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号公告</w:t>
            </w:r>
          </w:p>
        </w:tc>
      </w:tr>
      <w:tr>
        <w:trPr>
          <w:trHeight w:val="40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收购湖北琪顺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2017-2019 </w:t>
            </w:r>
            <w:r>
              <w:rPr>
                <w:rFonts w:ascii="宋体" w:hAnsi="宋体" w:cs="宋体" w:eastAsia="宋体" w:hint="default"/>
                <w:sz w:val="18"/>
                <w:szCs w:val="18"/>
              </w:rPr>
              <w:t>三年经审计扣</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-462.46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《证券时报》及</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261" w:type="dxa"/>
        <w:tblLayout w:type="fixed"/>
        <w:tblCellMar>
          <w:top w:w="0" w:type="dxa"/>
          <w:left w:w="0" w:type="dxa"/>
          <w:bottom w:w="0" w:type="dxa"/>
          <w:right w:w="0" w:type="dxa"/>
        </w:tblCellMar>
        <w:tblLook w:val="01E0"/>
      </w:tblPr>
      <w:tblGrid>
        <w:gridCol w:w="1244"/>
        <w:gridCol w:w="850"/>
        <w:gridCol w:w="850"/>
        <w:gridCol w:w="1987"/>
        <w:gridCol w:w="1133"/>
        <w:gridCol w:w="1274"/>
        <w:gridCol w:w="853"/>
        <w:gridCol w:w="1380"/>
      </w:tblGrid>
      <w:tr>
        <w:trPr>
          <w:trHeight w:val="1299"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29"/>
              <w:jc w:val="both"/>
              <w:rPr>
                <w:rFonts w:ascii="宋体" w:hAnsi="宋体" w:cs="宋体" w:eastAsia="宋体" w:hint="default"/>
                <w:sz w:val="18"/>
                <w:szCs w:val="18"/>
              </w:rPr>
            </w:pPr>
            <w:r>
              <w:rPr>
                <w:rFonts w:ascii="宋体" w:hAnsi="宋体" w:cs="宋体" w:eastAsia="宋体" w:hint="default"/>
                <w:sz w:val="18"/>
                <w:szCs w:val="18"/>
              </w:rPr>
              <w:t>投资有限公司 持有的湖北融 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45" w:right="38" w:hanging="1"/>
              <w:jc w:val="center"/>
              <w:rPr>
                <w:rFonts w:ascii="宋体" w:hAnsi="宋体" w:cs="宋体" w:eastAsia="宋体" w:hint="default"/>
                <w:sz w:val="18"/>
                <w:szCs w:val="18"/>
              </w:rPr>
            </w:pPr>
            <w:r>
              <w:rPr>
                <w:rFonts w:ascii="宋体" w:hAnsi="宋体" w:cs="宋体" w:eastAsia="宋体" w:hint="default"/>
                <w:sz w:val="18"/>
                <w:szCs w:val="18"/>
              </w:rPr>
              <w:t>除非经常性损益的税后 净利润累计不低于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1,946 </w:t>
            </w:r>
            <w:r>
              <w:rPr>
                <w:rFonts w:ascii="宋体" w:hAnsi="宋体" w:cs="宋体" w:eastAsia="宋体" w:hint="default"/>
                <w:sz w:val="18"/>
                <w:szCs w:val="18"/>
              </w:rPr>
              <w:t>万元</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7" w:lineRule="auto" w:before="118"/>
              <w:ind w:left="43" w:right="43" w:hanging="2"/>
              <w:jc w:val="center"/>
              <w:rPr>
                <w:rFonts w:ascii="宋体" w:hAnsi="宋体" w:cs="宋体" w:eastAsia="宋体" w:hint="default"/>
                <w:sz w:val="18"/>
                <w:szCs w:val="18"/>
              </w:rPr>
            </w:pPr>
            <w:hyperlink r:id="rId13">
              <w:r>
                <w:rPr>
                  <w:rFonts w:ascii="Times New Roman" w:hAnsi="Times New Roman" w:cs="Times New Roman" w:eastAsia="Times New Roman" w:hint="default"/>
                  <w:spacing w:val="-2"/>
                  <w:sz w:val="18"/>
                  <w:szCs w:val="18"/>
                </w:rPr>
                <w:t>www.cninfo.com.</w:t>
              </w:r>
            </w:hyperlink>
            <w:r>
              <w:rPr>
                <w:rFonts w:ascii="Times New Roman" w:hAnsi="Times New Roman" w:cs="Times New Roman" w:eastAsia="Times New Roman" w:hint="default"/>
                <w:sz w:val="18"/>
                <w:szCs w:val="18"/>
              </w:rPr>
              <w:t> cn </w:t>
            </w:r>
            <w:r>
              <w:rPr>
                <w:rFonts w:ascii="宋体" w:hAnsi="宋体" w:cs="宋体" w:eastAsia="宋体" w:hint="default"/>
                <w:sz w:val="18"/>
                <w:szCs w:val="18"/>
              </w:rPr>
              <w:t>上的《临 </w:t>
            </w:r>
            <w:r>
              <w:rPr>
                <w:rFonts w:ascii="Times New Roman" w:hAnsi="Times New Roman" w:cs="Times New Roman" w:eastAsia="Times New Roman" w:hint="default"/>
                <w:sz w:val="18"/>
                <w:szCs w:val="18"/>
              </w:rPr>
              <w:t>2017-037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号公告</w:t>
            </w:r>
          </w:p>
        </w:tc>
      </w:tr>
      <w:tr>
        <w:trPr>
          <w:trHeight w:val="196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中科江南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2019</w:t>
            </w:r>
          </w:p>
          <w:p>
            <w:pPr>
              <w:pStyle w:val="TableParagraph"/>
              <w:spacing w:line="309" w:lineRule="auto" w:before="63"/>
              <w:ind w:left="26" w:right="18"/>
              <w:jc w:val="left"/>
              <w:rPr>
                <w:rFonts w:ascii="Times New Roman" w:hAnsi="Times New Roman" w:cs="Times New Roman" w:eastAsia="Times New Roman" w:hint="default"/>
                <w:sz w:val="18"/>
                <w:szCs w:val="18"/>
              </w:rPr>
            </w:pPr>
            <w:r>
              <w:rPr>
                <w:rFonts w:ascii="宋体" w:hAnsi="宋体" w:cs="宋体" w:eastAsia="宋体" w:hint="default"/>
                <w:sz w:val="18"/>
                <w:szCs w:val="18"/>
              </w:rPr>
              <w:t>年及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年扣除非经常 性损益后的净利润分别 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万元、</w:t>
            </w:r>
            <w:r>
              <w:rPr>
                <w:rFonts w:ascii="Times New Roman" w:hAnsi="Times New Roman" w:cs="Times New Roman" w:eastAsia="Times New Roman" w:hint="default"/>
                <w:spacing w:val="-7"/>
                <w:sz w:val="18"/>
                <w:szCs w:val="18"/>
              </w:rPr>
              <w:t>4,500</w:t>
            </w:r>
          </w:p>
          <w:p>
            <w:pPr>
              <w:pStyle w:val="TableParagraph"/>
              <w:spacing w:line="240" w:lineRule="auto" w:before="5"/>
              <w:ind w:left="26"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万元、</w:t>
            </w:r>
            <w:r>
              <w:rPr>
                <w:rFonts w:ascii="Times New Roman" w:hAnsi="Times New Roman" w:cs="Times New Roman" w:eastAsia="Times New Roman" w:hint="default"/>
                <w:spacing w:val="-7"/>
                <w:sz w:val="18"/>
                <w:szCs w:val="18"/>
              </w:rPr>
              <w:t>5,100 </w:t>
            </w:r>
            <w:r>
              <w:rPr>
                <w:rFonts w:ascii="宋体" w:hAnsi="宋体" w:cs="宋体" w:eastAsia="宋体" w:hint="default"/>
                <w:sz w:val="18"/>
                <w:szCs w:val="18"/>
              </w:rPr>
              <w:t>万元及</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6,000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5,294.03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60"/>
              <w:jc w:val="right"/>
              <w:rPr>
                <w:rFonts w:ascii="宋体" w:hAnsi="宋体" w:cs="宋体" w:eastAsia="宋体" w:hint="default"/>
                <w:sz w:val="18"/>
                <w:szCs w:val="18"/>
              </w:rPr>
            </w:pPr>
            <w:r>
              <w:rPr>
                <w:rFonts w:ascii="宋体" w:hAnsi="宋体" w:cs="宋体" w:eastAsia="宋体" w:hint="default"/>
                <w:sz w:val="18"/>
                <w:szCs w:val="18"/>
              </w:rPr>
              <w:t>不适用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2" w:lineRule="exact"/>
              <w:ind w:left="23" w:right="52"/>
              <w:jc w:val="left"/>
              <w:rPr>
                <w:rFonts w:ascii="宋体" w:hAnsi="宋体" w:cs="宋体" w:eastAsia="宋体" w:hint="default"/>
                <w:sz w:val="18"/>
                <w:szCs w:val="18"/>
              </w:rPr>
            </w:pPr>
            <w:r>
              <w:rPr>
                <w:rFonts w:ascii="宋体" w:hAnsi="宋体" w:cs="宋体" w:eastAsia="宋体" w:hint="default"/>
                <w:sz w:val="18"/>
                <w:szCs w:val="18"/>
              </w:rPr>
              <w:t>《证券时报》及 巨潮资讯网 </w:t>
            </w:r>
            <w:hyperlink r:id="rId13">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cn </w:t>
            </w:r>
            <w:r>
              <w:rPr>
                <w:rFonts w:ascii="宋体" w:hAnsi="宋体" w:cs="宋体" w:eastAsia="宋体" w:hint="default"/>
                <w:sz w:val="18"/>
                <w:szCs w:val="18"/>
              </w:rPr>
              <w:t>上的临</w:t>
            </w:r>
          </w:p>
          <w:p>
            <w:pPr>
              <w:pStyle w:val="TableParagraph"/>
              <w:spacing w:line="240" w:lineRule="auto" w:before="3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号公告</w:t>
            </w:r>
          </w:p>
        </w:tc>
      </w:tr>
      <w:tr>
        <w:trPr>
          <w:trHeight w:val="2276"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信义科技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2019</w:t>
            </w:r>
          </w:p>
          <w:p>
            <w:pPr>
              <w:pStyle w:val="TableParagraph"/>
              <w:spacing w:line="316" w:lineRule="auto" w:before="63"/>
              <w:ind w:left="26" w:right="18"/>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年的（归属于公司的）扣</w:t>
            </w:r>
            <w:r>
              <w:rPr>
                <w:rFonts w:ascii="宋体" w:hAnsi="宋体" w:cs="宋体" w:eastAsia="宋体" w:hint="default"/>
                <w:sz w:val="18"/>
                <w:szCs w:val="18"/>
              </w:rPr>
              <w:t> 除非经常性损益的税后 净利润合计不低于人民 币</w:t>
            </w:r>
            <w:r>
              <w:rPr>
                <w:rFonts w:ascii="宋体" w:hAnsi="宋体" w:cs="宋体" w:eastAsia="宋体" w:hint="default"/>
                <w:spacing w:val="-60"/>
                <w:sz w:val="18"/>
                <w:szCs w:val="18"/>
              </w:rPr>
              <w:t> </w:t>
            </w:r>
            <w:r>
              <w:rPr>
                <w:rFonts w:ascii="Times New Roman" w:hAnsi="Times New Roman" w:cs="Times New Roman" w:eastAsia="Times New Roman" w:hint="default"/>
                <w:spacing w:val="-1"/>
                <w:sz w:val="18"/>
                <w:szCs w:val="18"/>
              </w:rPr>
              <w:t>12,740</w:t>
            </w:r>
            <w:r>
              <w:rPr>
                <w:rFonts w:ascii="Times New Roman" w:hAnsi="Times New Roman" w:cs="Times New Roman" w:eastAsia="Times New Roman" w:hint="default"/>
                <w:spacing w:val="-13"/>
                <w:sz w:val="18"/>
                <w:szCs w:val="18"/>
              </w:rPr>
              <w:t> </w:t>
            </w:r>
            <w:r>
              <w:rPr>
                <w:rFonts w:ascii="宋体" w:hAnsi="宋体" w:cs="宋体" w:eastAsia="宋体" w:hint="default"/>
                <w:spacing w:val="-19"/>
                <w:sz w:val="18"/>
                <w:szCs w:val="18"/>
              </w:rPr>
              <w:t>万元，其中</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2017</w:t>
            </w:r>
          </w:p>
          <w:p>
            <w:pPr>
              <w:pStyle w:val="TableParagraph"/>
              <w:spacing w:line="300" w:lineRule="auto"/>
              <w:ind w:left="26" w:right="17"/>
              <w:jc w:val="left"/>
              <w:rPr>
                <w:rFonts w:ascii="宋体" w:hAnsi="宋体" w:cs="宋体" w:eastAsia="宋体" w:hint="default"/>
                <w:sz w:val="18"/>
                <w:szCs w:val="18"/>
              </w:rPr>
            </w:pPr>
            <w:r>
              <w:rPr>
                <w:rFonts w:ascii="宋体" w:hAnsi="宋体" w:cs="宋体" w:eastAsia="宋体" w:hint="default"/>
                <w:sz w:val="18"/>
                <w:szCs w:val="18"/>
              </w:rPr>
              <w:t>年不低于人民币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元。</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4,449.11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360"/>
              <w:jc w:val="right"/>
              <w:rPr>
                <w:rFonts w:ascii="宋体" w:hAnsi="宋体" w:cs="宋体" w:eastAsia="宋体" w:hint="default"/>
                <w:sz w:val="18"/>
                <w:szCs w:val="18"/>
              </w:rPr>
            </w:pPr>
            <w:r>
              <w:rPr>
                <w:rFonts w:ascii="宋体" w:hAnsi="宋体" w:cs="宋体" w:eastAsia="宋体" w:hint="default"/>
                <w:sz w:val="18"/>
                <w:szCs w:val="18"/>
              </w:rPr>
              <w:t>不适用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2" w:lineRule="exact"/>
              <w:ind w:left="23" w:right="48"/>
              <w:jc w:val="left"/>
              <w:rPr>
                <w:rFonts w:ascii="宋体" w:hAnsi="宋体" w:cs="宋体" w:eastAsia="宋体" w:hint="default"/>
                <w:sz w:val="18"/>
                <w:szCs w:val="18"/>
              </w:rPr>
            </w:pPr>
            <w:r>
              <w:rPr>
                <w:rFonts w:ascii="宋体" w:hAnsi="宋体" w:cs="宋体" w:eastAsia="宋体" w:hint="default"/>
                <w:sz w:val="18"/>
                <w:szCs w:val="18"/>
              </w:rPr>
              <w:t>《证券时报》及 巨潮资讯网 </w:t>
            </w:r>
            <w:hyperlink r:id="rId13">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cn </w:t>
            </w:r>
            <w:r>
              <w:rPr>
                <w:rFonts w:ascii="宋体" w:hAnsi="宋体" w:cs="宋体" w:eastAsia="宋体" w:hint="default"/>
                <w:sz w:val="18"/>
                <w:szCs w:val="18"/>
              </w:rPr>
              <w:t>上临时公告临 </w:t>
            </w:r>
            <w:r>
              <w:rPr>
                <w:rFonts w:ascii="Times New Roman" w:hAnsi="Times New Roman" w:cs="Times New Roman" w:eastAsia="Times New Roman" w:hint="default"/>
                <w:sz w:val="18"/>
                <w:szCs w:val="18"/>
              </w:rPr>
              <w:t>2018-002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号公告</w:t>
            </w:r>
          </w:p>
        </w:tc>
      </w:tr>
    </w:tbl>
    <w:p>
      <w:pPr>
        <w:pStyle w:val="BodyText"/>
        <w:spacing w:line="240" w:lineRule="auto" w:before="49"/>
        <w:ind w:left="232" w:right="0"/>
        <w:jc w:val="left"/>
      </w:pPr>
      <w:r>
        <w:rPr/>
        <w:t>公司股东、交易对手方在报告年度经营业绩做出的承诺情况</w:t>
      </w:r>
    </w:p>
    <w:p>
      <w:pPr>
        <w:pStyle w:val="BodyText"/>
        <w:spacing w:line="240" w:lineRule="auto" w:before="115"/>
        <w:ind w:left="2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48" w:lineRule="auto" w:before="103"/>
        <w:ind w:left="232" w:right="6974"/>
        <w:jc w:val="left"/>
      </w:pPr>
      <w:r>
        <w:rPr/>
        <w:t>详见</w:t>
      </w:r>
      <w:r>
        <w:rPr>
          <w:rFonts w:ascii="Times New Roman" w:hAnsi="Times New Roman" w:cs="Times New Roman" w:eastAsia="Times New Roman" w:hint="default"/>
        </w:rPr>
        <w:t>“</w:t>
      </w:r>
      <w:r>
        <w:rPr/>
        <w:t>第五节三、</w:t>
      </w:r>
      <w:r>
        <w:rPr>
          <w:rFonts w:ascii="Times New Roman" w:hAnsi="Times New Roman" w:cs="Times New Roman" w:eastAsia="Times New Roman" w:hint="default"/>
        </w:rPr>
        <w:t>1”</w:t>
      </w:r>
      <w:r>
        <w:rPr/>
        <w:t>中的相关承诺。 业绩承诺的完成情况及其对商誉减值测试的影响 无</w:t>
      </w:r>
    </w:p>
    <w:p>
      <w:pPr>
        <w:spacing w:line="240" w:lineRule="auto" w:before="1"/>
        <w:rPr>
          <w:rFonts w:ascii="宋体" w:hAnsi="宋体" w:cs="宋体" w:eastAsia="宋体" w:hint="default"/>
          <w:sz w:val="19"/>
          <w:szCs w:val="19"/>
        </w:rPr>
      </w:pPr>
    </w:p>
    <w:p>
      <w:pPr>
        <w:pStyle w:val="Heading2"/>
        <w:spacing w:line="240" w:lineRule="auto"/>
        <w:ind w:left="232" w:right="0"/>
        <w:jc w:val="left"/>
        <w:rPr>
          <w:b w:val="0"/>
          <w:bCs w:val="0"/>
        </w:rPr>
      </w:pP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232"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left="232" w:right="0"/>
        <w:jc w:val="left"/>
        <w:rPr>
          <w:b w:val="0"/>
          <w:bCs w:val="0"/>
        </w:rPr>
      </w:pPr>
      <w:r>
        <w:rPr/>
        <w:t>五、董事会、监事会、独立董事对会计师事务所本报告期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left="2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232" w:right="0"/>
        <w:jc w:val="left"/>
        <w:rPr>
          <w:b w:val="0"/>
          <w:bCs w:val="0"/>
        </w:rPr>
      </w:pP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left="232" w:right="0" w:firstLine="360"/>
        <w:jc w:val="left"/>
      </w:pPr>
      <w:r>
        <w:rPr/>
        <w:pict>
          <v:group style="position:absolute;margin-left:50.52pt;margin-top:55.521713pt;width:494.25pt;height:73.5pt;mso-position-horizontal-relative:page;mso-position-vertical-relative:paragraph;z-index:-1289920" coordorigin="1010,1110" coordsize="9885,1470">
            <v:group style="position:absolute;left:1025;top:1125;width:5349;height:2" coordorigin="1025,1125" coordsize="5349,2">
              <v:shape style="position:absolute;left:1025;top:1125;width:5349;height:2" coordorigin="1025,1125" coordsize="5349,0" path="m1025,1125l6373,1125e" filled="false" stroked="true" strokeweight="1.44pt" strokecolor="#000000">
                <v:path arrowok="t"/>
              </v:shape>
              <v:shape style="position:absolute;left:6373;top:1139;width:10;height:2" type="#_x0000_t75" stroked="false">
                <v:imagedata r:id="rId14" o:title=""/>
              </v:shape>
            </v:group>
            <v:group style="position:absolute;left:6373;top:1125;width:29;height:2" coordorigin="6373,1125" coordsize="29,2">
              <v:shape style="position:absolute;left:6373;top:1125;width:29;height:2" coordorigin="6373,1125" coordsize="29,0" path="m6373,1125l6402,1125e" filled="false" stroked="true" strokeweight="1.44pt" strokecolor="#000000">
                <v:path arrowok="t"/>
              </v:shape>
            </v:group>
            <v:group style="position:absolute;left:6402;top:1125;width:4479;height:2" coordorigin="6402,1125" coordsize="4479,2">
              <v:shape style="position:absolute;left:6402;top:1125;width:4479;height:2" coordorigin="6402,1125" coordsize="4479,0" path="m6402,1125l10881,1125e" filled="false" stroked="true" strokeweight="1.44pt" strokecolor="#000000">
                <v:path arrowok="t"/>
              </v:shape>
            </v:group>
            <v:group style="position:absolute;left:6373;top:1142;width:10;height:20" coordorigin="6373,1142" coordsize="10,20">
              <v:shape style="position:absolute;left:6373;top:1142;width:10;height:20" coordorigin="6373,1142" coordsize="10,20" path="m6373,1161l6383,1161,6383,1142,6373,1142,6373,1161xe" filled="true" fillcolor="#000000" stroked="false">
                <v:path arrowok="t"/>
                <v:fill type="solid"/>
              </v:shape>
            </v:group>
            <v:group style="position:absolute;left:6373;top:1161;width:10;height:20" coordorigin="6373,1161" coordsize="10,20">
              <v:shape style="position:absolute;left:6373;top:1161;width:10;height:20" coordorigin="6373,1161" coordsize="10,20" path="m6373,1180l6383,1180,6383,1161,6373,1161,6373,1180xe" filled="true" fillcolor="#000000" stroked="false">
                <v:path arrowok="t"/>
                <v:fill type="solid"/>
              </v:shape>
            </v:group>
            <v:group style="position:absolute;left:6373;top:1180;width:10;height:20" coordorigin="6373,1180" coordsize="10,20">
              <v:shape style="position:absolute;left:6373;top:1180;width:10;height:20" coordorigin="6373,1180" coordsize="10,20" path="m6373,1199l6383,1199,6383,1180,6373,1180,6373,1199xe" filled="true" fillcolor="#000000" stroked="false">
                <v:path arrowok="t"/>
                <v:fill type="solid"/>
              </v:shape>
            </v:group>
            <v:group style="position:absolute;left:6373;top:1199;width:10;height:20" coordorigin="6373,1199" coordsize="10,20">
              <v:shape style="position:absolute;left:6373;top:1199;width:10;height:20" coordorigin="6373,1199" coordsize="10,20" path="m6373,1218l6383,1218,6383,1199,6373,1199,6373,1218xe" filled="true" fillcolor="#000000" stroked="false">
                <v:path arrowok="t"/>
                <v:fill type="solid"/>
              </v:shape>
            </v:group>
            <v:group style="position:absolute;left:6373;top:1218;width:10;height:20" coordorigin="6373,1218" coordsize="10,20">
              <v:shape style="position:absolute;left:6373;top:1218;width:10;height:20" coordorigin="6373,1218" coordsize="10,20" path="m6373,1238l6383,1238,6383,1218,6373,1218,6373,1238xe" filled="true" fillcolor="#000000" stroked="false">
                <v:path arrowok="t"/>
                <v:fill type="solid"/>
              </v:shape>
            </v:group>
            <v:group style="position:absolute;left:6373;top:1238;width:10;height:20" coordorigin="6373,1238" coordsize="10,20">
              <v:shape style="position:absolute;left:6373;top:1238;width:10;height:20" coordorigin="6373,1238" coordsize="10,20" path="m6373,1257l6383,1257,6383,1238,6373,1238,6373,1257xe" filled="true" fillcolor="#000000" stroked="false">
                <v:path arrowok="t"/>
                <v:fill type="solid"/>
              </v:shape>
            </v:group>
            <v:group style="position:absolute;left:6373;top:1257;width:10;height:20" coordorigin="6373,1257" coordsize="10,20">
              <v:shape style="position:absolute;left:6373;top:1257;width:10;height:20" coordorigin="6373,1257" coordsize="10,20" path="m6373,1276l6383,1276,6383,1257,6373,1257,6373,1276xe" filled="true" fillcolor="#000000" stroked="false">
                <v:path arrowok="t"/>
                <v:fill type="solid"/>
              </v:shape>
            </v:group>
            <v:group style="position:absolute;left:6373;top:1276;width:10;height:20" coordorigin="6373,1276" coordsize="10,20">
              <v:shape style="position:absolute;left:6373;top:1276;width:10;height:20" coordorigin="6373,1276" coordsize="10,20" path="m6373,1295l6383,1295,6383,1276,6373,1276,6373,1295xe" filled="true" fillcolor="#000000" stroked="false">
                <v:path arrowok="t"/>
                <v:fill type="solid"/>
              </v:shape>
            </v:group>
            <v:group style="position:absolute;left:6373;top:1295;width:10;height:20" coordorigin="6373,1295" coordsize="10,20">
              <v:shape style="position:absolute;left:6373;top:1295;width:10;height:20" coordorigin="6373,1295" coordsize="10,20" path="m6373,1314l6383,1314,6383,1295,6373,1295,6373,1314xe" filled="true" fillcolor="#000000" stroked="false">
                <v:path arrowok="t"/>
                <v:fill type="solid"/>
              </v:shape>
            </v:group>
            <v:group style="position:absolute;left:6373;top:1314;width:10;height:20" coordorigin="6373,1314" coordsize="10,20">
              <v:shape style="position:absolute;left:6373;top:1314;width:10;height:20" coordorigin="6373,1314" coordsize="10,20" path="m6373,1334l6383,1334,6383,1314,6373,1314,6373,1334xe" filled="true" fillcolor="#000000" stroked="false">
                <v:path arrowok="t"/>
                <v:fill type="solid"/>
              </v:shape>
            </v:group>
            <v:group style="position:absolute;left:6373;top:1334;width:10;height:20" coordorigin="6373,1334" coordsize="10,20">
              <v:shape style="position:absolute;left:6373;top:1334;width:10;height:20" coordorigin="6373,1334" coordsize="10,20" path="m6373,1353l6383,1353,6383,1334,6373,1334,6373,1353xe" filled="true" fillcolor="#000000" stroked="false">
                <v:path arrowok="t"/>
                <v:fill type="solid"/>
              </v:shape>
            </v:group>
            <v:group style="position:absolute;left:6373;top:1353;width:10;height:20" coordorigin="6373,1353" coordsize="10,20">
              <v:shape style="position:absolute;left:6373;top:1353;width:10;height:20" coordorigin="6373,1353" coordsize="10,20" path="m6373,1372l6383,1372,6383,1353,6373,1353,6373,1372xe" filled="true" fillcolor="#000000" stroked="false">
                <v:path arrowok="t"/>
                <v:fill type="solid"/>
              </v:shape>
            </v:group>
            <v:group style="position:absolute;left:6373;top:1372;width:10;height:20" coordorigin="6373,1372" coordsize="10,20">
              <v:shape style="position:absolute;left:6373;top:1372;width:10;height:20" coordorigin="6373,1372" coordsize="10,20" path="m6373,1391l6383,1391,6383,1372,6373,1372,6373,1391xe" filled="true" fillcolor="#000000" stroked="false">
                <v:path arrowok="t"/>
                <v:fill type="solid"/>
              </v:shape>
            </v:group>
            <v:group style="position:absolute;left:6373;top:1391;width:10;height:20" coordorigin="6373,1391" coordsize="10,20">
              <v:shape style="position:absolute;left:6373;top:1391;width:10;height:20" coordorigin="6373,1391" coordsize="10,20" path="m6373,1410l6383,1410,6383,1391,6373,1391,6373,1410xe" filled="true" fillcolor="#000000" stroked="false">
                <v:path arrowok="t"/>
                <v:fill type="solid"/>
              </v:shape>
            </v:group>
            <v:group style="position:absolute;left:6373;top:1410;width:10;height:20" coordorigin="6373,1410" coordsize="10,20">
              <v:shape style="position:absolute;left:6373;top:1410;width:10;height:20" coordorigin="6373,1410" coordsize="10,20" path="m6373,1430l6383,1430,6383,1410,6373,1410,6373,1430xe" filled="true" fillcolor="#000000" stroked="false">
                <v:path arrowok="t"/>
                <v:fill type="solid"/>
              </v:shape>
            </v:group>
            <v:group style="position:absolute;left:6373;top:1430;width:10;height:20" coordorigin="6373,1430" coordsize="10,20">
              <v:shape style="position:absolute;left:6373;top:1430;width:10;height:20" coordorigin="6373,1430" coordsize="10,20" path="m6373,1449l6383,1449,6383,1430,6373,1430,6373,1449xe" filled="true" fillcolor="#000000" stroked="false">
                <v:path arrowok="t"/>
                <v:fill type="solid"/>
              </v:shape>
            </v:group>
            <v:group style="position:absolute;left:6373;top:1449;width:10;height:20" coordorigin="6373,1449" coordsize="10,20">
              <v:shape style="position:absolute;left:6373;top:1449;width:10;height:20" coordorigin="6373,1449" coordsize="10,20" path="m6373,1468l6383,1468,6383,1449,6373,1449,6373,1468xe" filled="true" fillcolor="#000000" stroked="false">
                <v:path arrowok="t"/>
                <v:fill type="solid"/>
              </v:shape>
            </v:group>
            <v:group style="position:absolute;left:6373;top:1468;width:10;height:20" coordorigin="6373,1468" coordsize="10,20">
              <v:shape style="position:absolute;left:6373;top:1468;width:10;height:20" coordorigin="6373,1468" coordsize="10,20" path="m6373,1487l6383,1487,6383,1468,6373,1468,6373,1487xe" filled="true" fillcolor="#000000" stroked="false">
                <v:path arrowok="t"/>
                <v:fill type="solid"/>
              </v:shape>
            </v:group>
            <v:group style="position:absolute;left:6373;top:1487;width:10;height:20" coordorigin="6373,1487" coordsize="10,20">
              <v:shape style="position:absolute;left:6373;top:1487;width:10;height:20" coordorigin="6373,1487" coordsize="10,20" path="m6373,1506l6383,1506,6383,1487,6373,1487,6373,1506xe" filled="true" fillcolor="#000000" stroked="false">
                <v:path arrowok="t"/>
                <v:fill type="solid"/>
              </v:shape>
            </v:group>
            <v:group style="position:absolute;left:6373;top:1506;width:10;height:20" coordorigin="6373,1506" coordsize="10,20">
              <v:shape style="position:absolute;left:6373;top:1506;width:10;height:20" coordorigin="6373,1506" coordsize="10,20" path="m6373,1526l6383,1526,6383,1506,6373,1506,6373,1526xe" filled="true" fillcolor="#000000" stroked="false">
                <v:path arrowok="t"/>
                <v:fill type="solid"/>
              </v:shape>
            </v:group>
            <v:group style="position:absolute;left:6373;top:1533;width:10;height:2" coordorigin="6373,1533" coordsize="10,2">
              <v:shape style="position:absolute;left:6373;top:1533;width:10;height:2" coordorigin="6373,1533" coordsize="10,0" path="m6373,1533l6383,1533e" filled="false" stroked="true" strokeweight=".71997pt" strokecolor="#000000">
                <v:path arrowok="t"/>
              </v:shape>
            </v:group>
            <v:group style="position:absolute;left:1025;top:1545;width:20;height:2" coordorigin="1025,1545" coordsize="20,2">
              <v:shape style="position:absolute;left:1025;top:1545;width:20;height:2" coordorigin="1025,1545" coordsize="20,0" path="m1025,1545l1044,1545e" filled="false" stroked="true" strokeweight=".47998pt" strokecolor="#000000">
                <v:path arrowok="t"/>
              </v:shape>
            </v:group>
            <v:group style="position:absolute;left:1044;top:1545;width:20;height:2" coordorigin="1044,1545" coordsize="20,2">
              <v:shape style="position:absolute;left:1044;top:1545;width:20;height:2" coordorigin="1044,1545" coordsize="20,0" path="m1044,1545l1063,1545e" filled="false" stroked="true" strokeweight=".47998pt" strokecolor="#000000">
                <v:path arrowok="t"/>
              </v:shape>
            </v:group>
            <v:group style="position:absolute;left:1063;top:1545;width:20;height:2" coordorigin="1063,1545" coordsize="20,2">
              <v:shape style="position:absolute;left:1063;top:1545;width:20;height:2" coordorigin="1063,1545" coordsize="20,0" path="m1063,1545l1082,1545e" filled="false" stroked="true" strokeweight=".47998pt" strokecolor="#000000">
                <v:path arrowok="t"/>
              </v:shape>
            </v:group>
            <v:group style="position:absolute;left:1082;top:1545;width:20;height:2" coordorigin="1082,1545" coordsize="20,2">
              <v:shape style="position:absolute;left:1082;top:1545;width:20;height:2" coordorigin="1082,1545" coordsize="20,0" path="m1082,1545l1102,1545e" filled="false" stroked="true" strokeweight=".47998pt" strokecolor="#000000">
                <v:path arrowok="t"/>
              </v:shape>
            </v:group>
            <v:group style="position:absolute;left:1102;top:1545;width:20;height:2" coordorigin="1102,1545" coordsize="20,2">
              <v:shape style="position:absolute;left:1102;top:1545;width:20;height:2" coordorigin="1102,1545" coordsize="20,0" path="m1102,1545l1121,1545e" filled="false" stroked="true" strokeweight=".47998pt" strokecolor="#000000">
                <v:path arrowok="t"/>
              </v:shape>
            </v:group>
            <v:group style="position:absolute;left:1121;top:1545;width:20;height:2" coordorigin="1121,1545" coordsize="20,2">
              <v:shape style="position:absolute;left:1121;top:1545;width:20;height:2" coordorigin="1121,1545" coordsize="20,0" path="m1121,1545l1140,1545e" filled="false" stroked="true" strokeweight=".47998pt" strokecolor="#000000">
                <v:path arrowok="t"/>
              </v:shape>
            </v:group>
            <v:group style="position:absolute;left:1140;top:1545;width:20;height:2" coordorigin="1140,1545" coordsize="20,2">
              <v:shape style="position:absolute;left:1140;top:1545;width:20;height:2" coordorigin="1140,1545" coordsize="20,0" path="m1140,1545l1159,1545e" filled="false" stroked="true" strokeweight=".47998pt" strokecolor="#000000">
                <v:path arrowok="t"/>
              </v:shape>
            </v:group>
            <v:group style="position:absolute;left:1159;top:1545;width:20;height:2" coordorigin="1159,1545" coordsize="20,2">
              <v:shape style="position:absolute;left:1159;top:1545;width:20;height:2" coordorigin="1159,1545" coordsize="20,0" path="m1159,1545l1178,1545e" filled="false" stroked="true" strokeweight=".47998pt" strokecolor="#000000">
                <v:path arrowok="t"/>
              </v:shape>
            </v:group>
            <v:group style="position:absolute;left:1178;top:1545;width:20;height:2" coordorigin="1178,1545" coordsize="20,2">
              <v:shape style="position:absolute;left:1178;top:1545;width:20;height:2" coordorigin="1178,1545" coordsize="20,0" path="m1178,1545l1198,1545e" filled="false" stroked="true" strokeweight=".47998pt" strokecolor="#000000">
                <v:path arrowok="t"/>
              </v:shape>
            </v:group>
            <v:group style="position:absolute;left:1198;top:1545;width:20;height:2" coordorigin="1198,1545" coordsize="20,2">
              <v:shape style="position:absolute;left:1198;top:1545;width:20;height:2" coordorigin="1198,1545" coordsize="20,0" path="m1198,1545l1217,1545e" filled="false" stroked="true" strokeweight=".47998pt" strokecolor="#000000">
                <v:path arrowok="t"/>
              </v:shape>
            </v:group>
            <v:group style="position:absolute;left:1217;top:1545;width:20;height:2" coordorigin="1217,1545" coordsize="20,2">
              <v:shape style="position:absolute;left:1217;top:1545;width:20;height:2" coordorigin="1217,1545" coordsize="20,0" path="m1217,1545l1236,1545e" filled="false" stroked="true" strokeweight=".47998pt" strokecolor="#000000">
                <v:path arrowok="t"/>
              </v:shape>
            </v:group>
            <v:group style="position:absolute;left:1236;top:1545;width:20;height:2" coordorigin="1236,1545" coordsize="20,2">
              <v:shape style="position:absolute;left:1236;top:1545;width:20;height:2" coordorigin="1236,1545" coordsize="20,0" path="m1236,1545l1255,1545e" filled="false" stroked="true" strokeweight=".47998pt" strokecolor="#000000">
                <v:path arrowok="t"/>
              </v:shape>
            </v:group>
            <v:group style="position:absolute;left:1255;top:1545;width:20;height:2" coordorigin="1255,1545" coordsize="20,2">
              <v:shape style="position:absolute;left:1255;top:1545;width:20;height:2" coordorigin="1255,1545" coordsize="20,0" path="m1255,1545l1275,1545e" filled="false" stroked="true" strokeweight=".47998pt" strokecolor="#000000">
                <v:path arrowok="t"/>
              </v:shape>
            </v:group>
            <v:group style="position:absolute;left:1275;top:1545;width:20;height:2" coordorigin="1275,1545" coordsize="20,2">
              <v:shape style="position:absolute;left:1275;top:1545;width:20;height:2" coordorigin="1275,1545" coordsize="20,0" path="m1275,1545l1294,1545e" filled="false" stroked="true" strokeweight=".47998pt" strokecolor="#000000">
                <v:path arrowok="t"/>
              </v:shape>
            </v:group>
            <v:group style="position:absolute;left:1294;top:1545;width:20;height:2" coordorigin="1294,1545" coordsize="20,2">
              <v:shape style="position:absolute;left:1294;top:1545;width:20;height:2" coordorigin="1294,1545" coordsize="20,0" path="m1294,1545l1313,1545e" filled="false" stroked="true" strokeweight=".47998pt" strokecolor="#000000">
                <v:path arrowok="t"/>
              </v:shape>
            </v:group>
            <v:group style="position:absolute;left:1313;top:1545;width:20;height:2" coordorigin="1313,1545" coordsize="20,2">
              <v:shape style="position:absolute;left:1313;top:1545;width:20;height:2" coordorigin="1313,1545" coordsize="20,0" path="m1313,1545l1332,1545e" filled="false" stroked="true" strokeweight=".47998pt" strokecolor="#000000">
                <v:path arrowok="t"/>
              </v:shape>
            </v:group>
            <v:group style="position:absolute;left:1332;top:1545;width:20;height:2" coordorigin="1332,1545" coordsize="20,2">
              <v:shape style="position:absolute;left:1332;top:1545;width:20;height:2" coordorigin="1332,1545" coordsize="20,0" path="m1332,1545l1352,1545e" filled="false" stroked="true" strokeweight=".47998pt" strokecolor="#000000">
                <v:path arrowok="t"/>
              </v:shape>
            </v:group>
            <v:group style="position:absolute;left:1352;top:1545;width:20;height:2" coordorigin="1352,1545" coordsize="20,2">
              <v:shape style="position:absolute;left:1352;top:1545;width:20;height:2" coordorigin="1352,1545" coordsize="20,0" path="m1352,1545l1371,1545e" filled="false" stroked="true" strokeweight=".47998pt" strokecolor="#000000">
                <v:path arrowok="t"/>
              </v:shape>
            </v:group>
            <v:group style="position:absolute;left:1371;top:1545;width:20;height:2" coordorigin="1371,1545" coordsize="20,2">
              <v:shape style="position:absolute;left:1371;top:1545;width:20;height:2" coordorigin="1371,1545" coordsize="20,0" path="m1371,1545l1390,1545e" filled="false" stroked="true" strokeweight=".47998pt" strokecolor="#000000">
                <v:path arrowok="t"/>
              </v:shape>
            </v:group>
            <v:group style="position:absolute;left:1390;top:1545;width:20;height:2" coordorigin="1390,1545" coordsize="20,2">
              <v:shape style="position:absolute;left:1390;top:1545;width:20;height:2" coordorigin="1390,1545" coordsize="20,0" path="m1390,1545l1409,1545e" filled="false" stroked="true" strokeweight=".47998pt" strokecolor="#000000">
                <v:path arrowok="t"/>
              </v:shape>
            </v:group>
            <v:group style="position:absolute;left:1409;top:1545;width:20;height:2" coordorigin="1409,1545" coordsize="20,2">
              <v:shape style="position:absolute;left:1409;top:1545;width:20;height:2" coordorigin="1409,1545" coordsize="20,0" path="m1409,1545l1428,1545e" filled="false" stroked="true" strokeweight=".47998pt" strokecolor="#000000">
                <v:path arrowok="t"/>
              </v:shape>
            </v:group>
            <v:group style="position:absolute;left:1428;top:1545;width:20;height:2" coordorigin="1428,1545" coordsize="20,2">
              <v:shape style="position:absolute;left:1428;top:1545;width:20;height:2" coordorigin="1428,1545" coordsize="20,0" path="m1428,1545l1448,1545e" filled="false" stroked="true" strokeweight=".47998pt" strokecolor="#000000">
                <v:path arrowok="t"/>
              </v:shape>
            </v:group>
            <v:group style="position:absolute;left:1448;top:1545;width:20;height:2" coordorigin="1448,1545" coordsize="20,2">
              <v:shape style="position:absolute;left:1448;top:1545;width:20;height:2" coordorigin="1448,1545" coordsize="20,0" path="m1448,1545l1467,1545e" filled="false" stroked="true" strokeweight=".47998pt" strokecolor="#000000">
                <v:path arrowok="t"/>
              </v:shape>
            </v:group>
            <v:group style="position:absolute;left:1467;top:1545;width:20;height:2" coordorigin="1467,1545" coordsize="20,2">
              <v:shape style="position:absolute;left:1467;top:1545;width:20;height:2" coordorigin="1467,1545" coordsize="20,0" path="m1467,1545l1486,1545e" filled="false" stroked="true" strokeweight=".47998pt" strokecolor="#000000">
                <v:path arrowok="t"/>
              </v:shape>
            </v:group>
            <v:group style="position:absolute;left:1486;top:1545;width:20;height:2" coordorigin="1486,1545" coordsize="20,2">
              <v:shape style="position:absolute;left:1486;top:1545;width:20;height:2" coordorigin="1486,1545" coordsize="20,0" path="m1486,1545l1505,1545e" filled="false" stroked="true" strokeweight=".47998pt" strokecolor="#000000">
                <v:path arrowok="t"/>
              </v:shape>
            </v:group>
            <v:group style="position:absolute;left:1505;top:1545;width:20;height:2" coordorigin="1505,1545" coordsize="20,2">
              <v:shape style="position:absolute;left:1505;top:1545;width:20;height:2" coordorigin="1505,1545" coordsize="20,0" path="m1505,1545l1524,1545e" filled="false" stroked="true" strokeweight=".47998pt" strokecolor="#000000">
                <v:path arrowok="t"/>
              </v:shape>
            </v:group>
            <v:group style="position:absolute;left:1524;top:1545;width:20;height:2" coordorigin="1524,1545" coordsize="20,2">
              <v:shape style="position:absolute;left:1524;top:1545;width:20;height:2" coordorigin="1524,1545" coordsize="20,0" path="m1524,1545l1544,1545e" filled="false" stroked="true" strokeweight=".47998pt" strokecolor="#000000">
                <v:path arrowok="t"/>
              </v:shape>
            </v:group>
            <v:group style="position:absolute;left:1544;top:1545;width:20;height:2" coordorigin="1544,1545" coordsize="20,2">
              <v:shape style="position:absolute;left:1544;top:1545;width:20;height:2" coordorigin="1544,1545" coordsize="20,0" path="m1544,1545l1563,1545e" filled="false" stroked="true" strokeweight=".47998pt" strokecolor="#000000">
                <v:path arrowok="t"/>
              </v:shape>
            </v:group>
            <v:group style="position:absolute;left:1563;top:1545;width:20;height:2" coordorigin="1563,1545" coordsize="20,2">
              <v:shape style="position:absolute;left:1563;top:1545;width:20;height:2" coordorigin="1563,1545" coordsize="20,0" path="m1563,1545l1582,1545e" filled="false" stroked="true" strokeweight=".47998pt" strokecolor="#000000">
                <v:path arrowok="t"/>
              </v:shape>
            </v:group>
            <v:group style="position:absolute;left:1582;top:1545;width:20;height:2" coordorigin="1582,1545" coordsize="20,2">
              <v:shape style="position:absolute;left:1582;top:1545;width:20;height:2" coordorigin="1582,1545" coordsize="20,0" path="m1582,1545l1601,1545e" filled="false" stroked="true" strokeweight=".47998pt" strokecolor="#000000">
                <v:path arrowok="t"/>
              </v:shape>
            </v:group>
            <v:group style="position:absolute;left:1601;top:1545;width:20;height:2" coordorigin="1601,1545" coordsize="20,2">
              <v:shape style="position:absolute;left:1601;top:1545;width:20;height:2" coordorigin="1601,1545" coordsize="20,0" path="m1601,1545l1620,1545e" filled="false" stroked="true" strokeweight=".47998pt" strokecolor="#000000">
                <v:path arrowok="t"/>
              </v:shape>
            </v:group>
            <v:group style="position:absolute;left:1620;top:1545;width:20;height:2" coordorigin="1620,1545" coordsize="20,2">
              <v:shape style="position:absolute;left:1620;top:1545;width:20;height:2" coordorigin="1620,1545" coordsize="20,0" path="m1620,1545l1640,1545e" filled="false" stroked="true" strokeweight=".47998pt" strokecolor="#000000">
                <v:path arrowok="t"/>
              </v:shape>
            </v:group>
            <v:group style="position:absolute;left:1640;top:1545;width:20;height:2" coordorigin="1640,1545" coordsize="20,2">
              <v:shape style="position:absolute;left:1640;top:1545;width:20;height:2" coordorigin="1640,1545" coordsize="20,0" path="m1640,1545l1659,1545e" filled="false" stroked="true" strokeweight=".47998pt" strokecolor="#000000">
                <v:path arrowok="t"/>
              </v:shape>
            </v:group>
            <v:group style="position:absolute;left:1659;top:1545;width:20;height:2" coordorigin="1659,1545" coordsize="20,2">
              <v:shape style="position:absolute;left:1659;top:1545;width:20;height:2" coordorigin="1659,1545" coordsize="20,0" path="m1659,1545l1678,1545e" filled="false" stroked="true" strokeweight=".47998pt" strokecolor="#000000">
                <v:path arrowok="t"/>
              </v:shape>
            </v:group>
            <v:group style="position:absolute;left:1678;top:1545;width:20;height:2" coordorigin="1678,1545" coordsize="20,2">
              <v:shape style="position:absolute;left:1678;top:1545;width:20;height:2" coordorigin="1678,1545" coordsize="20,0" path="m1678,1545l1697,1545e" filled="false" stroked="true" strokeweight=".47998pt" strokecolor="#000000">
                <v:path arrowok="t"/>
              </v:shape>
            </v:group>
            <v:group style="position:absolute;left:1697;top:1545;width:20;height:2" coordorigin="1697,1545" coordsize="20,2">
              <v:shape style="position:absolute;left:1697;top:1545;width:20;height:2" coordorigin="1697,1545" coordsize="20,0" path="m1697,1545l1716,1545e" filled="false" stroked="true" strokeweight=".47998pt" strokecolor="#000000">
                <v:path arrowok="t"/>
              </v:shape>
            </v:group>
            <v:group style="position:absolute;left:1716;top:1545;width:20;height:2" coordorigin="1716,1545" coordsize="20,2">
              <v:shape style="position:absolute;left:1716;top:1545;width:20;height:2" coordorigin="1716,1545" coordsize="20,0" path="m1716,1545l1736,1545e" filled="false" stroked="true" strokeweight=".47998pt" strokecolor="#000000">
                <v:path arrowok="t"/>
              </v:shape>
            </v:group>
            <v:group style="position:absolute;left:1736;top:1545;width:20;height:2" coordorigin="1736,1545" coordsize="20,2">
              <v:shape style="position:absolute;left:1736;top:1545;width:20;height:2" coordorigin="1736,1545" coordsize="20,0" path="m1736,1545l1755,1545e" filled="false" stroked="true" strokeweight=".47998pt" strokecolor="#000000">
                <v:path arrowok="t"/>
              </v:shape>
            </v:group>
            <v:group style="position:absolute;left:1755;top:1545;width:20;height:2" coordorigin="1755,1545" coordsize="20,2">
              <v:shape style="position:absolute;left:1755;top:1545;width:20;height:2" coordorigin="1755,1545" coordsize="20,0" path="m1755,1545l1774,1545e" filled="false" stroked="true" strokeweight=".47998pt" strokecolor="#000000">
                <v:path arrowok="t"/>
              </v:shape>
            </v:group>
            <v:group style="position:absolute;left:1774;top:1545;width:20;height:2" coordorigin="1774,1545" coordsize="20,2">
              <v:shape style="position:absolute;left:1774;top:1545;width:20;height:2" coordorigin="1774,1545" coordsize="20,0" path="m1774,1545l1793,1545e" filled="false" stroked="true" strokeweight=".47998pt" strokecolor="#000000">
                <v:path arrowok="t"/>
              </v:shape>
            </v:group>
            <v:group style="position:absolute;left:1793;top:1545;width:20;height:2" coordorigin="1793,1545" coordsize="20,2">
              <v:shape style="position:absolute;left:1793;top:1545;width:20;height:2" coordorigin="1793,1545" coordsize="20,0" path="m1793,1545l1812,1545e" filled="false" stroked="true" strokeweight=".47998pt" strokecolor="#000000">
                <v:path arrowok="t"/>
              </v:shape>
            </v:group>
            <v:group style="position:absolute;left:1812;top:1545;width:20;height:2" coordorigin="1812,1545" coordsize="20,2">
              <v:shape style="position:absolute;left:1812;top:1545;width:20;height:2" coordorigin="1812,1545" coordsize="20,0" path="m1812,1545l1832,1545e" filled="false" stroked="true" strokeweight=".47998pt" strokecolor="#000000">
                <v:path arrowok="t"/>
              </v:shape>
            </v:group>
            <v:group style="position:absolute;left:1832;top:1545;width:20;height:2" coordorigin="1832,1545" coordsize="20,2">
              <v:shape style="position:absolute;left:1832;top:1545;width:20;height:2" coordorigin="1832,1545" coordsize="20,0" path="m1832,1545l1851,1545e" filled="false" stroked="true" strokeweight=".47998pt" strokecolor="#000000">
                <v:path arrowok="t"/>
              </v:shape>
            </v:group>
            <v:group style="position:absolute;left:1851;top:1545;width:20;height:2" coordorigin="1851,1545" coordsize="20,2">
              <v:shape style="position:absolute;left:1851;top:1545;width:20;height:2" coordorigin="1851,1545" coordsize="20,0" path="m1851,1545l1870,1545e" filled="false" stroked="true" strokeweight=".47998pt" strokecolor="#000000">
                <v:path arrowok="t"/>
              </v:shape>
            </v:group>
            <v:group style="position:absolute;left:1870;top:1545;width:20;height:2" coordorigin="1870,1545" coordsize="20,2">
              <v:shape style="position:absolute;left:1870;top:1545;width:20;height:2" coordorigin="1870,1545" coordsize="20,0" path="m1870,1545l1889,1545e" filled="false" stroked="true" strokeweight=".47998pt" strokecolor="#000000">
                <v:path arrowok="t"/>
              </v:shape>
            </v:group>
            <v:group style="position:absolute;left:1889;top:1545;width:20;height:2" coordorigin="1889,1545" coordsize="20,2">
              <v:shape style="position:absolute;left:1889;top:1545;width:20;height:2" coordorigin="1889,1545" coordsize="20,0" path="m1889,1545l1908,1545e" filled="false" stroked="true" strokeweight=".47998pt" strokecolor="#000000">
                <v:path arrowok="t"/>
              </v:shape>
            </v:group>
            <v:group style="position:absolute;left:1908;top:1545;width:20;height:2" coordorigin="1908,1545" coordsize="20,2">
              <v:shape style="position:absolute;left:1908;top:1545;width:20;height:2" coordorigin="1908,1545" coordsize="20,0" path="m1908,1545l1928,1545e" filled="false" stroked="true" strokeweight=".47998pt" strokecolor="#000000">
                <v:path arrowok="t"/>
              </v:shape>
            </v:group>
            <v:group style="position:absolute;left:1928;top:1545;width:20;height:2" coordorigin="1928,1545" coordsize="20,2">
              <v:shape style="position:absolute;left:1928;top:1545;width:20;height:2" coordorigin="1928,1545" coordsize="20,0" path="m1928,1545l1947,1545e" filled="false" stroked="true" strokeweight=".47998pt" strokecolor="#000000">
                <v:path arrowok="t"/>
              </v:shape>
            </v:group>
            <v:group style="position:absolute;left:1947;top:1545;width:20;height:2" coordorigin="1947,1545" coordsize="20,2">
              <v:shape style="position:absolute;left:1947;top:1545;width:20;height:2" coordorigin="1947,1545" coordsize="20,0" path="m1947,1545l1966,1545e" filled="false" stroked="true" strokeweight=".47998pt" strokecolor="#000000">
                <v:path arrowok="t"/>
              </v:shape>
            </v:group>
            <v:group style="position:absolute;left:1966;top:1545;width:20;height:2" coordorigin="1966,1545" coordsize="20,2">
              <v:shape style="position:absolute;left:1966;top:1545;width:20;height:2" coordorigin="1966,1545" coordsize="20,0" path="m1966,1545l1985,1545e" filled="false" stroked="true" strokeweight=".47998pt" strokecolor="#000000">
                <v:path arrowok="t"/>
              </v:shape>
            </v:group>
            <v:group style="position:absolute;left:1985;top:1545;width:20;height:2" coordorigin="1985,1545" coordsize="20,2">
              <v:shape style="position:absolute;left:1985;top:1545;width:20;height:2" coordorigin="1985,1545" coordsize="20,0" path="m1985,1545l2004,1545e" filled="false" stroked="true" strokeweight=".47998pt" strokecolor="#000000">
                <v:path arrowok="t"/>
              </v:shape>
            </v:group>
            <v:group style="position:absolute;left:2004;top:1545;width:20;height:2" coordorigin="2004,1545" coordsize="20,2">
              <v:shape style="position:absolute;left:2004;top:1545;width:20;height:2" coordorigin="2004,1545" coordsize="20,0" path="m2004,1545l2024,1545e" filled="false" stroked="true" strokeweight=".47998pt" strokecolor="#000000">
                <v:path arrowok="t"/>
              </v:shape>
            </v:group>
            <v:group style="position:absolute;left:2024;top:1545;width:20;height:2" coordorigin="2024,1545" coordsize="20,2">
              <v:shape style="position:absolute;left:2024;top:1545;width:20;height:2" coordorigin="2024,1545" coordsize="20,0" path="m2024,1545l2043,1545e" filled="false" stroked="true" strokeweight=".47998pt" strokecolor="#000000">
                <v:path arrowok="t"/>
              </v:shape>
            </v:group>
            <v:group style="position:absolute;left:2043;top:1545;width:20;height:2" coordorigin="2043,1545" coordsize="20,2">
              <v:shape style="position:absolute;left:2043;top:1545;width:20;height:2" coordorigin="2043,1545" coordsize="20,0" path="m2043,1545l2062,1545e" filled="false" stroked="true" strokeweight=".47998pt" strokecolor="#000000">
                <v:path arrowok="t"/>
              </v:shape>
            </v:group>
            <v:group style="position:absolute;left:2062;top:1545;width:20;height:2" coordorigin="2062,1545" coordsize="20,2">
              <v:shape style="position:absolute;left:2062;top:1545;width:20;height:2" coordorigin="2062,1545" coordsize="20,0" path="m2062,1545l2081,1545e" filled="false" stroked="true" strokeweight=".47998pt" strokecolor="#000000">
                <v:path arrowok="t"/>
              </v:shape>
            </v:group>
            <v:group style="position:absolute;left:2081;top:1545;width:20;height:2" coordorigin="2081,1545" coordsize="20,2">
              <v:shape style="position:absolute;left:2081;top:1545;width:20;height:2" coordorigin="2081,1545" coordsize="20,0" path="m2081,1545l2100,1545e" filled="false" stroked="true" strokeweight=".47998pt" strokecolor="#000000">
                <v:path arrowok="t"/>
              </v:shape>
            </v:group>
            <v:group style="position:absolute;left:2100;top:1545;width:20;height:2" coordorigin="2100,1545" coordsize="20,2">
              <v:shape style="position:absolute;left:2100;top:1545;width:20;height:2" coordorigin="2100,1545" coordsize="20,0" path="m2100,1545l2120,1545e" filled="false" stroked="true" strokeweight=".47998pt" strokecolor="#000000">
                <v:path arrowok="t"/>
              </v:shape>
            </v:group>
            <v:group style="position:absolute;left:2120;top:1545;width:20;height:2" coordorigin="2120,1545" coordsize="20,2">
              <v:shape style="position:absolute;left:2120;top:1545;width:20;height:2" coordorigin="2120,1545" coordsize="20,0" path="m2120,1545l2139,1545e" filled="false" stroked="true" strokeweight=".47998pt" strokecolor="#000000">
                <v:path arrowok="t"/>
              </v:shape>
            </v:group>
            <v:group style="position:absolute;left:2139;top:1545;width:20;height:2" coordorigin="2139,1545" coordsize="20,2">
              <v:shape style="position:absolute;left:2139;top:1545;width:20;height:2" coordorigin="2139,1545" coordsize="20,0" path="m2139,1545l2158,1545e" filled="false" stroked="true" strokeweight=".47998pt" strokecolor="#000000">
                <v:path arrowok="t"/>
              </v:shape>
            </v:group>
            <v:group style="position:absolute;left:2158;top:1545;width:20;height:2" coordorigin="2158,1545" coordsize="20,2">
              <v:shape style="position:absolute;left:2158;top:1545;width:20;height:2" coordorigin="2158,1545" coordsize="20,0" path="m2158,1545l2177,1545e" filled="false" stroked="true" strokeweight=".47998pt" strokecolor="#000000">
                <v:path arrowok="t"/>
              </v:shape>
            </v:group>
            <v:group style="position:absolute;left:2177;top:1545;width:20;height:2" coordorigin="2177,1545" coordsize="20,2">
              <v:shape style="position:absolute;left:2177;top:1545;width:20;height:2" coordorigin="2177,1545" coordsize="20,0" path="m2177,1545l2196,1545e" filled="false" stroked="true" strokeweight=".47998pt" strokecolor="#000000">
                <v:path arrowok="t"/>
              </v:shape>
            </v:group>
            <v:group style="position:absolute;left:2196;top:1545;width:20;height:2" coordorigin="2196,1545" coordsize="20,2">
              <v:shape style="position:absolute;left:2196;top:1545;width:20;height:2" coordorigin="2196,1545" coordsize="20,0" path="m2196,1545l2216,1545e" filled="false" stroked="true" strokeweight=".47998pt" strokecolor="#000000">
                <v:path arrowok="t"/>
              </v:shape>
            </v:group>
            <v:group style="position:absolute;left:2216;top:1545;width:20;height:2" coordorigin="2216,1545" coordsize="20,2">
              <v:shape style="position:absolute;left:2216;top:1545;width:20;height:2" coordorigin="2216,1545" coordsize="20,0" path="m2216,1545l2235,1545e" filled="false" stroked="true" strokeweight=".47998pt" strokecolor="#000000">
                <v:path arrowok="t"/>
              </v:shape>
            </v:group>
            <v:group style="position:absolute;left:2235;top:1545;width:20;height:2" coordorigin="2235,1545" coordsize="20,2">
              <v:shape style="position:absolute;left:2235;top:1545;width:20;height:2" coordorigin="2235,1545" coordsize="20,0" path="m2235,1545l2254,1545e" filled="false" stroked="true" strokeweight=".47998pt" strokecolor="#000000">
                <v:path arrowok="t"/>
              </v:shape>
            </v:group>
            <v:group style="position:absolute;left:2254;top:1545;width:20;height:2" coordorigin="2254,1545" coordsize="20,2">
              <v:shape style="position:absolute;left:2254;top:1545;width:20;height:2" coordorigin="2254,1545" coordsize="20,0" path="m2254,1545l2273,1545e" filled="false" stroked="true" strokeweight=".47998pt" strokecolor="#000000">
                <v:path arrowok="t"/>
              </v:shape>
            </v:group>
            <v:group style="position:absolute;left:2273;top:1545;width:20;height:2" coordorigin="2273,1545" coordsize="20,2">
              <v:shape style="position:absolute;left:2273;top:1545;width:20;height:2" coordorigin="2273,1545" coordsize="20,0" path="m2273,1545l2292,1545e" filled="false" stroked="true" strokeweight=".47998pt" strokecolor="#000000">
                <v:path arrowok="t"/>
              </v:shape>
            </v:group>
            <v:group style="position:absolute;left:2292;top:1545;width:20;height:2" coordorigin="2292,1545" coordsize="20,2">
              <v:shape style="position:absolute;left:2292;top:1545;width:20;height:2" coordorigin="2292,1545" coordsize="20,0" path="m2292,1545l2312,1545e" filled="false" stroked="true" strokeweight=".47998pt" strokecolor="#000000">
                <v:path arrowok="t"/>
              </v:shape>
            </v:group>
            <v:group style="position:absolute;left:2312;top:1545;width:20;height:2" coordorigin="2312,1545" coordsize="20,2">
              <v:shape style="position:absolute;left:2312;top:1545;width:20;height:2" coordorigin="2312,1545" coordsize="20,0" path="m2312,1545l2331,1545e" filled="false" stroked="true" strokeweight=".47998pt" strokecolor="#000000">
                <v:path arrowok="t"/>
              </v:shape>
            </v:group>
            <v:group style="position:absolute;left:2331;top:1545;width:20;height:2" coordorigin="2331,1545" coordsize="20,2">
              <v:shape style="position:absolute;left:2331;top:1545;width:20;height:2" coordorigin="2331,1545" coordsize="20,0" path="m2331,1545l2350,1545e" filled="false" stroked="true" strokeweight=".47998pt" strokecolor="#000000">
                <v:path arrowok="t"/>
              </v:shape>
            </v:group>
            <v:group style="position:absolute;left:2350;top:1545;width:20;height:2" coordorigin="2350,1545" coordsize="20,2">
              <v:shape style="position:absolute;left:2350;top:1545;width:20;height:2" coordorigin="2350,1545" coordsize="20,0" path="m2350,1545l2369,1545e" filled="false" stroked="true" strokeweight=".47998pt" strokecolor="#000000">
                <v:path arrowok="t"/>
              </v:shape>
            </v:group>
            <v:group style="position:absolute;left:2369;top:1545;width:20;height:2" coordorigin="2369,1545" coordsize="20,2">
              <v:shape style="position:absolute;left:2369;top:1545;width:20;height:2" coordorigin="2369,1545" coordsize="20,0" path="m2369,1545l2388,1545e" filled="false" stroked="true" strokeweight=".47998pt" strokecolor="#000000">
                <v:path arrowok="t"/>
              </v:shape>
            </v:group>
            <v:group style="position:absolute;left:2388;top:1545;width:20;height:2" coordorigin="2388,1545" coordsize="20,2">
              <v:shape style="position:absolute;left:2388;top:1545;width:20;height:2" coordorigin="2388,1545" coordsize="20,0" path="m2388,1545l2408,1545e" filled="false" stroked="true" strokeweight=".47998pt" strokecolor="#000000">
                <v:path arrowok="t"/>
              </v:shape>
            </v:group>
            <v:group style="position:absolute;left:2408;top:1545;width:20;height:2" coordorigin="2408,1545" coordsize="20,2">
              <v:shape style="position:absolute;left:2408;top:1545;width:20;height:2" coordorigin="2408,1545" coordsize="20,0" path="m2408,1545l2427,1545e" filled="false" stroked="true" strokeweight=".47998pt" strokecolor="#000000">
                <v:path arrowok="t"/>
              </v:shape>
            </v:group>
            <v:group style="position:absolute;left:2427;top:1545;width:20;height:2" coordorigin="2427,1545" coordsize="20,2">
              <v:shape style="position:absolute;left:2427;top:1545;width:20;height:2" coordorigin="2427,1545" coordsize="20,0" path="m2427,1545l2446,1545e" filled="false" stroked="true" strokeweight=".47998pt" strokecolor="#000000">
                <v:path arrowok="t"/>
              </v:shape>
            </v:group>
            <v:group style="position:absolute;left:2446;top:1545;width:20;height:2" coordorigin="2446,1545" coordsize="20,2">
              <v:shape style="position:absolute;left:2446;top:1545;width:20;height:2" coordorigin="2446,1545" coordsize="20,0" path="m2446,1545l2465,1545e" filled="false" stroked="true" strokeweight=".47998pt" strokecolor="#000000">
                <v:path arrowok="t"/>
              </v:shape>
            </v:group>
            <v:group style="position:absolute;left:2465;top:1545;width:20;height:2" coordorigin="2465,1545" coordsize="20,2">
              <v:shape style="position:absolute;left:2465;top:1545;width:20;height:2" coordorigin="2465,1545" coordsize="20,0" path="m2465,1545l2484,1545e" filled="false" stroked="true" strokeweight=".47998pt" strokecolor="#000000">
                <v:path arrowok="t"/>
              </v:shape>
            </v:group>
            <v:group style="position:absolute;left:2484;top:1545;width:20;height:2" coordorigin="2484,1545" coordsize="20,2">
              <v:shape style="position:absolute;left:2484;top:1545;width:20;height:2" coordorigin="2484,1545" coordsize="20,0" path="m2484,1545l2504,1545e" filled="false" stroked="true" strokeweight=".47998pt" strokecolor="#000000">
                <v:path arrowok="t"/>
              </v:shape>
            </v:group>
            <v:group style="position:absolute;left:2504;top:1545;width:20;height:2" coordorigin="2504,1545" coordsize="20,2">
              <v:shape style="position:absolute;left:2504;top:1545;width:20;height:2" coordorigin="2504,1545" coordsize="20,0" path="m2504,1545l2523,1545e" filled="false" stroked="true" strokeweight=".47998pt" strokecolor="#000000">
                <v:path arrowok="t"/>
              </v:shape>
            </v:group>
            <v:group style="position:absolute;left:2523;top:1545;width:20;height:2" coordorigin="2523,1545" coordsize="20,2">
              <v:shape style="position:absolute;left:2523;top:1545;width:20;height:2" coordorigin="2523,1545" coordsize="20,0" path="m2523,1545l2542,1545e" filled="false" stroked="true" strokeweight=".47998pt" strokecolor="#000000">
                <v:path arrowok="t"/>
              </v:shape>
            </v:group>
            <v:group style="position:absolute;left:2542;top:1545;width:20;height:2" coordorigin="2542,1545" coordsize="20,2">
              <v:shape style="position:absolute;left:2542;top:1545;width:20;height:2" coordorigin="2542,1545" coordsize="20,0" path="m2542,1545l2561,1545e" filled="false" stroked="true" strokeweight=".47998pt" strokecolor="#000000">
                <v:path arrowok="t"/>
              </v:shape>
            </v:group>
            <v:group style="position:absolute;left:2561;top:1545;width:20;height:2" coordorigin="2561,1545" coordsize="20,2">
              <v:shape style="position:absolute;left:2561;top:1545;width:20;height:2" coordorigin="2561,1545" coordsize="20,0" path="m2561,1545l2580,1545e" filled="false" stroked="true" strokeweight=".47998pt" strokecolor="#000000">
                <v:path arrowok="t"/>
              </v:shape>
            </v:group>
            <v:group style="position:absolute;left:2580;top:1545;width:20;height:2" coordorigin="2580,1545" coordsize="20,2">
              <v:shape style="position:absolute;left:2580;top:1545;width:20;height:2" coordorigin="2580,1545" coordsize="20,0" path="m2580,1545l2600,1545e" filled="false" stroked="true" strokeweight=".47998pt" strokecolor="#000000">
                <v:path arrowok="t"/>
              </v:shape>
            </v:group>
            <v:group style="position:absolute;left:2600;top:1545;width:20;height:2" coordorigin="2600,1545" coordsize="20,2">
              <v:shape style="position:absolute;left:2600;top:1545;width:20;height:2" coordorigin="2600,1545" coordsize="20,0" path="m2600,1545l2619,1545e" filled="false" stroked="true" strokeweight=".47998pt" strokecolor="#000000">
                <v:path arrowok="t"/>
              </v:shape>
            </v:group>
            <v:group style="position:absolute;left:2619;top:1545;width:20;height:2" coordorigin="2619,1545" coordsize="20,2">
              <v:shape style="position:absolute;left:2619;top:1545;width:20;height:2" coordorigin="2619,1545" coordsize="20,0" path="m2619,1545l2638,1545e" filled="false" stroked="true" strokeweight=".47998pt" strokecolor="#000000">
                <v:path arrowok="t"/>
              </v:shape>
            </v:group>
            <v:group style="position:absolute;left:2638;top:1545;width:20;height:2" coordorigin="2638,1545" coordsize="20,2">
              <v:shape style="position:absolute;left:2638;top:1545;width:20;height:2" coordorigin="2638,1545" coordsize="20,0" path="m2638,1545l2657,1545e" filled="false" stroked="true" strokeweight=".47998pt" strokecolor="#000000">
                <v:path arrowok="t"/>
              </v:shape>
            </v:group>
            <v:group style="position:absolute;left:2657;top:1545;width:20;height:2" coordorigin="2657,1545" coordsize="20,2">
              <v:shape style="position:absolute;left:2657;top:1545;width:20;height:2" coordorigin="2657,1545" coordsize="20,0" path="m2657,1545l2676,1545e" filled="false" stroked="true" strokeweight=".47998pt" strokecolor="#000000">
                <v:path arrowok="t"/>
              </v:shape>
            </v:group>
            <v:group style="position:absolute;left:2676;top:1545;width:20;height:2" coordorigin="2676,1545" coordsize="20,2">
              <v:shape style="position:absolute;left:2676;top:1545;width:20;height:2" coordorigin="2676,1545" coordsize="20,0" path="m2676,1545l2696,1545e" filled="false" stroked="true" strokeweight=".47998pt" strokecolor="#000000">
                <v:path arrowok="t"/>
              </v:shape>
            </v:group>
            <v:group style="position:absolute;left:2696;top:1545;width:20;height:2" coordorigin="2696,1545" coordsize="20,2">
              <v:shape style="position:absolute;left:2696;top:1545;width:20;height:2" coordorigin="2696,1545" coordsize="20,0" path="m2696,1545l2715,1545e" filled="false" stroked="true" strokeweight=".47998pt" strokecolor="#000000">
                <v:path arrowok="t"/>
              </v:shape>
            </v:group>
            <v:group style="position:absolute;left:2715;top:1545;width:20;height:2" coordorigin="2715,1545" coordsize="20,2">
              <v:shape style="position:absolute;left:2715;top:1545;width:20;height:2" coordorigin="2715,1545" coordsize="20,0" path="m2715,1545l2734,1545e" filled="false" stroked="true" strokeweight=".47998pt" strokecolor="#000000">
                <v:path arrowok="t"/>
              </v:shape>
            </v:group>
            <v:group style="position:absolute;left:2734;top:1545;width:20;height:2" coordorigin="2734,1545" coordsize="20,2">
              <v:shape style="position:absolute;left:2734;top:1545;width:20;height:2" coordorigin="2734,1545" coordsize="20,0" path="m2734,1545l2753,1545e" filled="false" stroked="true" strokeweight=".47998pt" strokecolor="#000000">
                <v:path arrowok="t"/>
              </v:shape>
            </v:group>
            <v:group style="position:absolute;left:2753;top:1545;width:20;height:2" coordorigin="2753,1545" coordsize="20,2">
              <v:shape style="position:absolute;left:2753;top:1545;width:20;height:2" coordorigin="2753,1545" coordsize="20,0" path="m2753,1545l2772,1545e" filled="false" stroked="true" strokeweight=".47998pt" strokecolor="#000000">
                <v:path arrowok="t"/>
              </v:shape>
            </v:group>
            <v:group style="position:absolute;left:2772;top:1545;width:20;height:2" coordorigin="2772,1545" coordsize="20,2">
              <v:shape style="position:absolute;left:2772;top:1545;width:20;height:2" coordorigin="2772,1545" coordsize="20,0" path="m2772,1545l2792,1545e" filled="false" stroked="true" strokeweight=".47998pt" strokecolor="#000000">
                <v:path arrowok="t"/>
              </v:shape>
            </v:group>
            <v:group style="position:absolute;left:2792;top:1545;width:20;height:2" coordorigin="2792,1545" coordsize="20,2">
              <v:shape style="position:absolute;left:2792;top:1545;width:20;height:2" coordorigin="2792,1545" coordsize="20,0" path="m2792,1545l2811,1545e" filled="false" stroked="true" strokeweight=".47998pt" strokecolor="#000000">
                <v:path arrowok="t"/>
              </v:shape>
            </v:group>
            <v:group style="position:absolute;left:2811;top:1545;width:20;height:2" coordorigin="2811,1545" coordsize="20,2">
              <v:shape style="position:absolute;left:2811;top:1545;width:20;height:2" coordorigin="2811,1545" coordsize="20,0" path="m2811,1545l2830,1545e" filled="false" stroked="true" strokeweight=".47998pt" strokecolor="#000000">
                <v:path arrowok="t"/>
              </v:shape>
            </v:group>
            <v:group style="position:absolute;left:2830;top:1545;width:20;height:2" coordorigin="2830,1545" coordsize="20,2">
              <v:shape style="position:absolute;left:2830;top:1545;width:20;height:2" coordorigin="2830,1545" coordsize="20,0" path="m2830,1545l2849,1545e" filled="false" stroked="true" strokeweight=".47998pt" strokecolor="#000000">
                <v:path arrowok="t"/>
              </v:shape>
            </v:group>
            <v:group style="position:absolute;left:2849;top:1545;width:20;height:2" coordorigin="2849,1545" coordsize="20,2">
              <v:shape style="position:absolute;left:2849;top:1545;width:20;height:2" coordorigin="2849,1545" coordsize="20,0" path="m2849,1545l2868,1545e" filled="false" stroked="true" strokeweight=".47998pt" strokecolor="#000000">
                <v:path arrowok="t"/>
              </v:shape>
            </v:group>
            <v:group style="position:absolute;left:2868;top:1545;width:20;height:2" coordorigin="2868,1545" coordsize="20,2">
              <v:shape style="position:absolute;left:2868;top:1545;width:20;height:2" coordorigin="2868,1545" coordsize="20,0" path="m2868,1545l2888,1545e" filled="false" stroked="true" strokeweight=".47998pt" strokecolor="#000000">
                <v:path arrowok="t"/>
              </v:shape>
            </v:group>
            <v:group style="position:absolute;left:2888;top:1545;width:20;height:2" coordorigin="2888,1545" coordsize="20,2">
              <v:shape style="position:absolute;left:2888;top:1545;width:20;height:2" coordorigin="2888,1545" coordsize="20,0" path="m2888,1545l2907,1545e" filled="false" stroked="true" strokeweight=".47998pt" strokecolor="#000000">
                <v:path arrowok="t"/>
              </v:shape>
            </v:group>
            <v:group style="position:absolute;left:2907;top:1545;width:20;height:2" coordorigin="2907,1545" coordsize="20,2">
              <v:shape style="position:absolute;left:2907;top:1545;width:20;height:2" coordorigin="2907,1545" coordsize="20,0" path="m2907,1545l2926,1545e" filled="false" stroked="true" strokeweight=".47998pt" strokecolor="#000000">
                <v:path arrowok="t"/>
              </v:shape>
            </v:group>
            <v:group style="position:absolute;left:2926;top:1545;width:20;height:2" coordorigin="2926,1545" coordsize="20,2">
              <v:shape style="position:absolute;left:2926;top:1545;width:20;height:2" coordorigin="2926,1545" coordsize="20,0" path="m2926,1545l2945,1545e" filled="false" stroked="true" strokeweight=".47998pt" strokecolor="#000000">
                <v:path arrowok="t"/>
              </v:shape>
            </v:group>
            <v:group style="position:absolute;left:2945;top:1545;width:20;height:2" coordorigin="2945,1545" coordsize="20,2">
              <v:shape style="position:absolute;left:2945;top:1545;width:20;height:2" coordorigin="2945,1545" coordsize="20,0" path="m2945,1545l2964,1545e" filled="false" stroked="true" strokeweight=".47998pt" strokecolor="#000000">
                <v:path arrowok="t"/>
              </v:shape>
            </v:group>
            <v:group style="position:absolute;left:2964;top:1545;width:20;height:2" coordorigin="2964,1545" coordsize="20,2">
              <v:shape style="position:absolute;left:2964;top:1545;width:20;height:2" coordorigin="2964,1545" coordsize="20,0" path="m2964,1545l2984,1545e" filled="false" stroked="true" strokeweight=".47998pt" strokecolor="#000000">
                <v:path arrowok="t"/>
              </v:shape>
            </v:group>
            <v:group style="position:absolute;left:2984;top:1545;width:20;height:2" coordorigin="2984,1545" coordsize="20,2">
              <v:shape style="position:absolute;left:2984;top:1545;width:20;height:2" coordorigin="2984,1545" coordsize="20,0" path="m2984,1545l3003,1545e" filled="false" stroked="true" strokeweight=".47998pt" strokecolor="#000000">
                <v:path arrowok="t"/>
              </v:shape>
            </v:group>
            <v:group style="position:absolute;left:3003;top:1545;width:20;height:2" coordorigin="3003,1545" coordsize="20,2">
              <v:shape style="position:absolute;left:3003;top:1545;width:20;height:2" coordorigin="3003,1545" coordsize="20,0" path="m3003,1545l3022,1545e" filled="false" stroked="true" strokeweight=".47998pt" strokecolor="#000000">
                <v:path arrowok="t"/>
              </v:shape>
            </v:group>
            <v:group style="position:absolute;left:3022;top:1545;width:20;height:2" coordorigin="3022,1545" coordsize="20,2">
              <v:shape style="position:absolute;left:3022;top:1545;width:20;height:2" coordorigin="3022,1545" coordsize="20,0" path="m3022,1545l3041,1545e" filled="false" stroked="true" strokeweight=".47998pt" strokecolor="#000000">
                <v:path arrowok="t"/>
              </v:shape>
            </v:group>
            <v:group style="position:absolute;left:3041;top:1545;width:20;height:2" coordorigin="3041,1545" coordsize="20,2">
              <v:shape style="position:absolute;left:3041;top:1545;width:20;height:2" coordorigin="3041,1545" coordsize="20,0" path="m3041,1545l3060,1545e" filled="false" stroked="true" strokeweight=".47998pt" strokecolor="#000000">
                <v:path arrowok="t"/>
              </v:shape>
            </v:group>
            <v:group style="position:absolute;left:3060;top:1545;width:20;height:2" coordorigin="3060,1545" coordsize="20,2">
              <v:shape style="position:absolute;left:3060;top:1545;width:20;height:2" coordorigin="3060,1545" coordsize="20,0" path="m3060,1545l3080,1545e" filled="false" stroked="true" strokeweight=".47998pt" strokecolor="#000000">
                <v:path arrowok="t"/>
              </v:shape>
            </v:group>
            <v:group style="position:absolute;left:3080;top:1545;width:20;height:2" coordorigin="3080,1545" coordsize="20,2">
              <v:shape style="position:absolute;left:3080;top:1545;width:20;height:2" coordorigin="3080,1545" coordsize="20,0" path="m3080,1545l3099,1545e" filled="false" stroked="true" strokeweight=".47998pt" strokecolor="#000000">
                <v:path arrowok="t"/>
              </v:shape>
            </v:group>
            <v:group style="position:absolute;left:3099;top:1545;width:20;height:2" coordorigin="3099,1545" coordsize="20,2">
              <v:shape style="position:absolute;left:3099;top:1545;width:20;height:2" coordorigin="3099,1545" coordsize="20,0" path="m3099,1545l3118,1545e" filled="false" stroked="true" strokeweight=".47998pt" strokecolor="#000000">
                <v:path arrowok="t"/>
              </v:shape>
            </v:group>
            <v:group style="position:absolute;left:3118;top:1545;width:20;height:2" coordorigin="3118,1545" coordsize="20,2">
              <v:shape style="position:absolute;left:3118;top:1545;width:20;height:2" coordorigin="3118,1545" coordsize="20,0" path="m3118,1545l3137,1545e" filled="false" stroked="true" strokeweight=".47998pt" strokecolor="#000000">
                <v:path arrowok="t"/>
              </v:shape>
            </v:group>
            <v:group style="position:absolute;left:3137;top:1545;width:20;height:2" coordorigin="3137,1545" coordsize="20,2">
              <v:shape style="position:absolute;left:3137;top:1545;width:20;height:2" coordorigin="3137,1545" coordsize="20,0" path="m3137,1545l3156,1545e" filled="false" stroked="true" strokeweight=".47998pt" strokecolor="#000000">
                <v:path arrowok="t"/>
              </v:shape>
            </v:group>
            <v:group style="position:absolute;left:3156;top:1545;width:20;height:2" coordorigin="3156,1545" coordsize="20,2">
              <v:shape style="position:absolute;left:3156;top:1545;width:20;height:2" coordorigin="3156,1545" coordsize="20,0" path="m3156,1545l3176,1545e" filled="false" stroked="true" strokeweight=".47998pt" strokecolor="#000000">
                <v:path arrowok="t"/>
              </v:shape>
            </v:group>
            <v:group style="position:absolute;left:3176;top:1545;width:20;height:2" coordorigin="3176,1545" coordsize="20,2">
              <v:shape style="position:absolute;left:3176;top:1545;width:20;height:2" coordorigin="3176,1545" coordsize="20,0" path="m3176,1545l3195,1545e" filled="false" stroked="true" strokeweight=".47998pt" strokecolor="#000000">
                <v:path arrowok="t"/>
              </v:shape>
            </v:group>
            <v:group style="position:absolute;left:3195;top:1545;width:20;height:2" coordorigin="3195,1545" coordsize="20,2">
              <v:shape style="position:absolute;left:3195;top:1545;width:20;height:2" coordorigin="3195,1545" coordsize="20,0" path="m3195,1545l3214,1545e" filled="false" stroked="true" strokeweight=".47998pt" strokecolor="#000000">
                <v:path arrowok="t"/>
              </v:shape>
            </v:group>
            <v:group style="position:absolute;left:3214;top:1545;width:20;height:2" coordorigin="3214,1545" coordsize="20,2">
              <v:shape style="position:absolute;left:3214;top:1545;width:20;height:2" coordorigin="3214,1545" coordsize="20,0" path="m3214,1545l3233,1545e" filled="false" stroked="true" strokeweight=".47998pt" strokecolor="#000000">
                <v:path arrowok="t"/>
              </v:shape>
            </v:group>
            <v:group style="position:absolute;left:3233;top:1545;width:20;height:2" coordorigin="3233,1545" coordsize="20,2">
              <v:shape style="position:absolute;left:3233;top:1545;width:20;height:2" coordorigin="3233,1545" coordsize="20,0" path="m3233,1545l3252,1545e" filled="false" stroked="true" strokeweight=".47998pt" strokecolor="#000000">
                <v:path arrowok="t"/>
              </v:shape>
            </v:group>
            <v:group style="position:absolute;left:3252;top:1545;width:20;height:2" coordorigin="3252,1545" coordsize="20,2">
              <v:shape style="position:absolute;left:3252;top:1545;width:20;height:2" coordorigin="3252,1545" coordsize="20,0" path="m3252,1545l3272,1545e" filled="false" stroked="true" strokeweight=".47998pt" strokecolor="#000000">
                <v:path arrowok="t"/>
              </v:shape>
            </v:group>
            <v:group style="position:absolute;left:3272;top:1545;width:20;height:2" coordorigin="3272,1545" coordsize="20,2">
              <v:shape style="position:absolute;left:3272;top:1545;width:20;height:2" coordorigin="3272,1545" coordsize="20,0" path="m3272,1545l3291,1545e" filled="false" stroked="true" strokeweight=".47998pt" strokecolor="#000000">
                <v:path arrowok="t"/>
              </v:shape>
            </v:group>
            <v:group style="position:absolute;left:3291;top:1545;width:20;height:2" coordorigin="3291,1545" coordsize="20,2">
              <v:shape style="position:absolute;left:3291;top:1545;width:20;height:2" coordorigin="3291,1545" coordsize="20,0" path="m3291,1545l3310,1545e" filled="false" stroked="true" strokeweight=".47998pt" strokecolor="#000000">
                <v:path arrowok="t"/>
              </v:shape>
            </v:group>
            <v:group style="position:absolute;left:3310;top:1545;width:20;height:2" coordorigin="3310,1545" coordsize="20,2">
              <v:shape style="position:absolute;left:3310;top:1545;width:20;height:2" coordorigin="3310,1545" coordsize="20,0" path="m3310,1545l3329,1545e" filled="false" stroked="true" strokeweight=".47998pt" strokecolor="#000000">
                <v:path arrowok="t"/>
              </v:shape>
            </v:group>
            <v:group style="position:absolute;left:3329;top:1545;width:20;height:2" coordorigin="3329,1545" coordsize="20,2">
              <v:shape style="position:absolute;left:3329;top:1545;width:20;height:2" coordorigin="3329,1545" coordsize="20,0" path="m3329,1545l3348,1545e" filled="false" stroked="true" strokeweight=".47998pt" strokecolor="#000000">
                <v:path arrowok="t"/>
              </v:shape>
            </v:group>
            <v:group style="position:absolute;left:3348;top:1545;width:20;height:2" coordorigin="3348,1545" coordsize="20,2">
              <v:shape style="position:absolute;left:3348;top:1545;width:20;height:2" coordorigin="3348,1545" coordsize="20,0" path="m3348,1545l3368,1545e" filled="false" stroked="true" strokeweight=".47998pt" strokecolor="#000000">
                <v:path arrowok="t"/>
              </v:shape>
            </v:group>
            <v:group style="position:absolute;left:3368;top:1545;width:20;height:2" coordorigin="3368,1545" coordsize="20,2">
              <v:shape style="position:absolute;left:3368;top:1545;width:20;height:2" coordorigin="3368,1545" coordsize="20,0" path="m3368,1545l3387,1545e" filled="false" stroked="true" strokeweight=".47998pt" strokecolor="#000000">
                <v:path arrowok="t"/>
              </v:shape>
            </v:group>
            <v:group style="position:absolute;left:3387;top:1545;width:20;height:2" coordorigin="3387,1545" coordsize="20,2">
              <v:shape style="position:absolute;left:3387;top:1545;width:20;height:2" coordorigin="3387,1545" coordsize="20,0" path="m3387,1545l3406,1545e" filled="false" stroked="true" strokeweight=".47998pt" strokecolor="#000000">
                <v:path arrowok="t"/>
              </v:shape>
            </v:group>
            <v:group style="position:absolute;left:3406;top:1545;width:20;height:2" coordorigin="3406,1545" coordsize="20,2">
              <v:shape style="position:absolute;left:3406;top:1545;width:20;height:2" coordorigin="3406,1545" coordsize="20,0" path="m3406,1545l3425,1545e" filled="false" stroked="true" strokeweight=".47998pt" strokecolor="#000000">
                <v:path arrowok="t"/>
              </v:shape>
            </v:group>
            <v:group style="position:absolute;left:3425;top:1545;width:20;height:2" coordorigin="3425,1545" coordsize="20,2">
              <v:shape style="position:absolute;left:3425;top:1545;width:20;height:2" coordorigin="3425,1545" coordsize="20,0" path="m3425,1545l3444,1545e" filled="false" stroked="true" strokeweight=".47998pt" strokecolor="#000000">
                <v:path arrowok="t"/>
              </v:shape>
            </v:group>
            <v:group style="position:absolute;left:3444;top:1545;width:20;height:2" coordorigin="3444,1545" coordsize="20,2">
              <v:shape style="position:absolute;left:3444;top:1545;width:20;height:2" coordorigin="3444,1545" coordsize="20,0" path="m3444,1545l3464,1545e" filled="false" stroked="true" strokeweight=".47998pt" strokecolor="#000000">
                <v:path arrowok="t"/>
              </v:shape>
            </v:group>
            <v:group style="position:absolute;left:3464;top:1545;width:20;height:2" coordorigin="3464,1545" coordsize="20,2">
              <v:shape style="position:absolute;left:3464;top:1545;width:20;height:2" coordorigin="3464,1545" coordsize="20,0" path="m3464,1545l3483,1545e" filled="false" stroked="true" strokeweight=".47998pt" strokecolor="#000000">
                <v:path arrowok="t"/>
              </v:shape>
            </v:group>
            <v:group style="position:absolute;left:3483;top:1545;width:20;height:2" coordorigin="3483,1545" coordsize="20,2">
              <v:shape style="position:absolute;left:3483;top:1545;width:20;height:2" coordorigin="3483,1545" coordsize="20,0" path="m3483,1545l3502,1545e" filled="false" stroked="true" strokeweight=".47998pt" strokecolor="#000000">
                <v:path arrowok="t"/>
              </v:shape>
            </v:group>
            <v:group style="position:absolute;left:3502;top:1545;width:20;height:2" coordorigin="3502,1545" coordsize="20,2">
              <v:shape style="position:absolute;left:3502;top:1545;width:20;height:2" coordorigin="3502,1545" coordsize="20,0" path="m3502,1545l3521,1545e" filled="false" stroked="true" strokeweight=".47998pt" strokecolor="#000000">
                <v:path arrowok="t"/>
              </v:shape>
            </v:group>
            <v:group style="position:absolute;left:3521;top:1545;width:20;height:2" coordorigin="3521,1545" coordsize="20,2">
              <v:shape style="position:absolute;left:3521;top:1545;width:20;height:2" coordorigin="3521,1545" coordsize="20,0" path="m3521,1545l3540,1545e" filled="false" stroked="true" strokeweight=".47998pt" strokecolor="#000000">
                <v:path arrowok="t"/>
              </v:shape>
            </v:group>
            <v:group style="position:absolute;left:3540;top:1545;width:20;height:2" coordorigin="3540,1545" coordsize="20,2">
              <v:shape style="position:absolute;left:3540;top:1545;width:20;height:2" coordorigin="3540,1545" coordsize="20,0" path="m3540,1545l3560,1545e" filled="false" stroked="true" strokeweight=".47998pt" strokecolor="#000000">
                <v:path arrowok="t"/>
              </v:shape>
            </v:group>
            <v:group style="position:absolute;left:3560;top:1545;width:20;height:2" coordorigin="3560,1545" coordsize="20,2">
              <v:shape style="position:absolute;left:3560;top:1545;width:20;height:2" coordorigin="3560,1545" coordsize="20,0" path="m3560,1545l3579,1545e" filled="false" stroked="true" strokeweight=".47998pt" strokecolor="#000000">
                <v:path arrowok="t"/>
              </v:shape>
            </v:group>
            <v:group style="position:absolute;left:3579;top:1545;width:20;height:2" coordorigin="3579,1545" coordsize="20,2">
              <v:shape style="position:absolute;left:3579;top:1545;width:20;height:2" coordorigin="3579,1545" coordsize="20,0" path="m3579,1545l3598,1545e" filled="false" stroked="true" strokeweight=".47998pt" strokecolor="#000000">
                <v:path arrowok="t"/>
              </v:shape>
            </v:group>
            <v:group style="position:absolute;left:3598;top:1545;width:20;height:2" coordorigin="3598,1545" coordsize="20,2">
              <v:shape style="position:absolute;left:3598;top:1545;width:20;height:2" coordorigin="3598,1545" coordsize="20,0" path="m3598,1545l3617,1545e" filled="false" stroked="true" strokeweight=".47998pt" strokecolor="#000000">
                <v:path arrowok="t"/>
              </v:shape>
            </v:group>
            <v:group style="position:absolute;left:3617;top:1545;width:20;height:2" coordorigin="3617,1545" coordsize="20,2">
              <v:shape style="position:absolute;left:3617;top:1545;width:20;height:2" coordorigin="3617,1545" coordsize="20,0" path="m3617,1545l3636,1545e" filled="false" stroked="true" strokeweight=".47998pt" strokecolor="#000000">
                <v:path arrowok="t"/>
              </v:shape>
            </v:group>
            <v:group style="position:absolute;left:3636;top:1545;width:20;height:2" coordorigin="3636,1545" coordsize="20,2">
              <v:shape style="position:absolute;left:3636;top:1545;width:20;height:2" coordorigin="3636,1545" coordsize="20,0" path="m3636,1545l3656,1545e" filled="false" stroked="true" strokeweight=".47998pt" strokecolor="#000000">
                <v:path arrowok="t"/>
              </v:shape>
            </v:group>
            <v:group style="position:absolute;left:3656;top:1545;width:20;height:2" coordorigin="3656,1545" coordsize="20,2">
              <v:shape style="position:absolute;left:3656;top:1545;width:20;height:2" coordorigin="3656,1545" coordsize="20,0" path="m3656,1545l3675,1545e" filled="false" stroked="true" strokeweight=".47998pt" strokecolor="#000000">
                <v:path arrowok="t"/>
              </v:shape>
            </v:group>
            <v:group style="position:absolute;left:3675;top:1545;width:20;height:2" coordorigin="3675,1545" coordsize="20,2">
              <v:shape style="position:absolute;left:3675;top:1545;width:20;height:2" coordorigin="3675,1545" coordsize="20,0" path="m3675,1545l3694,1545e" filled="false" stroked="true" strokeweight=".47998pt" strokecolor="#000000">
                <v:path arrowok="t"/>
              </v:shape>
            </v:group>
            <v:group style="position:absolute;left:3694;top:1545;width:20;height:2" coordorigin="3694,1545" coordsize="20,2">
              <v:shape style="position:absolute;left:3694;top:1545;width:20;height:2" coordorigin="3694,1545" coordsize="20,0" path="m3694,1545l3713,1545e" filled="false" stroked="true" strokeweight=".47998pt" strokecolor="#000000">
                <v:path arrowok="t"/>
              </v:shape>
            </v:group>
            <v:group style="position:absolute;left:3713;top:1545;width:20;height:2" coordorigin="3713,1545" coordsize="20,2">
              <v:shape style="position:absolute;left:3713;top:1545;width:20;height:2" coordorigin="3713,1545" coordsize="20,0" path="m3713,1545l3732,1545e" filled="false" stroked="true" strokeweight=".47998pt" strokecolor="#000000">
                <v:path arrowok="t"/>
              </v:shape>
            </v:group>
            <v:group style="position:absolute;left:3732;top:1545;width:20;height:2" coordorigin="3732,1545" coordsize="20,2">
              <v:shape style="position:absolute;left:3732;top:1545;width:20;height:2" coordorigin="3732,1545" coordsize="20,0" path="m3732,1545l3752,1545e" filled="false" stroked="true" strokeweight=".47998pt" strokecolor="#000000">
                <v:path arrowok="t"/>
              </v:shape>
            </v:group>
            <v:group style="position:absolute;left:3752;top:1545;width:20;height:2" coordorigin="3752,1545" coordsize="20,2">
              <v:shape style="position:absolute;left:3752;top:1545;width:20;height:2" coordorigin="3752,1545" coordsize="20,0" path="m3752,1545l3771,1545e" filled="false" stroked="true" strokeweight=".47998pt" strokecolor="#000000">
                <v:path arrowok="t"/>
              </v:shape>
            </v:group>
            <v:group style="position:absolute;left:3771;top:1545;width:20;height:2" coordorigin="3771,1545" coordsize="20,2">
              <v:shape style="position:absolute;left:3771;top:1545;width:20;height:2" coordorigin="3771,1545" coordsize="20,0" path="m3771,1545l3790,1545e" filled="false" stroked="true" strokeweight=".47998pt" strokecolor="#000000">
                <v:path arrowok="t"/>
              </v:shape>
            </v:group>
            <v:group style="position:absolute;left:3790;top:1545;width:20;height:2" coordorigin="3790,1545" coordsize="20,2">
              <v:shape style="position:absolute;left:3790;top:1545;width:20;height:2" coordorigin="3790,1545" coordsize="20,0" path="m3790,1545l3810,1545e" filled="false" stroked="true" strokeweight=".47998pt" strokecolor="#000000">
                <v:path arrowok="t"/>
              </v:shape>
            </v:group>
            <v:group style="position:absolute;left:3810;top:1545;width:20;height:2" coordorigin="3810,1545" coordsize="20,2">
              <v:shape style="position:absolute;left:3810;top:1545;width:20;height:2" coordorigin="3810,1545" coordsize="20,0" path="m3810,1545l3829,1545e" filled="false" stroked="true" strokeweight=".47998pt" strokecolor="#000000">
                <v:path arrowok="t"/>
              </v:shape>
            </v:group>
            <v:group style="position:absolute;left:3829;top:1545;width:20;height:2" coordorigin="3829,1545" coordsize="20,2">
              <v:shape style="position:absolute;left:3829;top:1545;width:20;height:2" coordorigin="3829,1545" coordsize="20,0" path="m3829,1545l3848,1545e" filled="false" stroked="true" strokeweight=".47998pt" strokecolor="#000000">
                <v:path arrowok="t"/>
              </v:shape>
            </v:group>
            <v:group style="position:absolute;left:3848;top:1545;width:20;height:2" coordorigin="3848,1545" coordsize="20,2">
              <v:shape style="position:absolute;left:3848;top:1545;width:20;height:2" coordorigin="3848,1545" coordsize="20,0" path="m3848,1545l3867,1545e" filled="false" stroked="true" strokeweight=".47998pt" strokecolor="#000000">
                <v:path arrowok="t"/>
              </v:shape>
            </v:group>
            <v:group style="position:absolute;left:3867;top:1545;width:20;height:2" coordorigin="3867,1545" coordsize="20,2">
              <v:shape style="position:absolute;left:3867;top:1545;width:20;height:2" coordorigin="3867,1545" coordsize="20,0" path="m3867,1545l3887,1545e" filled="false" stroked="true" strokeweight=".47998pt" strokecolor="#000000">
                <v:path arrowok="t"/>
              </v:shape>
            </v:group>
            <v:group style="position:absolute;left:3887;top:1545;width:20;height:2" coordorigin="3887,1545" coordsize="20,2">
              <v:shape style="position:absolute;left:3887;top:1545;width:20;height:2" coordorigin="3887,1545" coordsize="20,0" path="m3887,1545l3906,1545e" filled="false" stroked="true" strokeweight=".47998pt" strokecolor="#000000">
                <v:path arrowok="t"/>
              </v:shape>
            </v:group>
            <v:group style="position:absolute;left:3906;top:1545;width:20;height:2" coordorigin="3906,1545" coordsize="20,2">
              <v:shape style="position:absolute;left:3906;top:1545;width:20;height:2" coordorigin="3906,1545" coordsize="20,0" path="m3906,1545l3925,1545e" filled="false" stroked="true" strokeweight=".47998pt" strokecolor="#000000">
                <v:path arrowok="t"/>
              </v:shape>
            </v:group>
            <v:group style="position:absolute;left:3925;top:1545;width:20;height:2" coordorigin="3925,1545" coordsize="20,2">
              <v:shape style="position:absolute;left:3925;top:1545;width:20;height:2" coordorigin="3925,1545" coordsize="20,0" path="m3925,1545l3944,1545e" filled="false" stroked="true" strokeweight=".47998pt" strokecolor="#000000">
                <v:path arrowok="t"/>
              </v:shape>
            </v:group>
            <v:group style="position:absolute;left:3944;top:1545;width:20;height:2" coordorigin="3944,1545" coordsize="20,2">
              <v:shape style="position:absolute;left:3944;top:1545;width:20;height:2" coordorigin="3944,1545" coordsize="20,0" path="m3944,1545l3963,1545e" filled="false" stroked="true" strokeweight=".47998pt" strokecolor="#000000">
                <v:path arrowok="t"/>
              </v:shape>
            </v:group>
            <v:group style="position:absolute;left:3963;top:1545;width:20;height:2" coordorigin="3963,1545" coordsize="20,2">
              <v:shape style="position:absolute;left:3963;top:1545;width:20;height:2" coordorigin="3963,1545" coordsize="20,0" path="m3963,1545l3983,1545e" filled="false" stroked="true" strokeweight=".47998pt" strokecolor="#000000">
                <v:path arrowok="t"/>
              </v:shape>
            </v:group>
            <v:group style="position:absolute;left:3983;top:1545;width:20;height:2" coordorigin="3983,1545" coordsize="20,2">
              <v:shape style="position:absolute;left:3983;top:1545;width:20;height:2" coordorigin="3983,1545" coordsize="20,0" path="m3983,1545l4002,1545e" filled="false" stroked="true" strokeweight=".47998pt" strokecolor="#000000">
                <v:path arrowok="t"/>
              </v:shape>
            </v:group>
            <v:group style="position:absolute;left:4002;top:1545;width:20;height:2" coordorigin="4002,1545" coordsize="20,2">
              <v:shape style="position:absolute;left:4002;top:1545;width:20;height:2" coordorigin="4002,1545" coordsize="20,0" path="m4002,1545l4021,1545e" filled="false" stroked="true" strokeweight=".47998pt" strokecolor="#000000">
                <v:path arrowok="t"/>
              </v:shape>
            </v:group>
            <v:group style="position:absolute;left:4021;top:1545;width:20;height:2" coordorigin="4021,1545" coordsize="20,2">
              <v:shape style="position:absolute;left:4021;top:1545;width:20;height:2" coordorigin="4021,1545" coordsize="20,0" path="m4021,1545l4040,1545e" filled="false" stroked="true" strokeweight=".47998pt" strokecolor="#000000">
                <v:path arrowok="t"/>
              </v:shape>
            </v:group>
            <v:group style="position:absolute;left:4040;top:1545;width:20;height:2" coordorigin="4040,1545" coordsize="20,2">
              <v:shape style="position:absolute;left:4040;top:1545;width:20;height:2" coordorigin="4040,1545" coordsize="20,0" path="m4040,1545l4059,1545e" filled="false" stroked="true" strokeweight=".47998pt" strokecolor="#000000">
                <v:path arrowok="t"/>
              </v:shape>
            </v:group>
            <v:group style="position:absolute;left:4059;top:1545;width:20;height:2" coordorigin="4059,1545" coordsize="20,2">
              <v:shape style="position:absolute;left:4059;top:1545;width:20;height:2" coordorigin="4059,1545" coordsize="20,0" path="m4059,1545l4079,1545e" filled="false" stroked="true" strokeweight=".47998pt" strokecolor="#000000">
                <v:path arrowok="t"/>
              </v:shape>
            </v:group>
            <v:group style="position:absolute;left:4079;top:1545;width:20;height:2" coordorigin="4079,1545" coordsize="20,2">
              <v:shape style="position:absolute;left:4079;top:1545;width:20;height:2" coordorigin="4079,1545" coordsize="20,0" path="m4079,1545l4098,1545e" filled="false" stroked="true" strokeweight=".47998pt" strokecolor="#000000">
                <v:path arrowok="t"/>
              </v:shape>
            </v:group>
            <v:group style="position:absolute;left:4098;top:1545;width:20;height:2" coordorigin="4098,1545" coordsize="20,2">
              <v:shape style="position:absolute;left:4098;top:1545;width:20;height:2" coordorigin="4098,1545" coordsize="20,0" path="m4098,1545l4117,1545e" filled="false" stroked="true" strokeweight=".47998pt" strokecolor="#000000">
                <v:path arrowok="t"/>
              </v:shape>
            </v:group>
            <v:group style="position:absolute;left:4117;top:1545;width:20;height:2" coordorigin="4117,1545" coordsize="20,2">
              <v:shape style="position:absolute;left:4117;top:1545;width:20;height:2" coordorigin="4117,1545" coordsize="20,0" path="m4117,1545l4136,1545e" filled="false" stroked="true" strokeweight=".47998pt" strokecolor="#000000">
                <v:path arrowok="t"/>
              </v:shape>
            </v:group>
            <v:group style="position:absolute;left:4136;top:1545;width:20;height:2" coordorigin="4136,1545" coordsize="20,2">
              <v:shape style="position:absolute;left:4136;top:1545;width:20;height:2" coordorigin="4136,1545" coordsize="20,0" path="m4136,1545l4155,1545e" filled="false" stroked="true" strokeweight=".47998pt" strokecolor="#000000">
                <v:path arrowok="t"/>
              </v:shape>
            </v:group>
            <v:group style="position:absolute;left:4155;top:1545;width:20;height:2" coordorigin="4155,1545" coordsize="20,2">
              <v:shape style="position:absolute;left:4155;top:1545;width:20;height:2" coordorigin="4155,1545" coordsize="20,0" path="m4155,1545l4175,1545e" filled="false" stroked="true" strokeweight=".47998pt" strokecolor="#000000">
                <v:path arrowok="t"/>
              </v:shape>
            </v:group>
            <v:group style="position:absolute;left:4175;top:1545;width:20;height:2" coordorigin="4175,1545" coordsize="20,2">
              <v:shape style="position:absolute;left:4175;top:1545;width:20;height:2" coordorigin="4175,1545" coordsize="20,0" path="m4175,1545l4194,1545e" filled="false" stroked="true" strokeweight=".47998pt" strokecolor="#000000">
                <v:path arrowok="t"/>
              </v:shape>
            </v:group>
            <v:group style="position:absolute;left:4194;top:1545;width:20;height:2" coordorigin="4194,1545" coordsize="20,2">
              <v:shape style="position:absolute;left:4194;top:1545;width:20;height:2" coordorigin="4194,1545" coordsize="20,0" path="m4194,1545l4213,1545e" filled="false" stroked="true" strokeweight=".47998pt" strokecolor="#000000">
                <v:path arrowok="t"/>
              </v:shape>
            </v:group>
            <v:group style="position:absolute;left:4213;top:1545;width:20;height:2" coordorigin="4213,1545" coordsize="20,2">
              <v:shape style="position:absolute;left:4213;top:1545;width:20;height:2" coordorigin="4213,1545" coordsize="20,0" path="m4213,1545l4232,1545e" filled="false" stroked="true" strokeweight=".47998pt" strokecolor="#000000">
                <v:path arrowok="t"/>
              </v:shape>
            </v:group>
            <v:group style="position:absolute;left:4232;top:1545;width:20;height:2" coordorigin="4232,1545" coordsize="20,2">
              <v:shape style="position:absolute;left:4232;top:1545;width:20;height:2" coordorigin="4232,1545" coordsize="20,0" path="m4232,1545l4251,1545e" filled="false" stroked="true" strokeweight=".47998pt" strokecolor="#000000">
                <v:path arrowok="t"/>
              </v:shape>
            </v:group>
            <v:group style="position:absolute;left:4251;top:1545;width:20;height:2" coordorigin="4251,1545" coordsize="20,2">
              <v:shape style="position:absolute;left:4251;top:1545;width:20;height:2" coordorigin="4251,1545" coordsize="20,0" path="m4251,1545l4271,1545e" filled="false" stroked="true" strokeweight=".47998pt" strokecolor="#000000">
                <v:path arrowok="t"/>
              </v:shape>
            </v:group>
            <v:group style="position:absolute;left:4271;top:1545;width:20;height:2" coordorigin="4271,1545" coordsize="20,2">
              <v:shape style="position:absolute;left:4271;top:1545;width:20;height:2" coordorigin="4271,1545" coordsize="20,0" path="m4271,1545l4290,1545e" filled="false" stroked="true" strokeweight=".47998pt" strokecolor="#000000">
                <v:path arrowok="t"/>
              </v:shape>
            </v:group>
            <v:group style="position:absolute;left:4290;top:1545;width:20;height:2" coordorigin="4290,1545" coordsize="20,2">
              <v:shape style="position:absolute;left:4290;top:1545;width:20;height:2" coordorigin="4290,1545" coordsize="20,0" path="m4290,1545l4309,1545e" filled="false" stroked="true" strokeweight=".47998pt" strokecolor="#000000">
                <v:path arrowok="t"/>
              </v:shape>
            </v:group>
            <v:group style="position:absolute;left:4309;top:1545;width:20;height:2" coordorigin="4309,1545" coordsize="20,2">
              <v:shape style="position:absolute;left:4309;top:1545;width:20;height:2" coordorigin="4309,1545" coordsize="20,0" path="m4309,1545l4328,1545e" filled="false" stroked="true" strokeweight=".47998pt" strokecolor="#000000">
                <v:path arrowok="t"/>
              </v:shape>
            </v:group>
            <v:group style="position:absolute;left:4328;top:1545;width:20;height:2" coordorigin="4328,1545" coordsize="20,2">
              <v:shape style="position:absolute;left:4328;top:1545;width:20;height:2" coordorigin="4328,1545" coordsize="20,0" path="m4328,1545l4347,1545e" filled="false" stroked="true" strokeweight=".47998pt" strokecolor="#000000">
                <v:path arrowok="t"/>
              </v:shape>
            </v:group>
            <v:group style="position:absolute;left:4347;top:1545;width:20;height:2" coordorigin="4347,1545" coordsize="20,2">
              <v:shape style="position:absolute;left:4347;top:1545;width:20;height:2" coordorigin="4347,1545" coordsize="20,0" path="m4347,1545l4367,1545e" filled="false" stroked="true" strokeweight=".47998pt" strokecolor="#000000">
                <v:path arrowok="t"/>
              </v:shape>
            </v:group>
            <v:group style="position:absolute;left:4367;top:1545;width:20;height:2" coordorigin="4367,1545" coordsize="20,2">
              <v:shape style="position:absolute;left:4367;top:1545;width:20;height:2" coordorigin="4367,1545" coordsize="20,0" path="m4367,1545l4386,1545e" filled="false" stroked="true" strokeweight=".47998pt" strokecolor="#000000">
                <v:path arrowok="t"/>
              </v:shape>
            </v:group>
            <v:group style="position:absolute;left:4386;top:1545;width:20;height:2" coordorigin="4386,1545" coordsize="20,2">
              <v:shape style="position:absolute;left:4386;top:1545;width:20;height:2" coordorigin="4386,1545" coordsize="20,0" path="m4386,1545l4405,1545e" filled="false" stroked="true" strokeweight=".47998pt" strokecolor="#000000">
                <v:path arrowok="t"/>
              </v:shape>
            </v:group>
            <v:group style="position:absolute;left:4405;top:1545;width:20;height:2" coordorigin="4405,1545" coordsize="20,2">
              <v:shape style="position:absolute;left:4405;top:1545;width:20;height:2" coordorigin="4405,1545" coordsize="20,0" path="m4405,1545l4424,1545e" filled="false" stroked="true" strokeweight=".47998pt" strokecolor="#000000">
                <v:path arrowok="t"/>
              </v:shape>
            </v:group>
            <v:group style="position:absolute;left:4424;top:1545;width:20;height:2" coordorigin="4424,1545" coordsize="20,2">
              <v:shape style="position:absolute;left:4424;top:1545;width:20;height:2" coordorigin="4424,1545" coordsize="20,0" path="m4424,1545l4443,1545e" filled="false" stroked="true" strokeweight=".47998pt" strokecolor="#000000">
                <v:path arrowok="t"/>
              </v:shape>
            </v:group>
            <v:group style="position:absolute;left:4443;top:1545;width:20;height:2" coordorigin="4443,1545" coordsize="20,2">
              <v:shape style="position:absolute;left:4443;top:1545;width:20;height:2" coordorigin="4443,1545" coordsize="20,0" path="m4443,1545l4463,1545e" filled="false" stroked="true" strokeweight=".47998pt" strokecolor="#000000">
                <v:path arrowok="t"/>
              </v:shape>
            </v:group>
            <v:group style="position:absolute;left:4463;top:1545;width:20;height:2" coordorigin="4463,1545" coordsize="20,2">
              <v:shape style="position:absolute;left:4463;top:1545;width:20;height:2" coordorigin="4463,1545" coordsize="20,0" path="m4463,1545l4482,1545e" filled="false" stroked="true" strokeweight=".47998pt" strokecolor="#000000">
                <v:path arrowok="t"/>
              </v:shape>
            </v:group>
            <v:group style="position:absolute;left:4482;top:1545;width:20;height:2" coordorigin="4482,1545" coordsize="20,2">
              <v:shape style="position:absolute;left:4482;top:1545;width:20;height:2" coordorigin="4482,1545" coordsize="20,0" path="m4482,1545l4501,1545e" filled="false" stroked="true" strokeweight=".47998pt" strokecolor="#000000">
                <v:path arrowok="t"/>
              </v:shape>
            </v:group>
            <v:group style="position:absolute;left:4501;top:1545;width:20;height:2" coordorigin="4501,1545" coordsize="20,2">
              <v:shape style="position:absolute;left:4501;top:1545;width:20;height:2" coordorigin="4501,1545" coordsize="20,0" path="m4501,1545l4520,1545e" filled="false" stroked="true" strokeweight=".47998pt" strokecolor="#000000">
                <v:path arrowok="t"/>
              </v:shape>
            </v:group>
            <v:group style="position:absolute;left:4520;top:1545;width:20;height:2" coordorigin="4520,1545" coordsize="20,2">
              <v:shape style="position:absolute;left:4520;top:1545;width:20;height:2" coordorigin="4520,1545" coordsize="20,0" path="m4520,1545l4539,1545e" filled="false" stroked="true" strokeweight=".47998pt" strokecolor="#000000">
                <v:path arrowok="t"/>
              </v:shape>
            </v:group>
            <v:group style="position:absolute;left:4539;top:1545;width:20;height:2" coordorigin="4539,1545" coordsize="20,2">
              <v:shape style="position:absolute;left:4539;top:1545;width:20;height:2" coordorigin="4539,1545" coordsize="20,0" path="m4539,1545l4559,1545e" filled="false" stroked="true" strokeweight=".47998pt" strokecolor="#000000">
                <v:path arrowok="t"/>
              </v:shape>
            </v:group>
            <v:group style="position:absolute;left:4559;top:1545;width:20;height:2" coordorigin="4559,1545" coordsize="20,2">
              <v:shape style="position:absolute;left:4559;top:1545;width:20;height:2" coordorigin="4559,1545" coordsize="20,0" path="m4559,1545l4578,1545e" filled="false" stroked="true" strokeweight=".47998pt" strokecolor="#000000">
                <v:path arrowok="t"/>
              </v:shape>
            </v:group>
            <v:group style="position:absolute;left:4578;top:1545;width:20;height:2" coordorigin="4578,1545" coordsize="20,2">
              <v:shape style="position:absolute;left:4578;top:1545;width:20;height:2" coordorigin="4578,1545" coordsize="20,0" path="m4578,1545l4597,1545e" filled="false" stroked="true" strokeweight=".47998pt" strokecolor="#000000">
                <v:path arrowok="t"/>
              </v:shape>
            </v:group>
            <v:group style="position:absolute;left:4597;top:1545;width:20;height:2" coordorigin="4597,1545" coordsize="20,2">
              <v:shape style="position:absolute;left:4597;top:1545;width:20;height:2" coordorigin="4597,1545" coordsize="20,0" path="m4597,1545l4616,1545e" filled="false" stroked="true" strokeweight=".47998pt" strokecolor="#000000">
                <v:path arrowok="t"/>
              </v:shape>
            </v:group>
            <v:group style="position:absolute;left:4616;top:1545;width:20;height:2" coordorigin="4616,1545" coordsize="20,2">
              <v:shape style="position:absolute;left:4616;top:1545;width:20;height:2" coordorigin="4616,1545" coordsize="20,0" path="m4616,1545l4635,1545e" filled="false" stroked="true" strokeweight=".47998pt" strokecolor="#000000">
                <v:path arrowok="t"/>
              </v:shape>
            </v:group>
            <v:group style="position:absolute;left:4635;top:1545;width:20;height:2" coordorigin="4635,1545" coordsize="20,2">
              <v:shape style="position:absolute;left:4635;top:1545;width:20;height:2" coordorigin="4635,1545" coordsize="20,0" path="m4635,1545l4655,1545e" filled="false" stroked="true" strokeweight=".47998pt" strokecolor="#000000">
                <v:path arrowok="t"/>
              </v:shape>
            </v:group>
            <v:group style="position:absolute;left:4655;top:1545;width:20;height:2" coordorigin="4655,1545" coordsize="20,2">
              <v:shape style="position:absolute;left:4655;top:1545;width:20;height:2" coordorigin="4655,1545" coordsize="20,0" path="m4655,1545l4674,1545e" filled="false" stroked="true" strokeweight=".47998pt" strokecolor="#000000">
                <v:path arrowok="t"/>
              </v:shape>
            </v:group>
            <v:group style="position:absolute;left:4674;top:1545;width:20;height:2" coordorigin="4674,1545" coordsize="20,2">
              <v:shape style="position:absolute;left:4674;top:1545;width:20;height:2" coordorigin="4674,1545" coordsize="20,0" path="m4674,1545l4693,1545e" filled="false" stroked="true" strokeweight=".47998pt" strokecolor="#000000">
                <v:path arrowok="t"/>
              </v:shape>
            </v:group>
            <v:group style="position:absolute;left:4693;top:1545;width:20;height:2" coordorigin="4693,1545" coordsize="20,2">
              <v:shape style="position:absolute;left:4693;top:1545;width:20;height:2" coordorigin="4693,1545" coordsize="20,0" path="m4693,1545l4712,1545e" filled="false" stroked="true" strokeweight=".47998pt" strokecolor="#000000">
                <v:path arrowok="t"/>
              </v:shape>
            </v:group>
            <v:group style="position:absolute;left:4712;top:1545;width:20;height:2" coordorigin="4712,1545" coordsize="20,2">
              <v:shape style="position:absolute;left:4712;top:1545;width:20;height:2" coordorigin="4712,1545" coordsize="20,0" path="m4712,1545l4731,1545e" filled="false" stroked="true" strokeweight=".47998pt" strokecolor="#000000">
                <v:path arrowok="t"/>
              </v:shape>
            </v:group>
            <v:group style="position:absolute;left:4731;top:1545;width:20;height:2" coordorigin="4731,1545" coordsize="20,2">
              <v:shape style="position:absolute;left:4731;top:1545;width:20;height:2" coordorigin="4731,1545" coordsize="20,0" path="m4731,1545l4751,1545e" filled="false" stroked="true" strokeweight=".47998pt" strokecolor="#000000">
                <v:path arrowok="t"/>
              </v:shape>
            </v:group>
            <v:group style="position:absolute;left:4751;top:1545;width:20;height:2" coordorigin="4751,1545" coordsize="20,2">
              <v:shape style="position:absolute;left:4751;top:1545;width:20;height:2" coordorigin="4751,1545" coordsize="20,0" path="m4751,1545l4770,1545e" filled="false" stroked="true" strokeweight=".47998pt" strokecolor="#000000">
                <v:path arrowok="t"/>
              </v:shape>
            </v:group>
            <v:group style="position:absolute;left:4770;top:1545;width:20;height:2" coordorigin="4770,1545" coordsize="20,2">
              <v:shape style="position:absolute;left:4770;top:1545;width:20;height:2" coordorigin="4770,1545" coordsize="20,0" path="m4770,1545l4789,1545e" filled="false" stroked="true" strokeweight=".47998pt" strokecolor="#000000">
                <v:path arrowok="t"/>
              </v:shape>
            </v:group>
            <v:group style="position:absolute;left:4789;top:1545;width:20;height:2" coordorigin="4789,1545" coordsize="20,2">
              <v:shape style="position:absolute;left:4789;top:1545;width:20;height:2" coordorigin="4789,1545" coordsize="20,0" path="m4789,1545l4808,1545e" filled="false" stroked="true" strokeweight=".47998pt" strokecolor="#000000">
                <v:path arrowok="t"/>
              </v:shape>
            </v:group>
            <v:group style="position:absolute;left:4808;top:1545;width:20;height:2" coordorigin="4808,1545" coordsize="20,2">
              <v:shape style="position:absolute;left:4808;top:1545;width:20;height:2" coordorigin="4808,1545" coordsize="20,0" path="m4808,1545l4827,1545e" filled="false" stroked="true" strokeweight=".47998pt" strokecolor="#000000">
                <v:path arrowok="t"/>
              </v:shape>
            </v:group>
            <v:group style="position:absolute;left:4827;top:1545;width:20;height:2" coordorigin="4827,1545" coordsize="20,2">
              <v:shape style="position:absolute;left:4827;top:1545;width:20;height:2" coordorigin="4827,1545" coordsize="20,0" path="m4827,1545l4847,1545e" filled="false" stroked="true" strokeweight=".47998pt" strokecolor="#000000">
                <v:path arrowok="t"/>
              </v:shape>
            </v:group>
            <v:group style="position:absolute;left:4847;top:1545;width:20;height:2" coordorigin="4847,1545" coordsize="20,2">
              <v:shape style="position:absolute;left:4847;top:1545;width:20;height:2" coordorigin="4847,1545" coordsize="20,0" path="m4847,1545l4866,1545e" filled="false" stroked="true" strokeweight=".47998pt" strokecolor="#000000">
                <v:path arrowok="t"/>
              </v:shape>
            </v:group>
            <v:group style="position:absolute;left:4866;top:1545;width:20;height:2" coordorigin="4866,1545" coordsize="20,2">
              <v:shape style="position:absolute;left:4866;top:1545;width:20;height:2" coordorigin="4866,1545" coordsize="20,0" path="m4866,1545l4885,1545e" filled="false" stroked="true" strokeweight=".47998pt" strokecolor="#000000">
                <v:path arrowok="t"/>
              </v:shape>
            </v:group>
            <v:group style="position:absolute;left:4885;top:1545;width:20;height:2" coordorigin="4885,1545" coordsize="20,2">
              <v:shape style="position:absolute;left:4885;top:1545;width:20;height:2" coordorigin="4885,1545" coordsize="20,0" path="m4885,1545l4904,1545e" filled="false" stroked="true" strokeweight=".47998pt" strokecolor="#000000">
                <v:path arrowok="t"/>
              </v:shape>
            </v:group>
            <v:group style="position:absolute;left:4904;top:1545;width:20;height:2" coordorigin="4904,1545" coordsize="20,2">
              <v:shape style="position:absolute;left:4904;top:1545;width:20;height:2" coordorigin="4904,1545" coordsize="20,0" path="m4904,1545l4923,1545e" filled="false" stroked="true" strokeweight=".47998pt" strokecolor="#000000">
                <v:path arrowok="t"/>
              </v:shape>
            </v:group>
            <v:group style="position:absolute;left:4923;top:1545;width:20;height:2" coordorigin="4923,1545" coordsize="20,2">
              <v:shape style="position:absolute;left:4923;top:1545;width:20;height:2" coordorigin="4923,1545" coordsize="20,0" path="m4923,1545l4943,1545e" filled="false" stroked="true" strokeweight=".47998pt" strokecolor="#000000">
                <v:path arrowok="t"/>
              </v:shape>
            </v:group>
            <v:group style="position:absolute;left:4943;top:1545;width:20;height:2" coordorigin="4943,1545" coordsize="20,2">
              <v:shape style="position:absolute;left:4943;top:1545;width:20;height:2" coordorigin="4943,1545" coordsize="20,0" path="m4943,1545l4962,1545e" filled="false" stroked="true" strokeweight=".47998pt" strokecolor="#000000">
                <v:path arrowok="t"/>
              </v:shape>
            </v:group>
            <v:group style="position:absolute;left:4962;top:1545;width:20;height:2" coordorigin="4962,1545" coordsize="20,2">
              <v:shape style="position:absolute;left:4962;top:1545;width:20;height:2" coordorigin="4962,1545" coordsize="20,0" path="m4962,1545l4981,1545e" filled="false" stroked="true" strokeweight=".47998pt" strokecolor="#000000">
                <v:path arrowok="t"/>
              </v:shape>
            </v:group>
            <v:group style="position:absolute;left:4981;top:1545;width:20;height:2" coordorigin="4981,1545" coordsize="20,2">
              <v:shape style="position:absolute;left:4981;top:1545;width:20;height:2" coordorigin="4981,1545" coordsize="20,0" path="m4981,1545l5000,1545e" filled="false" stroked="true" strokeweight=".47998pt" strokecolor="#000000">
                <v:path arrowok="t"/>
              </v:shape>
            </v:group>
            <v:group style="position:absolute;left:5000;top:1545;width:20;height:2" coordorigin="5000,1545" coordsize="20,2">
              <v:shape style="position:absolute;left:5000;top:1545;width:20;height:2" coordorigin="5000,1545" coordsize="20,0" path="m5000,1545l5019,1545e" filled="false" stroked="true" strokeweight=".47998pt" strokecolor="#000000">
                <v:path arrowok="t"/>
              </v:shape>
            </v:group>
            <v:group style="position:absolute;left:5019;top:1545;width:20;height:2" coordorigin="5019,1545" coordsize="20,2">
              <v:shape style="position:absolute;left:5019;top:1545;width:20;height:2" coordorigin="5019,1545" coordsize="20,0" path="m5019,1545l5039,1545e" filled="false" stroked="true" strokeweight=".47998pt" strokecolor="#000000">
                <v:path arrowok="t"/>
              </v:shape>
            </v:group>
            <v:group style="position:absolute;left:5039;top:1545;width:20;height:2" coordorigin="5039,1545" coordsize="20,2">
              <v:shape style="position:absolute;left:5039;top:1545;width:20;height:2" coordorigin="5039,1545" coordsize="20,0" path="m5039,1545l5058,1545e" filled="false" stroked="true" strokeweight=".47998pt" strokecolor="#000000">
                <v:path arrowok="t"/>
              </v:shape>
            </v:group>
            <v:group style="position:absolute;left:5058;top:1545;width:20;height:2" coordorigin="5058,1545" coordsize="20,2">
              <v:shape style="position:absolute;left:5058;top:1545;width:20;height:2" coordorigin="5058,1545" coordsize="20,0" path="m5058,1545l5077,1545e" filled="false" stroked="true" strokeweight=".47998pt" strokecolor="#000000">
                <v:path arrowok="t"/>
              </v:shape>
            </v:group>
            <v:group style="position:absolute;left:5077;top:1545;width:20;height:2" coordorigin="5077,1545" coordsize="20,2">
              <v:shape style="position:absolute;left:5077;top:1545;width:20;height:2" coordorigin="5077,1545" coordsize="20,0" path="m5077,1545l5096,1545e" filled="false" stroked="true" strokeweight=".47998pt" strokecolor="#000000">
                <v:path arrowok="t"/>
              </v:shape>
            </v:group>
            <v:group style="position:absolute;left:5096;top:1545;width:20;height:2" coordorigin="5096,1545" coordsize="20,2">
              <v:shape style="position:absolute;left:5096;top:1545;width:20;height:2" coordorigin="5096,1545" coordsize="20,0" path="m5096,1545l5115,1545e" filled="false" stroked="true" strokeweight=".47998pt" strokecolor="#000000">
                <v:path arrowok="t"/>
              </v:shape>
            </v:group>
            <v:group style="position:absolute;left:5115;top:1545;width:20;height:2" coordorigin="5115,1545" coordsize="20,2">
              <v:shape style="position:absolute;left:5115;top:1545;width:20;height:2" coordorigin="5115,1545" coordsize="20,0" path="m5115,1545l5135,1545e" filled="false" stroked="true" strokeweight=".47998pt" strokecolor="#000000">
                <v:path arrowok="t"/>
              </v:shape>
            </v:group>
            <v:group style="position:absolute;left:5135;top:1545;width:20;height:2" coordorigin="5135,1545" coordsize="20,2">
              <v:shape style="position:absolute;left:5135;top:1545;width:20;height:2" coordorigin="5135,1545" coordsize="20,0" path="m5135,1545l5154,1545e" filled="false" stroked="true" strokeweight=".47998pt" strokecolor="#000000">
                <v:path arrowok="t"/>
              </v:shape>
            </v:group>
            <v:group style="position:absolute;left:5154;top:1545;width:20;height:2" coordorigin="5154,1545" coordsize="20,2">
              <v:shape style="position:absolute;left:5154;top:1545;width:20;height:2" coordorigin="5154,1545" coordsize="20,0" path="m5154,1545l5173,1545e" filled="false" stroked="true" strokeweight=".47998pt" strokecolor="#000000">
                <v:path arrowok="t"/>
              </v:shape>
            </v:group>
            <v:group style="position:absolute;left:5173;top:1545;width:20;height:2" coordorigin="5173,1545" coordsize="20,2">
              <v:shape style="position:absolute;left:5173;top:1545;width:20;height:2" coordorigin="5173,1545" coordsize="20,0" path="m5173,1545l5192,1545e" filled="false" stroked="true" strokeweight=".47998pt" strokecolor="#000000">
                <v:path arrowok="t"/>
              </v:shape>
            </v:group>
            <v:group style="position:absolute;left:5192;top:1545;width:20;height:2" coordorigin="5192,1545" coordsize="20,2">
              <v:shape style="position:absolute;left:5192;top:1545;width:20;height:2" coordorigin="5192,1545" coordsize="20,0" path="m5192,1545l5211,1545e" filled="false" stroked="true" strokeweight=".47998pt" strokecolor="#000000">
                <v:path arrowok="t"/>
              </v:shape>
            </v:group>
            <v:group style="position:absolute;left:5211;top:1545;width:20;height:2" coordorigin="5211,1545" coordsize="20,2">
              <v:shape style="position:absolute;left:5211;top:1545;width:20;height:2" coordorigin="5211,1545" coordsize="20,0" path="m5211,1545l5231,1545e" filled="false" stroked="true" strokeweight=".47998pt" strokecolor="#000000">
                <v:path arrowok="t"/>
              </v:shape>
            </v:group>
            <v:group style="position:absolute;left:5231;top:1545;width:20;height:2" coordorigin="5231,1545" coordsize="20,2">
              <v:shape style="position:absolute;left:5231;top:1545;width:20;height:2" coordorigin="5231,1545" coordsize="20,0" path="m5231,1545l5250,1545e" filled="false" stroked="true" strokeweight=".47998pt" strokecolor="#000000">
                <v:path arrowok="t"/>
              </v:shape>
            </v:group>
            <v:group style="position:absolute;left:5250;top:1545;width:20;height:2" coordorigin="5250,1545" coordsize="20,2">
              <v:shape style="position:absolute;left:5250;top:1545;width:20;height:2" coordorigin="5250,1545" coordsize="20,0" path="m5250,1545l5269,1545e" filled="false" stroked="true" strokeweight=".47998pt" strokecolor="#000000">
                <v:path arrowok="t"/>
              </v:shape>
            </v:group>
            <v:group style="position:absolute;left:5269;top:1545;width:20;height:2" coordorigin="5269,1545" coordsize="20,2">
              <v:shape style="position:absolute;left:5269;top:1545;width:20;height:2" coordorigin="5269,1545" coordsize="20,0" path="m5269,1545l5288,1545e" filled="false" stroked="true" strokeweight=".47998pt" strokecolor="#000000">
                <v:path arrowok="t"/>
              </v:shape>
            </v:group>
            <v:group style="position:absolute;left:5288;top:1545;width:20;height:2" coordorigin="5288,1545" coordsize="20,2">
              <v:shape style="position:absolute;left:5288;top:1545;width:20;height:2" coordorigin="5288,1545" coordsize="20,0" path="m5288,1545l5307,1545e" filled="false" stroked="true" strokeweight=".47998pt" strokecolor="#000000">
                <v:path arrowok="t"/>
              </v:shape>
            </v:group>
            <v:group style="position:absolute;left:5307;top:1545;width:20;height:2" coordorigin="5307,1545" coordsize="20,2">
              <v:shape style="position:absolute;left:5307;top:1545;width:20;height:2" coordorigin="5307,1545" coordsize="20,0" path="m5307,1545l5327,1545e" filled="false" stroked="true" strokeweight=".47998pt" strokecolor="#000000">
                <v:path arrowok="t"/>
              </v:shape>
            </v:group>
            <v:group style="position:absolute;left:5327;top:1545;width:20;height:2" coordorigin="5327,1545" coordsize="20,2">
              <v:shape style="position:absolute;left:5327;top:1545;width:20;height:2" coordorigin="5327,1545" coordsize="20,0" path="m5327,1545l5346,1545e" filled="false" stroked="true" strokeweight=".47998pt" strokecolor="#000000">
                <v:path arrowok="t"/>
              </v:shape>
            </v:group>
            <v:group style="position:absolute;left:5346;top:1545;width:20;height:2" coordorigin="5346,1545" coordsize="20,2">
              <v:shape style="position:absolute;left:5346;top:1545;width:20;height:2" coordorigin="5346,1545" coordsize="20,0" path="m5346,1545l5365,1545e" filled="false" stroked="true" strokeweight=".47998pt" strokecolor="#000000">
                <v:path arrowok="t"/>
              </v:shape>
            </v:group>
            <v:group style="position:absolute;left:5365;top:1545;width:20;height:2" coordorigin="5365,1545" coordsize="20,2">
              <v:shape style="position:absolute;left:5365;top:1545;width:20;height:2" coordorigin="5365,1545" coordsize="20,0" path="m5365,1545l5384,1545e" filled="false" stroked="true" strokeweight=".47998pt" strokecolor="#000000">
                <v:path arrowok="t"/>
              </v:shape>
            </v:group>
            <v:group style="position:absolute;left:5384;top:1545;width:20;height:2" coordorigin="5384,1545" coordsize="20,2">
              <v:shape style="position:absolute;left:5384;top:1545;width:20;height:2" coordorigin="5384,1545" coordsize="20,0" path="m5384,1545l5403,1545e" filled="false" stroked="true" strokeweight=".47998pt" strokecolor="#000000">
                <v:path arrowok="t"/>
              </v:shape>
            </v:group>
            <v:group style="position:absolute;left:5403;top:1545;width:20;height:2" coordorigin="5403,1545" coordsize="20,2">
              <v:shape style="position:absolute;left:5403;top:1545;width:20;height:2" coordorigin="5403,1545" coordsize="20,0" path="m5403,1545l5423,1545e" filled="false" stroked="true" strokeweight=".47998pt" strokecolor="#000000">
                <v:path arrowok="t"/>
              </v:shape>
            </v:group>
            <v:group style="position:absolute;left:5423;top:1545;width:20;height:2" coordorigin="5423,1545" coordsize="20,2">
              <v:shape style="position:absolute;left:5423;top:1545;width:20;height:2" coordorigin="5423,1545" coordsize="20,0" path="m5423,1545l5442,1545e" filled="false" stroked="true" strokeweight=".47998pt" strokecolor="#000000">
                <v:path arrowok="t"/>
              </v:shape>
            </v:group>
            <v:group style="position:absolute;left:5442;top:1545;width:20;height:2" coordorigin="5442,1545" coordsize="20,2">
              <v:shape style="position:absolute;left:5442;top:1545;width:20;height:2" coordorigin="5442,1545" coordsize="20,0" path="m5442,1545l5461,1545e" filled="false" stroked="true" strokeweight=".47998pt" strokecolor="#000000">
                <v:path arrowok="t"/>
              </v:shape>
            </v:group>
            <v:group style="position:absolute;left:5461;top:1545;width:20;height:2" coordorigin="5461,1545" coordsize="20,2">
              <v:shape style="position:absolute;left:5461;top:1545;width:20;height:2" coordorigin="5461,1545" coordsize="20,0" path="m5461,1545l5480,1545e" filled="false" stroked="true" strokeweight=".47998pt" strokecolor="#000000">
                <v:path arrowok="t"/>
              </v:shape>
            </v:group>
            <v:group style="position:absolute;left:5480;top:1545;width:20;height:2" coordorigin="5480,1545" coordsize="20,2">
              <v:shape style="position:absolute;left:5480;top:1545;width:20;height:2" coordorigin="5480,1545" coordsize="20,0" path="m5480,1545l5499,1545e" filled="false" stroked="true" strokeweight=".47998pt" strokecolor="#000000">
                <v:path arrowok="t"/>
              </v:shape>
            </v:group>
            <v:group style="position:absolute;left:5499;top:1545;width:20;height:2" coordorigin="5499,1545" coordsize="20,2">
              <v:shape style="position:absolute;left:5499;top:1545;width:20;height:2" coordorigin="5499,1545" coordsize="20,0" path="m5499,1545l5519,1545e" filled="false" stroked="true" strokeweight=".47998pt" strokecolor="#000000">
                <v:path arrowok="t"/>
              </v:shape>
            </v:group>
            <v:group style="position:absolute;left:5519;top:1545;width:20;height:2" coordorigin="5519,1545" coordsize="20,2">
              <v:shape style="position:absolute;left:5519;top:1545;width:20;height:2" coordorigin="5519,1545" coordsize="20,0" path="m5519,1545l5538,1545e" filled="false" stroked="true" strokeweight=".47998pt" strokecolor="#000000">
                <v:path arrowok="t"/>
              </v:shape>
            </v:group>
            <v:group style="position:absolute;left:5538;top:1545;width:20;height:2" coordorigin="5538,1545" coordsize="20,2">
              <v:shape style="position:absolute;left:5538;top:1545;width:20;height:2" coordorigin="5538,1545" coordsize="20,0" path="m5538,1545l5557,1545e" filled="false" stroked="true" strokeweight=".47998pt" strokecolor="#000000">
                <v:path arrowok="t"/>
              </v:shape>
            </v:group>
            <v:group style="position:absolute;left:5557;top:1545;width:20;height:2" coordorigin="5557,1545" coordsize="20,2">
              <v:shape style="position:absolute;left:5557;top:1545;width:20;height:2" coordorigin="5557,1545" coordsize="20,0" path="m5557,1545l5576,1545e" filled="false" stroked="true" strokeweight=".47998pt" strokecolor="#000000">
                <v:path arrowok="t"/>
              </v:shape>
            </v:group>
            <v:group style="position:absolute;left:5576;top:1545;width:20;height:2" coordorigin="5576,1545" coordsize="20,2">
              <v:shape style="position:absolute;left:5576;top:1545;width:20;height:2" coordorigin="5576,1545" coordsize="20,0" path="m5576,1545l5595,1545e" filled="false" stroked="true" strokeweight=".47998pt" strokecolor="#000000">
                <v:path arrowok="t"/>
              </v:shape>
            </v:group>
            <v:group style="position:absolute;left:5595;top:1545;width:20;height:2" coordorigin="5595,1545" coordsize="20,2">
              <v:shape style="position:absolute;left:5595;top:1545;width:20;height:2" coordorigin="5595,1545" coordsize="20,0" path="m5595,1545l5615,1545e" filled="false" stroked="true" strokeweight=".47998pt" strokecolor="#000000">
                <v:path arrowok="t"/>
              </v:shape>
            </v:group>
            <v:group style="position:absolute;left:5615;top:1545;width:20;height:2" coordorigin="5615,1545" coordsize="20,2">
              <v:shape style="position:absolute;left:5615;top:1545;width:20;height:2" coordorigin="5615,1545" coordsize="20,0" path="m5615,1545l5634,1545e" filled="false" stroked="true" strokeweight=".47998pt" strokecolor="#000000">
                <v:path arrowok="t"/>
              </v:shape>
            </v:group>
            <v:group style="position:absolute;left:5634;top:1545;width:20;height:2" coordorigin="5634,1545" coordsize="20,2">
              <v:shape style="position:absolute;left:5634;top:1545;width:20;height:2" coordorigin="5634,1545" coordsize="20,0" path="m5634,1545l5653,1545e" filled="false" stroked="true" strokeweight=".47998pt" strokecolor="#000000">
                <v:path arrowok="t"/>
              </v:shape>
            </v:group>
            <v:group style="position:absolute;left:5653;top:1545;width:20;height:2" coordorigin="5653,1545" coordsize="20,2">
              <v:shape style="position:absolute;left:5653;top:1545;width:20;height:2" coordorigin="5653,1545" coordsize="20,0" path="m5653,1545l5672,1545e" filled="false" stroked="true" strokeweight=".47998pt" strokecolor="#000000">
                <v:path arrowok="t"/>
              </v:shape>
            </v:group>
            <v:group style="position:absolute;left:5672;top:1545;width:20;height:2" coordorigin="5672,1545" coordsize="20,2">
              <v:shape style="position:absolute;left:5672;top:1545;width:20;height:2" coordorigin="5672,1545" coordsize="20,0" path="m5672,1545l5691,1545e" filled="false" stroked="true" strokeweight=".47998pt" strokecolor="#000000">
                <v:path arrowok="t"/>
              </v:shape>
            </v:group>
            <v:group style="position:absolute;left:5691;top:1545;width:20;height:2" coordorigin="5691,1545" coordsize="20,2">
              <v:shape style="position:absolute;left:5691;top:1545;width:20;height:2" coordorigin="5691,1545" coordsize="20,0" path="m5691,1545l5711,1545e" filled="false" stroked="true" strokeweight=".47998pt" strokecolor="#000000">
                <v:path arrowok="t"/>
              </v:shape>
            </v:group>
            <v:group style="position:absolute;left:5711;top:1545;width:20;height:2" coordorigin="5711,1545" coordsize="20,2">
              <v:shape style="position:absolute;left:5711;top:1545;width:20;height:2" coordorigin="5711,1545" coordsize="20,0" path="m5711,1545l5730,1545e" filled="false" stroked="true" strokeweight=".47998pt" strokecolor="#000000">
                <v:path arrowok="t"/>
              </v:shape>
            </v:group>
            <v:group style="position:absolute;left:5730;top:1545;width:20;height:2" coordorigin="5730,1545" coordsize="20,2">
              <v:shape style="position:absolute;left:5730;top:1545;width:20;height:2" coordorigin="5730,1545" coordsize="20,0" path="m5730,1545l5749,1545e" filled="false" stroked="true" strokeweight=".47998pt" strokecolor="#000000">
                <v:path arrowok="t"/>
              </v:shape>
            </v:group>
            <v:group style="position:absolute;left:5749;top:1545;width:20;height:2" coordorigin="5749,1545" coordsize="20,2">
              <v:shape style="position:absolute;left:5749;top:1545;width:20;height:2" coordorigin="5749,1545" coordsize="20,0" path="m5749,1545l5768,1545e" filled="false" stroked="true" strokeweight=".47998pt" strokecolor="#000000">
                <v:path arrowok="t"/>
              </v:shape>
            </v:group>
            <v:group style="position:absolute;left:5768;top:1545;width:20;height:2" coordorigin="5768,1545" coordsize="20,2">
              <v:shape style="position:absolute;left:5768;top:1545;width:20;height:2" coordorigin="5768,1545" coordsize="20,0" path="m5768,1545l5787,1545e" filled="false" stroked="true" strokeweight=".47998pt" strokecolor="#000000">
                <v:path arrowok="t"/>
              </v:shape>
            </v:group>
            <v:group style="position:absolute;left:5787;top:1545;width:20;height:2" coordorigin="5787,1545" coordsize="20,2">
              <v:shape style="position:absolute;left:5787;top:1545;width:20;height:2" coordorigin="5787,1545" coordsize="20,0" path="m5787,1545l5807,1545e" filled="false" stroked="true" strokeweight=".47998pt" strokecolor="#000000">
                <v:path arrowok="t"/>
              </v:shape>
            </v:group>
            <v:group style="position:absolute;left:5807;top:1545;width:20;height:2" coordorigin="5807,1545" coordsize="20,2">
              <v:shape style="position:absolute;left:5807;top:1545;width:20;height:2" coordorigin="5807,1545" coordsize="20,0" path="m5807,1545l5826,1545e" filled="false" stroked="true" strokeweight=".47998pt" strokecolor="#000000">
                <v:path arrowok="t"/>
              </v:shape>
            </v:group>
            <v:group style="position:absolute;left:5826;top:1545;width:20;height:2" coordorigin="5826,1545" coordsize="20,2">
              <v:shape style="position:absolute;left:5826;top:1545;width:20;height:2" coordorigin="5826,1545" coordsize="20,0" path="m5826,1545l5845,1545e" filled="false" stroked="true" strokeweight=".47998pt" strokecolor="#000000">
                <v:path arrowok="t"/>
              </v:shape>
            </v:group>
            <v:group style="position:absolute;left:5845;top:1545;width:20;height:2" coordorigin="5845,1545" coordsize="20,2">
              <v:shape style="position:absolute;left:5845;top:1545;width:20;height:2" coordorigin="5845,1545" coordsize="20,0" path="m5845,1545l5864,1545e" filled="false" stroked="true" strokeweight=".47998pt" strokecolor="#000000">
                <v:path arrowok="t"/>
              </v:shape>
            </v:group>
            <v:group style="position:absolute;left:5864;top:1545;width:20;height:2" coordorigin="5864,1545" coordsize="20,2">
              <v:shape style="position:absolute;left:5864;top:1545;width:20;height:2" coordorigin="5864,1545" coordsize="20,0" path="m5864,1545l5883,1545e" filled="false" stroked="true" strokeweight=".47998pt" strokecolor="#000000">
                <v:path arrowok="t"/>
              </v:shape>
            </v:group>
            <v:group style="position:absolute;left:5883;top:1545;width:20;height:2" coordorigin="5883,1545" coordsize="20,2">
              <v:shape style="position:absolute;left:5883;top:1545;width:20;height:2" coordorigin="5883,1545" coordsize="20,0" path="m5883,1545l5903,1545e" filled="false" stroked="true" strokeweight=".47998pt" strokecolor="#000000">
                <v:path arrowok="t"/>
              </v:shape>
            </v:group>
            <v:group style="position:absolute;left:5903;top:1545;width:20;height:2" coordorigin="5903,1545" coordsize="20,2">
              <v:shape style="position:absolute;left:5903;top:1545;width:20;height:2" coordorigin="5903,1545" coordsize="20,0" path="m5903,1545l5922,1545e" filled="false" stroked="true" strokeweight=".47998pt" strokecolor="#000000">
                <v:path arrowok="t"/>
              </v:shape>
            </v:group>
            <v:group style="position:absolute;left:5922;top:1545;width:20;height:2" coordorigin="5922,1545" coordsize="20,2">
              <v:shape style="position:absolute;left:5922;top:1545;width:20;height:2" coordorigin="5922,1545" coordsize="20,0" path="m5922,1545l5941,1545e" filled="false" stroked="true" strokeweight=".47998pt" strokecolor="#000000">
                <v:path arrowok="t"/>
              </v:shape>
            </v:group>
            <v:group style="position:absolute;left:5941;top:1545;width:20;height:2" coordorigin="5941,1545" coordsize="20,2">
              <v:shape style="position:absolute;left:5941;top:1545;width:20;height:2" coordorigin="5941,1545" coordsize="20,0" path="m5941,1545l5960,1545e" filled="false" stroked="true" strokeweight=".47998pt" strokecolor="#000000">
                <v:path arrowok="t"/>
              </v:shape>
            </v:group>
            <v:group style="position:absolute;left:5960;top:1545;width:20;height:2" coordorigin="5960,1545" coordsize="20,2">
              <v:shape style="position:absolute;left:5960;top:1545;width:20;height:2" coordorigin="5960,1545" coordsize="20,0" path="m5960,1545l5979,1545e" filled="false" stroked="true" strokeweight=".47998pt" strokecolor="#000000">
                <v:path arrowok="t"/>
              </v:shape>
            </v:group>
            <v:group style="position:absolute;left:5979;top:1545;width:20;height:2" coordorigin="5979,1545" coordsize="20,2">
              <v:shape style="position:absolute;left:5979;top:1545;width:20;height:2" coordorigin="5979,1545" coordsize="20,0" path="m5979,1545l5999,1545e" filled="false" stroked="true" strokeweight=".47998pt" strokecolor="#000000">
                <v:path arrowok="t"/>
              </v:shape>
            </v:group>
            <v:group style="position:absolute;left:5999;top:1545;width:20;height:2" coordorigin="5999,1545" coordsize="20,2">
              <v:shape style="position:absolute;left:5999;top:1545;width:20;height:2" coordorigin="5999,1545" coordsize="20,0" path="m5999,1545l6018,1545e" filled="false" stroked="true" strokeweight=".47998pt" strokecolor="#000000">
                <v:path arrowok="t"/>
              </v:shape>
            </v:group>
            <v:group style="position:absolute;left:6018;top:1545;width:20;height:2" coordorigin="6018,1545" coordsize="20,2">
              <v:shape style="position:absolute;left:6018;top:1545;width:20;height:2" coordorigin="6018,1545" coordsize="20,0" path="m6018,1545l6037,1545e" filled="false" stroked="true" strokeweight=".47998pt" strokecolor="#000000">
                <v:path arrowok="t"/>
              </v:shape>
            </v:group>
            <v:group style="position:absolute;left:6037;top:1545;width:20;height:2" coordorigin="6037,1545" coordsize="20,2">
              <v:shape style="position:absolute;left:6037;top:1545;width:20;height:2" coordorigin="6037,1545" coordsize="20,0" path="m6037,1545l6056,1545e" filled="false" stroked="true" strokeweight=".47998pt" strokecolor="#000000">
                <v:path arrowok="t"/>
              </v:shape>
            </v:group>
            <v:group style="position:absolute;left:6056;top:1545;width:20;height:2" coordorigin="6056,1545" coordsize="20,2">
              <v:shape style="position:absolute;left:6056;top:1545;width:20;height:2" coordorigin="6056,1545" coordsize="20,0" path="m6056,1545l6075,1545e" filled="false" stroked="true" strokeweight=".47998pt" strokecolor="#000000">
                <v:path arrowok="t"/>
              </v:shape>
            </v:group>
            <v:group style="position:absolute;left:6075;top:1545;width:20;height:2" coordorigin="6075,1545" coordsize="20,2">
              <v:shape style="position:absolute;left:6075;top:1545;width:20;height:2" coordorigin="6075,1545" coordsize="20,0" path="m6075,1545l6095,1545e" filled="false" stroked="true" strokeweight=".47998pt" strokecolor="#000000">
                <v:path arrowok="t"/>
              </v:shape>
            </v:group>
            <v:group style="position:absolute;left:6095;top:1545;width:20;height:2" coordorigin="6095,1545" coordsize="20,2">
              <v:shape style="position:absolute;left:6095;top:1545;width:20;height:2" coordorigin="6095,1545" coordsize="20,0" path="m6095,1545l6114,1545e" filled="false" stroked="true" strokeweight=".47998pt" strokecolor="#000000">
                <v:path arrowok="t"/>
              </v:shape>
            </v:group>
            <v:group style="position:absolute;left:6114;top:1545;width:20;height:2" coordorigin="6114,1545" coordsize="20,2">
              <v:shape style="position:absolute;left:6114;top:1545;width:20;height:2" coordorigin="6114,1545" coordsize="20,0" path="m6114,1545l6133,1545e" filled="false" stroked="true" strokeweight=".47998pt" strokecolor="#000000">
                <v:path arrowok="t"/>
              </v:shape>
            </v:group>
            <v:group style="position:absolute;left:6133;top:1545;width:20;height:2" coordorigin="6133,1545" coordsize="20,2">
              <v:shape style="position:absolute;left:6133;top:1545;width:20;height:2" coordorigin="6133,1545" coordsize="20,0" path="m6133,1545l6152,1545e" filled="false" stroked="true" strokeweight=".47998pt" strokecolor="#000000">
                <v:path arrowok="t"/>
              </v:shape>
            </v:group>
            <v:group style="position:absolute;left:6152;top:1545;width:20;height:2" coordorigin="6152,1545" coordsize="20,2">
              <v:shape style="position:absolute;left:6152;top:1545;width:20;height:2" coordorigin="6152,1545" coordsize="20,0" path="m6152,1545l6171,1545e" filled="false" stroked="true" strokeweight=".47998pt" strokecolor="#000000">
                <v:path arrowok="t"/>
              </v:shape>
            </v:group>
            <v:group style="position:absolute;left:6171;top:1545;width:20;height:2" coordorigin="6171,1545" coordsize="20,2">
              <v:shape style="position:absolute;left:6171;top:1545;width:20;height:2" coordorigin="6171,1545" coordsize="20,0" path="m6171,1545l6191,1545e" filled="false" stroked="true" strokeweight=".47998pt" strokecolor="#000000">
                <v:path arrowok="t"/>
              </v:shape>
            </v:group>
            <v:group style="position:absolute;left:6191;top:1545;width:20;height:2" coordorigin="6191,1545" coordsize="20,2">
              <v:shape style="position:absolute;left:6191;top:1545;width:20;height:2" coordorigin="6191,1545" coordsize="20,0" path="m6191,1545l6210,1545e" filled="false" stroked="true" strokeweight=".47998pt" strokecolor="#000000">
                <v:path arrowok="t"/>
              </v:shape>
            </v:group>
            <v:group style="position:absolute;left:6210;top:1545;width:20;height:2" coordorigin="6210,1545" coordsize="20,2">
              <v:shape style="position:absolute;left:6210;top:1545;width:20;height:2" coordorigin="6210,1545" coordsize="20,0" path="m6210,1545l6229,1545e" filled="false" stroked="true" strokeweight=".47998pt" strokecolor="#000000">
                <v:path arrowok="t"/>
              </v:shape>
            </v:group>
            <v:group style="position:absolute;left:6229;top:1545;width:20;height:2" coordorigin="6229,1545" coordsize="20,2">
              <v:shape style="position:absolute;left:6229;top:1545;width:20;height:2" coordorigin="6229,1545" coordsize="20,0" path="m6229,1545l6248,1545e" filled="false" stroked="true" strokeweight=".47998pt" strokecolor="#000000">
                <v:path arrowok="t"/>
              </v:shape>
            </v:group>
            <v:group style="position:absolute;left:6248;top:1545;width:20;height:2" coordorigin="6248,1545" coordsize="20,2">
              <v:shape style="position:absolute;left:6248;top:1545;width:20;height:2" coordorigin="6248,1545" coordsize="20,0" path="m6248,1545l6267,1545e" filled="false" stroked="true" strokeweight=".47998pt" strokecolor="#000000">
                <v:path arrowok="t"/>
              </v:shape>
            </v:group>
            <v:group style="position:absolute;left:6267;top:1545;width:20;height:2" coordorigin="6267,1545" coordsize="20,2">
              <v:shape style="position:absolute;left:6267;top:1545;width:20;height:2" coordorigin="6267,1545" coordsize="20,0" path="m6267,1545l6287,1545e" filled="false" stroked="true" strokeweight=".47998pt" strokecolor="#000000">
                <v:path arrowok="t"/>
              </v:shape>
            </v:group>
            <v:group style="position:absolute;left:6287;top:1545;width:20;height:2" coordorigin="6287,1545" coordsize="20,2">
              <v:shape style="position:absolute;left:6287;top:1545;width:20;height:2" coordorigin="6287,1545" coordsize="20,0" path="m6287,1545l6306,1545e" filled="false" stroked="true" strokeweight=".47998pt" strokecolor="#000000">
                <v:path arrowok="t"/>
              </v:shape>
            </v:group>
            <v:group style="position:absolute;left:6306;top:1545;width:20;height:2" coordorigin="6306,1545" coordsize="20,2">
              <v:shape style="position:absolute;left:6306;top:1545;width:20;height:2" coordorigin="6306,1545" coordsize="20,0" path="m6306,1545l6325,1545e" filled="false" stroked="true" strokeweight=".47998pt" strokecolor="#000000">
                <v:path arrowok="t"/>
              </v:shape>
            </v:group>
            <v:group style="position:absolute;left:6325;top:1545;width:20;height:2" coordorigin="6325,1545" coordsize="20,2">
              <v:shape style="position:absolute;left:6325;top:1545;width:20;height:2" coordorigin="6325,1545" coordsize="20,0" path="m6325,1545l6345,1545e" filled="false" stroked="true" strokeweight=".47998pt" strokecolor="#000000">
                <v:path arrowok="t"/>
              </v:shape>
            </v:group>
            <v:group style="position:absolute;left:6345;top:1545;width:20;height:2" coordorigin="6345,1545" coordsize="20,2">
              <v:shape style="position:absolute;left:6345;top:1545;width:20;height:2" coordorigin="6345,1545" coordsize="20,0" path="m6345,1545l6364,1545e" filled="false" stroked="true" strokeweight=".47998pt" strokecolor="#000000">
                <v:path arrowok="t"/>
              </v:shape>
            </v:group>
            <v:group style="position:absolute;left:6364;top:1545;width:10;height:2" coordorigin="6364,1545" coordsize="10,2">
              <v:shape style="position:absolute;left:6364;top:1545;width:10;height:2" coordorigin="6364,1545" coordsize="10,0" path="m6364,1545l6373,1545e" filled="false" stroked="true" strokeweight=".47998pt" strokecolor="#000000">
                <v:path arrowok="t"/>
              </v:shape>
            </v:group>
            <v:group style="position:absolute;left:6373;top:1545;width:10;height:2" coordorigin="6373,1545" coordsize="10,2">
              <v:shape style="position:absolute;left:6373;top:1545;width:10;height:2" coordorigin="6373,1545" coordsize="10,0" path="m6373,1545l6383,1545e" filled="false" stroked="true" strokeweight=".47998pt" strokecolor="#000000">
                <v:path arrowok="t"/>
              </v:shape>
            </v:group>
            <v:group style="position:absolute;left:6383;top:1545;width:20;height:2" coordorigin="6383,1545" coordsize="20,2">
              <v:shape style="position:absolute;left:6383;top:1545;width:20;height:2" coordorigin="6383,1545" coordsize="20,0" path="m6383,1545l6402,1545e" filled="false" stroked="true" strokeweight=".47998pt" strokecolor="#000000">
                <v:path arrowok="t"/>
              </v:shape>
            </v:group>
            <v:group style="position:absolute;left:6402;top:1545;width:20;height:2" coordorigin="6402,1545" coordsize="20,2">
              <v:shape style="position:absolute;left:6402;top:1545;width:20;height:2" coordorigin="6402,1545" coordsize="20,0" path="m6402,1545l6421,1545e" filled="false" stroked="true" strokeweight=".47998pt" strokecolor="#000000">
                <v:path arrowok="t"/>
              </v:shape>
            </v:group>
            <v:group style="position:absolute;left:6421;top:1545;width:20;height:2" coordorigin="6421,1545" coordsize="20,2">
              <v:shape style="position:absolute;left:6421;top:1545;width:20;height:2" coordorigin="6421,1545" coordsize="20,0" path="m6421,1545l6441,1545e" filled="false" stroked="true" strokeweight=".47998pt" strokecolor="#000000">
                <v:path arrowok="t"/>
              </v:shape>
            </v:group>
            <v:group style="position:absolute;left:6441;top:1545;width:20;height:2" coordorigin="6441,1545" coordsize="20,2">
              <v:shape style="position:absolute;left:6441;top:1545;width:20;height:2" coordorigin="6441,1545" coordsize="20,0" path="m6441,1545l6460,1545e" filled="false" stroked="true" strokeweight=".47998pt" strokecolor="#000000">
                <v:path arrowok="t"/>
              </v:shape>
            </v:group>
            <v:group style="position:absolute;left:6460;top:1545;width:20;height:2" coordorigin="6460,1545" coordsize="20,2">
              <v:shape style="position:absolute;left:6460;top:1545;width:20;height:2" coordorigin="6460,1545" coordsize="20,0" path="m6460,1545l6479,1545e" filled="false" stroked="true" strokeweight=".47998pt" strokecolor="#000000">
                <v:path arrowok="t"/>
              </v:shape>
            </v:group>
            <v:group style="position:absolute;left:6479;top:1545;width:20;height:2" coordorigin="6479,1545" coordsize="20,2">
              <v:shape style="position:absolute;left:6479;top:1545;width:20;height:2" coordorigin="6479,1545" coordsize="20,0" path="m6479,1545l6498,1545e" filled="false" stroked="true" strokeweight=".47998pt" strokecolor="#000000">
                <v:path arrowok="t"/>
              </v:shape>
            </v:group>
            <v:group style="position:absolute;left:6498;top:1545;width:20;height:2" coordorigin="6498,1545" coordsize="20,2">
              <v:shape style="position:absolute;left:6498;top:1545;width:20;height:2" coordorigin="6498,1545" coordsize="20,0" path="m6498,1545l6517,1545e" filled="false" stroked="true" strokeweight=".47998pt" strokecolor="#000000">
                <v:path arrowok="t"/>
              </v:shape>
            </v:group>
            <v:group style="position:absolute;left:6517;top:1545;width:20;height:2" coordorigin="6517,1545" coordsize="20,2">
              <v:shape style="position:absolute;left:6517;top:1545;width:20;height:2" coordorigin="6517,1545" coordsize="20,0" path="m6517,1545l6537,1545e" filled="false" stroked="true" strokeweight=".47998pt" strokecolor="#000000">
                <v:path arrowok="t"/>
              </v:shape>
            </v:group>
            <v:group style="position:absolute;left:6537;top:1545;width:20;height:2" coordorigin="6537,1545" coordsize="20,2">
              <v:shape style="position:absolute;left:6537;top:1545;width:20;height:2" coordorigin="6537,1545" coordsize="20,0" path="m6537,1545l6556,1545e" filled="false" stroked="true" strokeweight=".47998pt" strokecolor="#000000">
                <v:path arrowok="t"/>
              </v:shape>
            </v:group>
            <v:group style="position:absolute;left:6556;top:1545;width:20;height:2" coordorigin="6556,1545" coordsize="20,2">
              <v:shape style="position:absolute;left:6556;top:1545;width:20;height:2" coordorigin="6556,1545" coordsize="20,0" path="m6556,1545l6575,1545e" filled="false" stroked="true" strokeweight=".47998pt" strokecolor="#000000">
                <v:path arrowok="t"/>
              </v:shape>
            </v:group>
            <v:group style="position:absolute;left:6575;top:1545;width:20;height:2" coordorigin="6575,1545" coordsize="20,2">
              <v:shape style="position:absolute;left:6575;top:1545;width:20;height:2" coordorigin="6575,1545" coordsize="20,0" path="m6575,1545l6594,1545e" filled="false" stroked="true" strokeweight=".47998pt" strokecolor="#000000">
                <v:path arrowok="t"/>
              </v:shape>
            </v:group>
            <v:group style="position:absolute;left:6594;top:1545;width:20;height:2" coordorigin="6594,1545" coordsize="20,2">
              <v:shape style="position:absolute;left:6594;top:1545;width:20;height:2" coordorigin="6594,1545" coordsize="20,0" path="m6594,1545l6613,1545e" filled="false" stroked="true" strokeweight=".47998pt" strokecolor="#000000">
                <v:path arrowok="t"/>
              </v:shape>
            </v:group>
            <v:group style="position:absolute;left:6613;top:1545;width:20;height:2" coordorigin="6613,1545" coordsize="20,2">
              <v:shape style="position:absolute;left:6613;top:1545;width:20;height:2" coordorigin="6613,1545" coordsize="20,0" path="m6613,1545l6633,1545e" filled="false" stroked="true" strokeweight=".47998pt" strokecolor="#000000">
                <v:path arrowok="t"/>
              </v:shape>
            </v:group>
            <v:group style="position:absolute;left:6633;top:1545;width:20;height:2" coordorigin="6633,1545" coordsize="20,2">
              <v:shape style="position:absolute;left:6633;top:1545;width:20;height:2" coordorigin="6633,1545" coordsize="20,0" path="m6633,1545l6652,1545e" filled="false" stroked="true" strokeweight=".47998pt" strokecolor="#000000">
                <v:path arrowok="t"/>
              </v:shape>
            </v:group>
            <v:group style="position:absolute;left:6652;top:1545;width:20;height:2" coordorigin="6652,1545" coordsize="20,2">
              <v:shape style="position:absolute;left:6652;top:1545;width:20;height:2" coordorigin="6652,1545" coordsize="20,0" path="m6652,1545l6671,1545e" filled="false" stroked="true" strokeweight=".47998pt" strokecolor="#000000">
                <v:path arrowok="t"/>
              </v:shape>
            </v:group>
            <v:group style="position:absolute;left:6671;top:1545;width:20;height:2" coordorigin="6671,1545" coordsize="20,2">
              <v:shape style="position:absolute;left:6671;top:1545;width:20;height:2" coordorigin="6671,1545" coordsize="20,0" path="m6671,1545l6690,1545e" filled="false" stroked="true" strokeweight=".47998pt" strokecolor="#000000">
                <v:path arrowok="t"/>
              </v:shape>
            </v:group>
            <v:group style="position:absolute;left:6690;top:1545;width:20;height:2" coordorigin="6690,1545" coordsize="20,2">
              <v:shape style="position:absolute;left:6690;top:1545;width:20;height:2" coordorigin="6690,1545" coordsize="20,0" path="m6690,1545l6709,1545e" filled="false" stroked="true" strokeweight=".47998pt" strokecolor="#000000">
                <v:path arrowok="t"/>
              </v:shape>
            </v:group>
            <v:group style="position:absolute;left:6709;top:1545;width:20;height:2" coordorigin="6709,1545" coordsize="20,2">
              <v:shape style="position:absolute;left:6709;top:1545;width:20;height:2" coordorigin="6709,1545" coordsize="20,0" path="m6709,1545l6729,1545e" filled="false" stroked="true" strokeweight=".47998pt" strokecolor="#000000">
                <v:path arrowok="t"/>
              </v:shape>
            </v:group>
            <v:group style="position:absolute;left:6729;top:1545;width:20;height:2" coordorigin="6729,1545" coordsize="20,2">
              <v:shape style="position:absolute;left:6729;top:1545;width:20;height:2" coordorigin="6729,1545" coordsize="20,0" path="m6729,1545l6748,1545e" filled="false" stroked="true" strokeweight=".47998pt" strokecolor="#000000">
                <v:path arrowok="t"/>
              </v:shape>
            </v:group>
            <v:group style="position:absolute;left:6748;top:1545;width:20;height:2" coordorigin="6748,1545" coordsize="20,2">
              <v:shape style="position:absolute;left:6748;top:1545;width:20;height:2" coordorigin="6748,1545" coordsize="20,0" path="m6748,1545l6767,1545e" filled="false" stroked="true" strokeweight=".47998pt" strokecolor="#000000">
                <v:path arrowok="t"/>
              </v:shape>
            </v:group>
            <v:group style="position:absolute;left:6767;top:1545;width:20;height:2" coordorigin="6767,1545" coordsize="20,2">
              <v:shape style="position:absolute;left:6767;top:1545;width:20;height:2" coordorigin="6767,1545" coordsize="20,0" path="m6767,1545l6786,1545e" filled="false" stroked="true" strokeweight=".47998pt" strokecolor="#000000">
                <v:path arrowok="t"/>
              </v:shape>
            </v:group>
            <v:group style="position:absolute;left:6786;top:1545;width:20;height:2" coordorigin="6786,1545" coordsize="20,2">
              <v:shape style="position:absolute;left:6786;top:1545;width:20;height:2" coordorigin="6786,1545" coordsize="20,0" path="m6786,1545l6805,1545e" filled="false" stroked="true" strokeweight=".47998pt" strokecolor="#000000">
                <v:path arrowok="t"/>
              </v:shape>
            </v:group>
            <v:group style="position:absolute;left:6805;top:1545;width:20;height:2" coordorigin="6805,1545" coordsize="20,2">
              <v:shape style="position:absolute;left:6805;top:1545;width:20;height:2" coordorigin="6805,1545" coordsize="20,0" path="m6805,1545l6825,1545e" filled="false" stroked="true" strokeweight=".47998pt" strokecolor="#000000">
                <v:path arrowok="t"/>
              </v:shape>
            </v:group>
            <v:group style="position:absolute;left:6825;top:1545;width:20;height:2" coordorigin="6825,1545" coordsize="20,2">
              <v:shape style="position:absolute;left:6825;top:1545;width:20;height:2" coordorigin="6825,1545" coordsize="20,0" path="m6825,1545l6844,1545e" filled="false" stroked="true" strokeweight=".47998pt" strokecolor="#000000">
                <v:path arrowok="t"/>
              </v:shape>
            </v:group>
            <v:group style="position:absolute;left:6844;top:1545;width:20;height:2" coordorigin="6844,1545" coordsize="20,2">
              <v:shape style="position:absolute;left:6844;top:1545;width:20;height:2" coordorigin="6844,1545" coordsize="20,0" path="m6844,1545l6863,1545e" filled="false" stroked="true" strokeweight=".47998pt" strokecolor="#000000">
                <v:path arrowok="t"/>
              </v:shape>
            </v:group>
            <v:group style="position:absolute;left:6863;top:1545;width:20;height:2" coordorigin="6863,1545" coordsize="20,2">
              <v:shape style="position:absolute;left:6863;top:1545;width:20;height:2" coordorigin="6863,1545" coordsize="20,0" path="m6863,1545l6882,1545e" filled="false" stroked="true" strokeweight=".47998pt" strokecolor="#000000">
                <v:path arrowok="t"/>
              </v:shape>
            </v:group>
            <v:group style="position:absolute;left:6882;top:1545;width:20;height:2" coordorigin="6882,1545" coordsize="20,2">
              <v:shape style="position:absolute;left:6882;top:1545;width:20;height:2" coordorigin="6882,1545" coordsize="20,0" path="m6882,1545l6901,1545e" filled="false" stroked="true" strokeweight=".47998pt" strokecolor="#000000">
                <v:path arrowok="t"/>
              </v:shape>
            </v:group>
            <v:group style="position:absolute;left:6901;top:1545;width:20;height:2" coordorigin="6901,1545" coordsize="20,2">
              <v:shape style="position:absolute;left:6901;top:1545;width:20;height:2" coordorigin="6901,1545" coordsize="20,0" path="m6901,1545l6921,1545e" filled="false" stroked="true" strokeweight=".47998pt" strokecolor="#000000">
                <v:path arrowok="t"/>
              </v:shape>
            </v:group>
            <v:group style="position:absolute;left:6921;top:1545;width:20;height:2" coordorigin="6921,1545" coordsize="20,2">
              <v:shape style="position:absolute;left:6921;top:1545;width:20;height:2" coordorigin="6921,1545" coordsize="20,0" path="m6921,1545l6940,1545e" filled="false" stroked="true" strokeweight=".47998pt" strokecolor="#000000">
                <v:path arrowok="t"/>
              </v:shape>
            </v:group>
            <v:group style="position:absolute;left:6940;top:1545;width:20;height:2" coordorigin="6940,1545" coordsize="20,2">
              <v:shape style="position:absolute;left:6940;top:1545;width:20;height:2" coordorigin="6940,1545" coordsize="20,0" path="m6940,1545l6959,1545e" filled="false" stroked="true" strokeweight=".47998pt" strokecolor="#000000">
                <v:path arrowok="t"/>
              </v:shape>
            </v:group>
            <v:group style="position:absolute;left:6959;top:1545;width:20;height:2" coordorigin="6959,1545" coordsize="20,2">
              <v:shape style="position:absolute;left:6959;top:1545;width:20;height:2" coordorigin="6959,1545" coordsize="20,0" path="m6959,1545l6978,1545e" filled="false" stroked="true" strokeweight=".47998pt" strokecolor="#000000">
                <v:path arrowok="t"/>
              </v:shape>
            </v:group>
            <v:group style="position:absolute;left:6978;top:1545;width:20;height:2" coordorigin="6978,1545" coordsize="20,2">
              <v:shape style="position:absolute;left:6978;top:1545;width:20;height:2" coordorigin="6978,1545" coordsize="20,0" path="m6978,1545l6997,1545e" filled="false" stroked="true" strokeweight=".47998pt" strokecolor="#000000">
                <v:path arrowok="t"/>
              </v:shape>
            </v:group>
            <v:group style="position:absolute;left:6997;top:1545;width:20;height:2" coordorigin="6997,1545" coordsize="20,2">
              <v:shape style="position:absolute;left:6997;top:1545;width:20;height:2" coordorigin="6997,1545" coordsize="20,0" path="m6997,1545l7017,1545e" filled="false" stroked="true" strokeweight=".47998pt" strokecolor="#000000">
                <v:path arrowok="t"/>
              </v:shape>
            </v:group>
            <v:group style="position:absolute;left:7017;top:1545;width:20;height:2" coordorigin="7017,1545" coordsize="20,2">
              <v:shape style="position:absolute;left:7017;top:1545;width:20;height:2" coordorigin="7017,1545" coordsize="20,0" path="m7017,1545l7036,1545e" filled="false" stroked="true" strokeweight=".47998pt" strokecolor="#000000">
                <v:path arrowok="t"/>
              </v:shape>
            </v:group>
            <v:group style="position:absolute;left:7036;top:1545;width:20;height:2" coordorigin="7036,1545" coordsize="20,2">
              <v:shape style="position:absolute;left:7036;top:1545;width:20;height:2" coordorigin="7036,1545" coordsize="20,0" path="m7036,1545l7055,1545e" filled="false" stroked="true" strokeweight=".47998pt" strokecolor="#000000">
                <v:path arrowok="t"/>
              </v:shape>
            </v:group>
            <v:group style="position:absolute;left:7055;top:1545;width:20;height:2" coordorigin="7055,1545" coordsize="20,2">
              <v:shape style="position:absolute;left:7055;top:1545;width:20;height:2" coordorigin="7055,1545" coordsize="20,0" path="m7055,1545l7074,1545e" filled="false" stroked="true" strokeweight=".47998pt" strokecolor="#000000">
                <v:path arrowok="t"/>
              </v:shape>
            </v:group>
            <v:group style="position:absolute;left:7074;top:1545;width:20;height:2" coordorigin="7074,1545" coordsize="20,2">
              <v:shape style="position:absolute;left:7074;top:1545;width:20;height:2" coordorigin="7074,1545" coordsize="20,0" path="m7074,1545l7093,1545e" filled="false" stroked="true" strokeweight=".47998pt" strokecolor="#000000">
                <v:path arrowok="t"/>
              </v:shape>
            </v:group>
            <v:group style="position:absolute;left:7093;top:1545;width:20;height:2" coordorigin="7093,1545" coordsize="20,2">
              <v:shape style="position:absolute;left:7093;top:1545;width:20;height:2" coordorigin="7093,1545" coordsize="20,0" path="m7093,1545l7113,1545e" filled="false" stroked="true" strokeweight=".47998pt" strokecolor="#000000">
                <v:path arrowok="t"/>
              </v:shape>
            </v:group>
            <v:group style="position:absolute;left:7113;top:1545;width:20;height:2" coordorigin="7113,1545" coordsize="20,2">
              <v:shape style="position:absolute;left:7113;top:1545;width:20;height:2" coordorigin="7113,1545" coordsize="20,0" path="m7113,1545l7132,1545e" filled="false" stroked="true" strokeweight=".47998pt" strokecolor="#000000">
                <v:path arrowok="t"/>
              </v:shape>
            </v:group>
            <v:group style="position:absolute;left:7132;top:1545;width:20;height:2" coordorigin="7132,1545" coordsize="20,2">
              <v:shape style="position:absolute;left:7132;top:1545;width:20;height:2" coordorigin="7132,1545" coordsize="20,0" path="m7132,1545l7151,1545e" filled="false" stroked="true" strokeweight=".47998pt" strokecolor="#000000">
                <v:path arrowok="t"/>
              </v:shape>
            </v:group>
            <v:group style="position:absolute;left:7151;top:1545;width:20;height:2" coordorigin="7151,1545" coordsize="20,2">
              <v:shape style="position:absolute;left:7151;top:1545;width:20;height:2" coordorigin="7151,1545" coordsize="20,0" path="m7151,1545l7170,1545e" filled="false" stroked="true" strokeweight=".47998pt" strokecolor="#000000">
                <v:path arrowok="t"/>
              </v:shape>
            </v:group>
            <v:group style="position:absolute;left:7170;top:1545;width:20;height:2" coordorigin="7170,1545" coordsize="20,2">
              <v:shape style="position:absolute;left:7170;top:1545;width:20;height:2" coordorigin="7170,1545" coordsize="20,0" path="m7170,1545l7189,1545e" filled="false" stroked="true" strokeweight=".47998pt" strokecolor="#000000">
                <v:path arrowok="t"/>
              </v:shape>
            </v:group>
            <v:group style="position:absolute;left:7189;top:1545;width:20;height:2" coordorigin="7189,1545" coordsize="20,2">
              <v:shape style="position:absolute;left:7189;top:1545;width:20;height:2" coordorigin="7189,1545" coordsize="20,0" path="m7189,1545l7209,1545e" filled="false" stroked="true" strokeweight=".47998pt" strokecolor="#000000">
                <v:path arrowok="t"/>
              </v:shape>
            </v:group>
            <v:group style="position:absolute;left:7209;top:1545;width:20;height:2" coordorigin="7209,1545" coordsize="20,2">
              <v:shape style="position:absolute;left:7209;top:1545;width:20;height:2" coordorigin="7209,1545" coordsize="20,0" path="m7209,1545l7228,1545e" filled="false" stroked="true" strokeweight=".47998pt" strokecolor="#000000">
                <v:path arrowok="t"/>
              </v:shape>
            </v:group>
            <v:group style="position:absolute;left:7228;top:1545;width:20;height:2" coordorigin="7228,1545" coordsize="20,2">
              <v:shape style="position:absolute;left:7228;top:1545;width:20;height:2" coordorigin="7228,1545" coordsize="20,0" path="m7228,1545l7247,1545e" filled="false" stroked="true" strokeweight=".47998pt" strokecolor="#000000">
                <v:path arrowok="t"/>
              </v:shape>
            </v:group>
            <v:group style="position:absolute;left:7247;top:1545;width:20;height:2" coordorigin="7247,1545" coordsize="20,2">
              <v:shape style="position:absolute;left:7247;top:1545;width:20;height:2" coordorigin="7247,1545" coordsize="20,0" path="m7247,1545l7266,1545e" filled="false" stroked="true" strokeweight=".47998pt" strokecolor="#000000">
                <v:path arrowok="t"/>
              </v:shape>
            </v:group>
            <v:group style="position:absolute;left:7266;top:1545;width:20;height:2" coordorigin="7266,1545" coordsize="20,2">
              <v:shape style="position:absolute;left:7266;top:1545;width:20;height:2" coordorigin="7266,1545" coordsize="20,0" path="m7266,1545l7285,1545e" filled="false" stroked="true" strokeweight=".47998pt" strokecolor="#000000">
                <v:path arrowok="t"/>
              </v:shape>
            </v:group>
            <v:group style="position:absolute;left:7285;top:1545;width:20;height:2" coordorigin="7285,1545" coordsize="20,2">
              <v:shape style="position:absolute;left:7285;top:1545;width:20;height:2" coordorigin="7285,1545" coordsize="20,0" path="m7285,1545l7305,1545e" filled="false" stroked="true" strokeweight=".47998pt" strokecolor="#000000">
                <v:path arrowok="t"/>
              </v:shape>
            </v:group>
            <v:group style="position:absolute;left:7305;top:1545;width:20;height:2" coordorigin="7305,1545" coordsize="20,2">
              <v:shape style="position:absolute;left:7305;top:1545;width:20;height:2" coordorigin="7305,1545" coordsize="20,0" path="m7305,1545l7324,1545e" filled="false" stroked="true" strokeweight=".47998pt" strokecolor="#000000">
                <v:path arrowok="t"/>
              </v:shape>
            </v:group>
            <v:group style="position:absolute;left:7324;top:1545;width:20;height:2" coordorigin="7324,1545" coordsize="20,2">
              <v:shape style="position:absolute;left:7324;top:1545;width:20;height:2" coordorigin="7324,1545" coordsize="20,0" path="m7324,1545l7343,1545e" filled="false" stroked="true" strokeweight=".47998pt" strokecolor="#000000">
                <v:path arrowok="t"/>
              </v:shape>
            </v:group>
            <v:group style="position:absolute;left:7343;top:1545;width:20;height:2" coordorigin="7343,1545" coordsize="20,2">
              <v:shape style="position:absolute;left:7343;top:1545;width:20;height:2" coordorigin="7343,1545" coordsize="20,0" path="m7343,1545l7362,1545e" filled="false" stroked="true" strokeweight=".47998pt" strokecolor="#000000">
                <v:path arrowok="t"/>
              </v:shape>
            </v:group>
            <v:group style="position:absolute;left:7362;top:1545;width:20;height:2" coordorigin="7362,1545" coordsize="20,2">
              <v:shape style="position:absolute;left:7362;top:1545;width:20;height:2" coordorigin="7362,1545" coordsize="20,0" path="m7362,1545l7381,1545e" filled="false" stroked="true" strokeweight=".47998pt" strokecolor="#000000">
                <v:path arrowok="t"/>
              </v:shape>
            </v:group>
            <v:group style="position:absolute;left:7381;top:1545;width:20;height:2" coordorigin="7381,1545" coordsize="20,2">
              <v:shape style="position:absolute;left:7381;top:1545;width:20;height:2" coordorigin="7381,1545" coordsize="20,0" path="m7381,1545l7401,1545e" filled="false" stroked="true" strokeweight=".47998pt" strokecolor="#000000">
                <v:path arrowok="t"/>
              </v:shape>
            </v:group>
            <v:group style="position:absolute;left:7401;top:1545;width:20;height:2" coordorigin="7401,1545" coordsize="20,2">
              <v:shape style="position:absolute;left:7401;top:1545;width:20;height:2" coordorigin="7401,1545" coordsize="20,0" path="m7401,1545l7420,1545e" filled="false" stroked="true" strokeweight=".47998pt" strokecolor="#000000">
                <v:path arrowok="t"/>
              </v:shape>
            </v:group>
            <v:group style="position:absolute;left:7420;top:1545;width:20;height:2" coordorigin="7420,1545" coordsize="20,2">
              <v:shape style="position:absolute;left:7420;top:1545;width:20;height:2" coordorigin="7420,1545" coordsize="20,0" path="m7420,1545l7439,1545e" filled="false" stroked="true" strokeweight=".47998pt" strokecolor="#000000">
                <v:path arrowok="t"/>
              </v:shape>
            </v:group>
            <v:group style="position:absolute;left:7439;top:1545;width:20;height:2" coordorigin="7439,1545" coordsize="20,2">
              <v:shape style="position:absolute;left:7439;top:1545;width:20;height:2" coordorigin="7439,1545" coordsize="20,0" path="m7439,1545l7458,1545e" filled="false" stroked="true" strokeweight=".47998pt" strokecolor="#000000">
                <v:path arrowok="t"/>
              </v:shape>
            </v:group>
            <v:group style="position:absolute;left:7458;top:1545;width:20;height:2" coordorigin="7458,1545" coordsize="20,2">
              <v:shape style="position:absolute;left:7458;top:1545;width:20;height:2" coordorigin="7458,1545" coordsize="20,0" path="m7458,1545l7477,1545e" filled="false" stroked="true" strokeweight=".47998pt" strokecolor="#000000">
                <v:path arrowok="t"/>
              </v:shape>
            </v:group>
            <v:group style="position:absolute;left:7477;top:1545;width:20;height:2" coordorigin="7477,1545" coordsize="20,2">
              <v:shape style="position:absolute;left:7477;top:1545;width:20;height:2" coordorigin="7477,1545" coordsize="20,0" path="m7477,1545l7497,1545e" filled="false" stroked="true" strokeweight=".47998pt" strokecolor="#000000">
                <v:path arrowok="t"/>
              </v:shape>
            </v:group>
            <v:group style="position:absolute;left:7497;top:1545;width:20;height:2" coordorigin="7497,1545" coordsize="20,2">
              <v:shape style="position:absolute;left:7497;top:1545;width:20;height:2" coordorigin="7497,1545" coordsize="20,0" path="m7497,1545l7516,1545e" filled="false" stroked="true" strokeweight=".47998pt" strokecolor="#000000">
                <v:path arrowok="t"/>
              </v:shape>
            </v:group>
            <v:group style="position:absolute;left:7516;top:1545;width:20;height:2" coordorigin="7516,1545" coordsize="20,2">
              <v:shape style="position:absolute;left:7516;top:1545;width:20;height:2" coordorigin="7516,1545" coordsize="20,0" path="m7516,1545l7535,1545e" filled="false" stroked="true" strokeweight=".47998pt" strokecolor="#000000">
                <v:path arrowok="t"/>
              </v:shape>
            </v:group>
            <v:group style="position:absolute;left:7535;top:1545;width:20;height:2" coordorigin="7535,1545" coordsize="20,2">
              <v:shape style="position:absolute;left:7535;top:1545;width:20;height:2" coordorigin="7535,1545" coordsize="20,0" path="m7535,1545l7554,1545e" filled="false" stroked="true" strokeweight=".47998pt" strokecolor="#000000">
                <v:path arrowok="t"/>
              </v:shape>
            </v:group>
            <v:group style="position:absolute;left:7554;top:1545;width:20;height:2" coordorigin="7554,1545" coordsize="20,2">
              <v:shape style="position:absolute;left:7554;top:1545;width:20;height:2" coordorigin="7554,1545" coordsize="20,0" path="m7554,1545l7573,1545e" filled="false" stroked="true" strokeweight=".47998pt" strokecolor="#000000">
                <v:path arrowok="t"/>
              </v:shape>
            </v:group>
            <v:group style="position:absolute;left:7573;top:1545;width:20;height:2" coordorigin="7573,1545" coordsize="20,2">
              <v:shape style="position:absolute;left:7573;top:1545;width:20;height:2" coordorigin="7573,1545" coordsize="20,0" path="m7573,1545l7593,1545e" filled="false" stroked="true" strokeweight=".47998pt" strokecolor="#000000">
                <v:path arrowok="t"/>
              </v:shape>
            </v:group>
            <v:group style="position:absolute;left:7593;top:1545;width:20;height:2" coordorigin="7593,1545" coordsize="20,2">
              <v:shape style="position:absolute;left:7593;top:1545;width:20;height:2" coordorigin="7593,1545" coordsize="20,0" path="m7593,1545l7612,1545e" filled="false" stroked="true" strokeweight=".47998pt" strokecolor="#000000">
                <v:path arrowok="t"/>
              </v:shape>
            </v:group>
            <v:group style="position:absolute;left:7612;top:1545;width:20;height:2" coordorigin="7612,1545" coordsize="20,2">
              <v:shape style="position:absolute;left:7612;top:1545;width:20;height:2" coordorigin="7612,1545" coordsize="20,0" path="m7612,1545l7631,1545e" filled="false" stroked="true" strokeweight=".47998pt" strokecolor="#000000">
                <v:path arrowok="t"/>
              </v:shape>
            </v:group>
            <v:group style="position:absolute;left:7631;top:1545;width:20;height:2" coordorigin="7631,1545" coordsize="20,2">
              <v:shape style="position:absolute;left:7631;top:1545;width:20;height:2" coordorigin="7631,1545" coordsize="20,0" path="m7631,1545l7650,1545e" filled="false" stroked="true" strokeweight=".47998pt" strokecolor="#000000">
                <v:path arrowok="t"/>
              </v:shape>
            </v:group>
            <v:group style="position:absolute;left:7650;top:1545;width:20;height:2" coordorigin="7650,1545" coordsize="20,2">
              <v:shape style="position:absolute;left:7650;top:1545;width:20;height:2" coordorigin="7650,1545" coordsize="20,0" path="m7650,1545l7669,1545e" filled="false" stroked="true" strokeweight=".47998pt" strokecolor="#000000">
                <v:path arrowok="t"/>
              </v:shape>
            </v:group>
            <v:group style="position:absolute;left:7669;top:1545;width:20;height:2" coordorigin="7669,1545" coordsize="20,2">
              <v:shape style="position:absolute;left:7669;top:1545;width:20;height:2" coordorigin="7669,1545" coordsize="20,0" path="m7669,1545l7689,1545e" filled="false" stroked="true" strokeweight=".47998pt" strokecolor="#000000">
                <v:path arrowok="t"/>
              </v:shape>
            </v:group>
            <v:group style="position:absolute;left:7689;top:1545;width:20;height:2" coordorigin="7689,1545" coordsize="20,2">
              <v:shape style="position:absolute;left:7689;top:1545;width:20;height:2" coordorigin="7689,1545" coordsize="20,0" path="m7689,1545l7708,1545e" filled="false" stroked="true" strokeweight=".47998pt" strokecolor="#000000">
                <v:path arrowok="t"/>
              </v:shape>
            </v:group>
            <v:group style="position:absolute;left:7708;top:1545;width:20;height:2" coordorigin="7708,1545" coordsize="20,2">
              <v:shape style="position:absolute;left:7708;top:1545;width:20;height:2" coordorigin="7708,1545" coordsize="20,0" path="m7708,1545l7727,1545e" filled="false" stroked="true" strokeweight=".47998pt" strokecolor="#000000">
                <v:path arrowok="t"/>
              </v:shape>
            </v:group>
            <v:group style="position:absolute;left:7727;top:1545;width:20;height:2" coordorigin="7727,1545" coordsize="20,2">
              <v:shape style="position:absolute;left:7727;top:1545;width:20;height:2" coordorigin="7727,1545" coordsize="20,0" path="m7727,1545l7746,1545e" filled="false" stroked="true" strokeweight=".47998pt" strokecolor="#000000">
                <v:path arrowok="t"/>
              </v:shape>
            </v:group>
            <v:group style="position:absolute;left:7746;top:1545;width:20;height:2" coordorigin="7746,1545" coordsize="20,2">
              <v:shape style="position:absolute;left:7746;top:1545;width:20;height:2" coordorigin="7746,1545" coordsize="20,0" path="m7746,1545l7765,1545e" filled="false" stroked="true" strokeweight=".47998pt" strokecolor="#000000">
                <v:path arrowok="t"/>
              </v:shape>
            </v:group>
            <v:group style="position:absolute;left:7765;top:1545;width:20;height:2" coordorigin="7765,1545" coordsize="20,2">
              <v:shape style="position:absolute;left:7765;top:1545;width:20;height:2" coordorigin="7765,1545" coordsize="20,0" path="m7765,1545l7785,1545e" filled="false" stroked="true" strokeweight=".47998pt" strokecolor="#000000">
                <v:path arrowok="t"/>
              </v:shape>
            </v:group>
            <v:group style="position:absolute;left:7785;top:1545;width:20;height:2" coordorigin="7785,1545" coordsize="20,2">
              <v:shape style="position:absolute;left:7785;top:1545;width:20;height:2" coordorigin="7785,1545" coordsize="20,0" path="m7785,1545l7804,1545e" filled="false" stroked="true" strokeweight=".47998pt" strokecolor="#000000">
                <v:path arrowok="t"/>
              </v:shape>
            </v:group>
            <v:group style="position:absolute;left:7804;top:1545;width:20;height:2" coordorigin="7804,1545" coordsize="20,2">
              <v:shape style="position:absolute;left:7804;top:1545;width:20;height:2" coordorigin="7804,1545" coordsize="20,0" path="m7804,1545l7823,1545e" filled="false" stroked="true" strokeweight=".47998pt" strokecolor="#000000">
                <v:path arrowok="t"/>
              </v:shape>
            </v:group>
            <v:group style="position:absolute;left:7823;top:1545;width:20;height:2" coordorigin="7823,1545" coordsize="20,2">
              <v:shape style="position:absolute;left:7823;top:1545;width:20;height:2" coordorigin="7823,1545" coordsize="20,0" path="m7823,1545l7842,1545e" filled="false" stroked="true" strokeweight=".47998pt" strokecolor="#000000">
                <v:path arrowok="t"/>
              </v:shape>
            </v:group>
            <v:group style="position:absolute;left:7842;top:1545;width:20;height:2" coordorigin="7842,1545" coordsize="20,2">
              <v:shape style="position:absolute;left:7842;top:1545;width:20;height:2" coordorigin="7842,1545" coordsize="20,0" path="m7842,1545l7861,1545e" filled="false" stroked="true" strokeweight=".47998pt" strokecolor="#000000">
                <v:path arrowok="t"/>
              </v:shape>
            </v:group>
            <v:group style="position:absolute;left:7861;top:1545;width:20;height:2" coordorigin="7861,1545" coordsize="20,2">
              <v:shape style="position:absolute;left:7861;top:1545;width:20;height:2" coordorigin="7861,1545" coordsize="20,0" path="m7861,1545l7881,1545e" filled="false" stroked="true" strokeweight=".47998pt" strokecolor="#000000">
                <v:path arrowok="t"/>
              </v:shape>
            </v:group>
            <v:group style="position:absolute;left:7881;top:1545;width:20;height:2" coordorigin="7881,1545" coordsize="20,2">
              <v:shape style="position:absolute;left:7881;top:1545;width:20;height:2" coordorigin="7881,1545" coordsize="20,0" path="m7881,1545l7900,1545e" filled="false" stroked="true" strokeweight=".47998pt" strokecolor="#000000">
                <v:path arrowok="t"/>
              </v:shape>
            </v:group>
            <v:group style="position:absolute;left:7900;top:1545;width:20;height:2" coordorigin="7900,1545" coordsize="20,2">
              <v:shape style="position:absolute;left:7900;top:1545;width:20;height:2" coordorigin="7900,1545" coordsize="20,0" path="m7900,1545l7919,1545e" filled="false" stroked="true" strokeweight=".47998pt" strokecolor="#000000">
                <v:path arrowok="t"/>
              </v:shape>
            </v:group>
            <v:group style="position:absolute;left:7919;top:1545;width:20;height:2" coordorigin="7919,1545" coordsize="20,2">
              <v:shape style="position:absolute;left:7919;top:1545;width:20;height:2" coordorigin="7919,1545" coordsize="20,0" path="m7919,1545l7938,1545e" filled="false" stroked="true" strokeweight=".47998pt" strokecolor="#000000">
                <v:path arrowok="t"/>
              </v:shape>
            </v:group>
            <v:group style="position:absolute;left:7938;top:1545;width:20;height:2" coordorigin="7938,1545" coordsize="20,2">
              <v:shape style="position:absolute;left:7938;top:1545;width:20;height:2" coordorigin="7938,1545" coordsize="20,0" path="m7938,1545l7957,1545e" filled="false" stroked="true" strokeweight=".47998pt" strokecolor="#000000">
                <v:path arrowok="t"/>
              </v:shape>
            </v:group>
            <v:group style="position:absolute;left:7957;top:1545;width:20;height:2" coordorigin="7957,1545" coordsize="20,2">
              <v:shape style="position:absolute;left:7957;top:1545;width:20;height:2" coordorigin="7957,1545" coordsize="20,0" path="m7957,1545l7977,1545e" filled="false" stroked="true" strokeweight=".47998pt" strokecolor="#000000">
                <v:path arrowok="t"/>
              </v:shape>
            </v:group>
            <v:group style="position:absolute;left:7977;top:1545;width:20;height:2" coordorigin="7977,1545" coordsize="20,2">
              <v:shape style="position:absolute;left:7977;top:1545;width:20;height:2" coordorigin="7977,1545" coordsize="20,0" path="m7977,1545l7996,1545e" filled="false" stroked="true" strokeweight=".47998pt" strokecolor="#000000">
                <v:path arrowok="t"/>
              </v:shape>
            </v:group>
            <v:group style="position:absolute;left:7996;top:1545;width:20;height:2" coordorigin="7996,1545" coordsize="20,2">
              <v:shape style="position:absolute;left:7996;top:1545;width:20;height:2" coordorigin="7996,1545" coordsize="20,0" path="m7996,1545l8015,1545e" filled="false" stroked="true" strokeweight=".47998pt" strokecolor="#000000">
                <v:path arrowok="t"/>
              </v:shape>
            </v:group>
            <v:group style="position:absolute;left:8015;top:1545;width:20;height:2" coordorigin="8015,1545" coordsize="20,2">
              <v:shape style="position:absolute;left:8015;top:1545;width:20;height:2" coordorigin="8015,1545" coordsize="20,0" path="m8015,1545l8034,1545e" filled="false" stroked="true" strokeweight=".47998pt" strokecolor="#000000">
                <v:path arrowok="t"/>
              </v:shape>
            </v:group>
            <v:group style="position:absolute;left:8034;top:1545;width:20;height:2" coordorigin="8034,1545" coordsize="20,2">
              <v:shape style="position:absolute;left:8034;top:1545;width:20;height:2" coordorigin="8034,1545" coordsize="20,0" path="m8034,1545l8053,1545e" filled="false" stroked="true" strokeweight=".47998pt" strokecolor="#000000">
                <v:path arrowok="t"/>
              </v:shape>
            </v:group>
            <v:group style="position:absolute;left:8053;top:1545;width:20;height:2" coordorigin="8053,1545" coordsize="20,2">
              <v:shape style="position:absolute;left:8053;top:1545;width:20;height:2" coordorigin="8053,1545" coordsize="20,0" path="m8053,1545l8073,1545e" filled="false" stroked="true" strokeweight=".47998pt" strokecolor="#000000">
                <v:path arrowok="t"/>
              </v:shape>
            </v:group>
            <v:group style="position:absolute;left:8073;top:1545;width:20;height:2" coordorigin="8073,1545" coordsize="20,2">
              <v:shape style="position:absolute;left:8073;top:1545;width:20;height:2" coordorigin="8073,1545" coordsize="20,0" path="m8073,1545l8092,1545e" filled="false" stroked="true" strokeweight=".47998pt" strokecolor="#000000">
                <v:path arrowok="t"/>
              </v:shape>
            </v:group>
            <v:group style="position:absolute;left:8092;top:1545;width:20;height:2" coordorigin="8092,1545" coordsize="20,2">
              <v:shape style="position:absolute;left:8092;top:1545;width:20;height:2" coordorigin="8092,1545" coordsize="20,0" path="m8092,1545l8111,1545e" filled="false" stroked="true" strokeweight=".47998pt" strokecolor="#000000">
                <v:path arrowok="t"/>
              </v:shape>
            </v:group>
            <v:group style="position:absolute;left:8111;top:1545;width:20;height:2" coordorigin="8111,1545" coordsize="20,2">
              <v:shape style="position:absolute;left:8111;top:1545;width:20;height:2" coordorigin="8111,1545" coordsize="20,0" path="m8111,1545l8130,1545e" filled="false" stroked="true" strokeweight=".47998pt" strokecolor="#000000">
                <v:path arrowok="t"/>
              </v:shape>
            </v:group>
            <v:group style="position:absolute;left:8130;top:1545;width:20;height:2" coordorigin="8130,1545" coordsize="20,2">
              <v:shape style="position:absolute;left:8130;top:1545;width:20;height:2" coordorigin="8130,1545" coordsize="20,0" path="m8130,1545l8149,1545e" filled="false" stroked="true" strokeweight=".47998pt" strokecolor="#000000">
                <v:path arrowok="t"/>
              </v:shape>
            </v:group>
            <v:group style="position:absolute;left:8149;top:1545;width:20;height:2" coordorigin="8149,1545" coordsize="20,2">
              <v:shape style="position:absolute;left:8149;top:1545;width:20;height:2" coordorigin="8149,1545" coordsize="20,0" path="m8149,1545l8169,1545e" filled="false" stroked="true" strokeweight=".47998pt" strokecolor="#000000">
                <v:path arrowok="t"/>
              </v:shape>
            </v:group>
            <v:group style="position:absolute;left:8169;top:1545;width:20;height:2" coordorigin="8169,1545" coordsize="20,2">
              <v:shape style="position:absolute;left:8169;top:1545;width:20;height:2" coordorigin="8169,1545" coordsize="20,0" path="m8169,1545l8188,1545e" filled="false" stroked="true" strokeweight=".47998pt" strokecolor="#000000">
                <v:path arrowok="t"/>
              </v:shape>
            </v:group>
            <v:group style="position:absolute;left:8188;top:1545;width:20;height:2" coordorigin="8188,1545" coordsize="20,2">
              <v:shape style="position:absolute;left:8188;top:1545;width:20;height:2" coordorigin="8188,1545" coordsize="20,0" path="m8188,1545l8207,1545e" filled="false" stroked="true" strokeweight=".47998pt" strokecolor="#000000">
                <v:path arrowok="t"/>
              </v:shape>
            </v:group>
            <v:group style="position:absolute;left:8207;top:1545;width:20;height:2" coordorigin="8207,1545" coordsize="20,2">
              <v:shape style="position:absolute;left:8207;top:1545;width:20;height:2" coordorigin="8207,1545" coordsize="20,0" path="m8207,1545l8226,1545e" filled="false" stroked="true" strokeweight=".47998pt" strokecolor="#000000">
                <v:path arrowok="t"/>
              </v:shape>
            </v:group>
            <v:group style="position:absolute;left:8226;top:1545;width:20;height:2" coordorigin="8226,1545" coordsize="20,2">
              <v:shape style="position:absolute;left:8226;top:1545;width:20;height:2" coordorigin="8226,1545" coordsize="20,0" path="m8226,1545l8245,1545e" filled="false" stroked="true" strokeweight=".47998pt" strokecolor="#000000">
                <v:path arrowok="t"/>
              </v:shape>
            </v:group>
            <v:group style="position:absolute;left:8245;top:1545;width:20;height:2" coordorigin="8245,1545" coordsize="20,2">
              <v:shape style="position:absolute;left:8245;top:1545;width:20;height:2" coordorigin="8245,1545" coordsize="20,0" path="m8245,1545l8265,1545e" filled="false" stroked="true" strokeweight=".47998pt" strokecolor="#000000">
                <v:path arrowok="t"/>
              </v:shape>
            </v:group>
            <v:group style="position:absolute;left:8265;top:1545;width:20;height:2" coordorigin="8265,1545" coordsize="20,2">
              <v:shape style="position:absolute;left:8265;top:1545;width:20;height:2" coordorigin="8265,1545" coordsize="20,0" path="m8265,1545l8284,1545e" filled="false" stroked="true" strokeweight=".47998pt" strokecolor="#000000">
                <v:path arrowok="t"/>
              </v:shape>
            </v:group>
            <v:group style="position:absolute;left:8284;top:1545;width:20;height:2" coordorigin="8284,1545" coordsize="20,2">
              <v:shape style="position:absolute;left:8284;top:1545;width:20;height:2" coordorigin="8284,1545" coordsize="20,0" path="m8284,1545l8303,1545e" filled="false" stroked="true" strokeweight=".47998pt" strokecolor="#000000">
                <v:path arrowok="t"/>
              </v:shape>
            </v:group>
            <v:group style="position:absolute;left:8303;top:1545;width:20;height:2" coordorigin="8303,1545" coordsize="20,2">
              <v:shape style="position:absolute;left:8303;top:1545;width:20;height:2" coordorigin="8303,1545" coordsize="20,0" path="m8303,1545l8322,1545e" filled="false" stroked="true" strokeweight=".47998pt" strokecolor="#000000">
                <v:path arrowok="t"/>
              </v:shape>
            </v:group>
            <v:group style="position:absolute;left:8322;top:1545;width:20;height:2" coordorigin="8322,1545" coordsize="20,2">
              <v:shape style="position:absolute;left:8322;top:1545;width:20;height:2" coordorigin="8322,1545" coordsize="20,0" path="m8322,1545l8341,1545e" filled="false" stroked="true" strokeweight=".47998pt" strokecolor="#000000">
                <v:path arrowok="t"/>
              </v:shape>
            </v:group>
            <v:group style="position:absolute;left:8341;top:1545;width:20;height:2" coordorigin="8341,1545" coordsize="20,2">
              <v:shape style="position:absolute;left:8341;top:1545;width:20;height:2" coordorigin="8341,1545" coordsize="20,0" path="m8341,1545l8361,1545e" filled="false" stroked="true" strokeweight=".47998pt" strokecolor="#000000">
                <v:path arrowok="t"/>
              </v:shape>
            </v:group>
            <v:group style="position:absolute;left:8361;top:1545;width:20;height:2" coordorigin="8361,1545" coordsize="20,2">
              <v:shape style="position:absolute;left:8361;top:1545;width:20;height:2" coordorigin="8361,1545" coordsize="20,0" path="m8361,1545l8380,1545e" filled="false" stroked="true" strokeweight=".47998pt" strokecolor="#000000">
                <v:path arrowok="t"/>
              </v:shape>
            </v:group>
            <v:group style="position:absolute;left:8380;top:1545;width:20;height:2" coordorigin="8380,1545" coordsize="20,2">
              <v:shape style="position:absolute;left:8380;top:1545;width:20;height:2" coordorigin="8380,1545" coordsize="20,0" path="m8380,1545l8399,1545e" filled="false" stroked="true" strokeweight=".47998pt" strokecolor="#000000">
                <v:path arrowok="t"/>
              </v:shape>
            </v:group>
            <v:group style="position:absolute;left:8399;top:1545;width:20;height:2" coordorigin="8399,1545" coordsize="20,2">
              <v:shape style="position:absolute;left:8399;top:1545;width:20;height:2" coordorigin="8399,1545" coordsize="20,0" path="m8399,1545l8418,1545e" filled="false" stroked="true" strokeweight=".47998pt" strokecolor="#000000">
                <v:path arrowok="t"/>
              </v:shape>
            </v:group>
            <v:group style="position:absolute;left:8418;top:1545;width:20;height:2" coordorigin="8418,1545" coordsize="20,2">
              <v:shape style="position:absolute;left:8418;top:1545;width:20;height:2" coordorigin="8418,1545" coordsize="20,0" path="m8418,1545l8437,1545e" filled="false" stroked="true" strokeweight=".47998pt" strokecolor="#000000">
                <v:path arrowok="t"/>
              </v:shape>
            </v:group>
            <v:group style="position:absolute;left:8437;top:1545;width:20;height:2" coordorigin="8437,1545" coordsize="20,2">
              <v:shape style="position:absolute;left:8437;top:1545;width:20;height:2" coordorigin="8437,1545" coordsize="20,0" path="m8437,1545l8457,1545e" filled="false" stroked="true" strokeweight=".47998pt" strokecolor="#000000">
                <v:path arrowok="t"/>
              </v:shape>
            </v:group>
            <v:group style="position:absolute;left:8457;top:1545;width:20;height:2" coordorigin="8457,1545" coordsize="20,2">
              <v:shape style="position:absolute;left:8457;top:1545;width:20;height:2" coordorigin="8457,1545" coordsize="20,0" path="m8457,1545l8476,1545e" filled="false" stroked="true" strokeweight=".47998pt" strokecolor="#000000">
                <v:path arrowok="t"/>
              </v:shape>
            </v:group>
            <v:group style="position:absolute;left:8476;top:1545;width:20;height:2" coordorigin="8476,1545" coordsize="20,2">
              <v:shape style="position:absolute;left:8476;top:1545;width:20;height:2" coordorigin="8476,1545" coordsize="20,0" path="m8476,1545l8495,1545e" filled="false" stroked="true" strokeweight=".47998pt" strokecolor="#000000">
                <v:path arrowok="t"/>
              </v:shape>
            </v:group>
            <v:group style="position:absolute;left:8495;top:1545;width:20;height:2" coordorigin="8495,1545" coordsize="20,2">
              <v:shape style="position:absolute;left:8495;top:1545;width:20;height:2" coordorigin="8495,1545" coordsize="20,0" path="m8495,1545l8514,1545e" filled="false" stroked="true" strokeweight=".47998pt" strokecolor="#000000">
                <v:path arrowok="t"/>
              </v:shape>
            </v:group>
            <v:group style="position:absolute;left:8514;top:1545;width:20;height:2" coordorigin="8514,1545" coordsize="20,2">
              <v:shape style="position:absolute;left:8514;top:1545;width:20;height:2" coordorigin="8514,1545" coordsize="20,0" path="m8514,1545l8533,1545e" filled="false" stroked="true" strokeweight=".47998pt" strokecolor="#000000">
                <v:path arrowok="t"/>
              </v:shape>
            </v:group>
            <v:group style="position:absolute;left:8533;top:1545;width:20;height:2" coordorigin="8533,1545" coordsize="20,2">
              <v:shape style="position:absolute;left:8533;top:1545;width:20;height:2" coordorigin="8533,1545" coordsize="20,0" path="m8533,1545l8553,1545e" filled="false" stroked="true" strokeweight=".47998pt" strokecolor="#000000">
                <v:path arrowok="t"/>
              </v:shape>
            </v:group>
            <v:group style="position:absolute;left:8553;top:1545;width:20;height:2" coordorigin="8553,1545" coordsize="20,2">
              <v:shape style="position:absolute;left:8553;top:1545;width:20;height:2" coordorigin="8553,1545" coordsize="20,0" path="m8553,1545l8572,1545e" filled="false" stroked="true" strokeweight=".47998pt" strokecolor="#000000">
                <v:path arrowok="t"/>
              </v:shape>
            </v:group>
            <v:group style="position:absolute;left:8572;top:1545;width:20;height:2" coordorigin="8572,1545" coordsize="20,2">
              <v:shape style="position:absolute;left:8572;top:1545;width:20;height:2" coordorigin="8572,1545" coordsize="20,0" path="m8572,1545l8591,1545e" filled="false" stroked="true" strokeweight=".47998pt" strokecolor="#000000">
                <v:path arrowok="t"/>
              </v:shape>
            </v:group>
            <v:group style="position:absolute;left:8591;top:1545;width:20;height:2" coordorigin="8591,1545" coordsize="20,2">
              <v:shape style="position:absolute;left:8591;top:1545;width:20;height:2" coordorigin="8591,1545" coordsize="20,0" path="m8591,1545l8610,1545e" filled="false" stroked="true" strokeweight=".47998pt" strokecolor="#000000">
                <v:path arrowok="t"/>
              </v:shape>
            </v:group>
            <v:group style="position:absolute;left:8610;top:1545;width:20;height:2" coordorigin="8610,1545" coordsize="20,2">
              <v:shape style="position:absolute;left:8610;top:1545;width:20;height:2" coordorigin="8610,1545" coordsize="20,0" path="m8610,1545l8629,1545e" filled="false" stroked="true" strokeweight=".47998pt" strokecolor="#000000">
                <v:path arrowok="t"/>
              </v:shape>
            </v:group>
            <v:group style="position:absolute;left:8629;top:1545;width:20;height:2" coordorigin="8629,1545" coordsize="20,2">
              <v:shape style="position:absolute;left:8629;top:1545;width:20;height:2" coordorigin="8629,1545" coordsize="20,0" path="m8629,1545l8649,1545e" filled="false" stroked="true" strokeweight=".47998pt" strokecolor="#000000">
                <v:path arrowok="t"/>
              </v:shape>
            </v:group>
            <v:group style="position:absolute;left:8649;top:1545;width:20;height:2" coordorigin="8649,1545" coordsize="20,2">
              <v:shape style="position:absolute;left:8649;top:1545;width:20;height:2" coordorigin="8649,1545" coordsize="20,0" path="m8649,1545l8668,1545e" filled="false" stroked="true" strokeweight=".47998pt" strokecolor="#000000">
                <v:path arrowok="t"/>
              </v:shape>
            </v:group>
            <v:group style="position:absolute;left:8668;top:1545;width:20;height:2" coordorigin="8668,1545" coordsize="20,2">
              <v:shape style="position:absolute;left:8668;top:1545;width:20;height:2" coordorigin="8668,1545" coordsize="20,0" path="m8668,1545l8687,1545e" filled="false" stroked="true" strokeweight=".47998pt" strokecolor="#000000">
                <v:path arrowok="t"/>
              </v:shape>
            </v:group>
            <v:group style="position:absolute;left:8687;top:1545;width:20;height:2" coordorigin="8687,1545" coordsize="20,2">
              <v:shape style="position:absolute;left:8687;top:1545;width:20;height:2" coordorigin="8687,1545" coordsize="20,0" path="m8687,1545l8706,1545e" filled="false" stroked="true" strokeweight=".47998pt" strokecolor="#000000">
                <v:path arrowok="t"/>
              </v:shape>
            </v:group>
            <v:group style="position:absolute;left:8706;top:1545;width:20;height:2" coordorigin="8706,1545" coordsize="20,2">
              <v:shape style="position:absolute;left:8706;top:1545;width:20;height:2" coordorigin="8706,1545" coordsize="20,0" path="m8706,1545l8725,1545e" filled="false" stroked="true" strokeweight=".47998pt" strokecolor="#000000">
                <v:path arrowok="t"/>
              </v:shape>
            </v:group>
            <v:group style="position:absolute;left:8725;top:1545;width:20;height:2" coordorigin="8725,1545" coordsize="20,2">
              <v:shape style="position:absolute;left:8725;top:1545;width:20;height:2" coordorigin="8725,1545" coordsize="20,0" path="m8725,1545l8745,1545e" filled="false" stroked="true" strokeweight=".47998pt" strokecolor="#000000">
                <v:path arrowok="t"/>
              </v:shape>
            </v:group>
            <v:group style="position:absolute;left:8745;top:1545;width:20;height:2" coordorigin="8745,1545" coordsize="20,2">
              <v:shape style="position:absolute;left:8745;top:1545;width:20;height:2" coordorigin="8745,1545" coordsize="20,0" path="m8745,1545l8764,1545e" filled="false" stroked="true" strokeweight=".47998pt" strokecolor="#000000">
                <v:path arrowok="t"/>
              </v:shape>
            </v:group>
            <v:group style="position:absolute;left:8764;top:1545;width:20;height:2" coordorigin="8764,1545" coordsize="20,2">
              <v:shape style="position:absolute;left:8764;top:1545;width:20;height:2" coordorigin="8764,1545" coordsize="20,0" path="m8764,1545l8783,1545e" filled="false" stroked="true" strokeweight=".47998pt" strokecolor="#000000">
                <v:path arrowok="t"/>
              </v:shape>
            </v:group>
            <v:group style="position:absolute;left:8783;top:1545;width:20;height:2" coordorigin="8783,1545" coordsize="20,2">
              <v:shape style="position:absolute;left:8783;top:1545;width:20;height:2" coordorigin="8783,1545" coordsize="20,0" path="m8783,1545l8802,1545e" filled="false" stroked="true" strokeweight=".47998pt" strokecolor="#000000">
                <v:path arrowok="t"/>
              </v:shape>
            </v:group>
            <v:group style="position:absolute;left:8802;top:1545;width:20;height:2" coordorigin="8802,1545" coordsize="20,2">
              <v:shape style="position:absolute;left:8802;top:1545;width:20;height:2" coordorigin="8802,1545" coordsize="20,0" path="m8802,1545l8821,1545e" filled="false" stroked="true" strokeweight=".47998pt" strokecolor="#000000">
                <v:path arrowok="t"/>
              </v:shape>
            </v:group>
            <v:group style="position:absolute;left:8821;top:1545;width:20;height:2" coordorigin="8821,1545" coordsize="20,2">
              <v:shape style="position:absolute;left:8821;top:1545;width:20;height:2" coordorigin="8821,1545" coordsize="20,0" path="m8821,1545l8841,1545e" filled="false" stroked="true" strokeweight=".47998pt" strokecolor="#000000">
                <v:path arrowok="t"/>
              </v:shape>
            </v:group>
            <v:group style="position:absolute;left:8841;top:1545;width:20;height:2" coordorigin="8841,1545" coordsize="20,2">
              <v:shape style="position:absolute;left:8841;top:1545;width:20;height:2" coordorigin="8841,1545" coordsize="20,0" path="m8841,1545l8860,1545e" filled="false" stroked="true" strokeweight=".47998pt" strokecolor="#000000">
                <v:path arrowok="t"/>
              </v:shape>
            </v:group>
            <v:group style="position:absolute;left:8860;top:1545;width:20;height:2" coordorigin="8860,1545" coordsize="20,2">
              <v:shape style="position:absolute;left:8860;top:1545;width:20;height:2" coordorigin="8860,1545" coordsize="20,0" path="m8860,1545l8879,1545e" filled="false" stroked="true" strokeweight=".47998pt" strokecolor="#000000">
                <v:path arrowok="t"/>
              </v:shape>
            </v:group>
            <v:group style="position:absolute;left:8880;top:1545;width:20;height:2" coordorigin="8880,1545" coordsize="20,2">
              <v:shape style="position:absolute;left:8880;top:1545;width:20;height:2" coordorigin="8880,1545" coordsize="20,0" path="m8880,1545l8899,1545e" filled="false" stroked="true" strokeweight=".47998pt" strokecolor="#000000">
                <v:path arrowok="t"/>
              </v:shape>
            </v:group>
            <v:group style="position:absolute;left:8899;top:1545;width:20;height:2" coordorigin="8899,1545" coordsize="20,2">
              <v:shape style="position:absolute;left:8899;top:1545;width:20;height:2" coordorigin="8899,1545" coordsize="20,0" path="m8899,1545l8918,1545e" filled="false" stroked="true" strokeweight=".47998pt" strokecolor="#000000">
                <v:path arrowok="t"/>
              </v:shape>
            </v:group>
            <v:group style="position:absolute;left:8918;top:1545;width:20;height:2" coordorigin="8918,1545" coordsize="20,2">
              <v:shape style="position:absolute;left:8918;top:1545;width:20;height:2" coordorigin="8918,1545" coordsize="20,0" path="m8918,1545l8937,1545e" filled="false" stroked="true" strokeweight=".47998pt" strokecolor="#000000">
                <v:path arrowok="t"/>
              </v:shape>
            </v:group>
            <v:group style="position:absolute;left:8937;top:1545;width:20;height:2" coordorigin="8937,1545" coordsize="20,2">
              <v:shape style="position:absolute;left:8937;top:1545;width:20;height:2" coordorigin="8937,1545" coordsize="20,0" path="m8937,1545l8956,1545e" filled="false" stroked="true" strokeweight=".47998pt" strokecolor="#000000">
                <v:path arrowok="t"/>
              </v:shape>
            </v:group>
            <v:group style="position:absolute;left:8956;top:1545;width:20;height:2" coordorigin="8956,1545" coordsize="20,2">
              <v:shape style="position:absolute;left:8956;top:1545;width:20;height:2" coordorigin="8956,1545" coordsize="20,0" path="m8956,1545l8976,1545e" filled="false" stroked="true" strokeweight=".47998pt" strokecolor="#000000">
                <v:path arrowok="t"/>
              </v:shape>
            </v:group>
            <v:group style="position:absolute;left:8976;top:1545;width:20;height:2" coordorigin="8976,1545" coordsize="20,2">
              <v:shape style="position:absolute;left:8976;top:1545;width:20;height:2" coordorigin="8976,1545" coordsize="20,0" path="m8976,1545l8995,1545e" filled="false" stroked="true" strokeweight=".47998pt" strokecolor="#000000">
                <v:path arrowok="t"/>
              </v:shape>
            </v:group>
            <v:group style="position:absolute;left:8995;top:1545;width:20;height:2" coordorigin="8995,1545" coordsize="20,2">
              <v:shape style="position:absolute;left:8995;top:1545;width:20;height:2" coordorigin="8995,1545" coordsize="20,0" path="m8995,1545l9014,1545e" filled="false" stroked="true" strokeweight=".47998pt" strokecolor="#000000">
                <v:path arrowok="t"/>
              </v:shape>
            </v:group>
            <v:group style="position:absolute;left:9014;top:1545;width:20;height:2" coordorigin="9014,1545" coordsize="20,2">
              <v:shape style="position:absolute;left:9014;top:1545;width:20;height:2" coordorigin="9014,1545" coordsize="20,0" path="m9014,1545l9033,1545e" filled="false" stroked="true" strokeweight=".47998pt" strokecolor="#000000">
                <v:path arrowok="t"/>
              </v:shape>
            </v:group>
            <v:group style="position:absolute;left:9033;top:1545;width:20;height:2" coordorigin="9033,1545" coordsize="20,2">
              <v:shape style="position:absolute;left:9033;top:1545;width:20;height:2" coordorigin="9033,1545" coordsize="20,0" path="m9033,1545l9052,1545e" filled="false" stroked="true" strokeweight=".47998pt" strokecolor="#000000">
                <v:path arrowok="t"/>
              </v:shape>
            </v:group>
            <v:group style="position:absolute;left:9052;top:1545;width:20;height:2" coordorigin="9052,1545" coordsize="20,2">
              <v:shape style="position:absolute;left:9052;top:1545;width:20;height:2" coordorigin="9052,1545" coordsize="20,0" path="m9052,1545l9072,1545e" filled="false" stroked="true" strokeweight=".47998pt" strokecolor="#000000">
                <v:path arrowok="t"/>
              </v:shape>
            </v:group>
            <v:group style="position:absolute;left:9072;top:1545;width:20;height:2" coordorigin="9072,1545" coordsize="20,2">
              <v:shape style="position:absolute;left:9072;top:1545;width:20;height:2" coordorigin="9072,1545" coordsize="20,0" path="m9072,1545l9091,1545e" filled="false" stroked="true" strokeweight=".47998pt" strokecolor="#000000">
                <v:path arrowok="t"/>
              </v:shape>
            </v:group>
            <v:group style="position:absolute;left:9091;top:1545;width:20;height:2" coordorigin="9091,1545" coordsize="20,2">
              <v:shape style="position:absolute;left:9091;top:1545;width:20;height:2" coordorigin="9091,1545" coordsize="20,0" path="m9091,1545l9110,1545e" filled="false" stroked="true" strokeweight=".47998pt" strokecolor="#000000">
                <v:path arrowok="t"/>
              </v:shape>
            </v:group>
            <v:group style="position:absolute;left:9110;top:1545;width:20;height:2" coordorigin="9110,1545" coordsize="20,2">
              <v:shape style="position:absolute;left:9110;top:1545;width:20;height:2" coordorigin="9110,1545" coordsize="20,0" path="m9110,1545l9129,1545e" filled="false" stroked="true" strokeweight=".47998pt" strokecolor="#000000">
                <v:path arrowok="t"/>
              </v:shape>
            </v:group>
            <v:group style="position:absolute;left:9129;top:1545;width:20;height:2" coordorigin="9129,1545" coordsize="20,2">
              <v:shape style="position:absolute;left:9129;top:1545;width:20;height:2" coordorigin="9129,1545" coordsize="20,0" path="m9129,1545l9148,1545e" filled="false" stroked="true" strokeweight=".47998pt" strokecolor="#000000">
                <v:path arrowok="t"/>
              </v:shape>
            </v:group>
            <v:group style="position:absolute;left:9148;top:1545;width:20;height:2" coordorigin="9148,1545" coordsize="20,2">
              <v:shape style="position:absolute;left:9148;top:1545;width:20;height:2" coordorigin="9148,1545" coordsize="20,0" path="m9148,1545l9168,1545e" filled="false" stroked="true" strokeweight=".47998pt" strokecolor="#000000">
                <v:path arrowok="t"/>
              </v:shape>
            </v:group>
            <v:group style="position:absolute;left:9168;top:1545;width:20;height:2" coordorigin="9168,1545" coordsize="20,2">
              <v:shape style="position:absolute;left:9168;top:1545;width:20;height:2" coordorigin="9168,1545" coordsize="20,0" path="m9168,1545l9187,1545e" filled="false" stroked="true" strokeweight=".47998pt" strokecolor="#000000">
                <v:path arrowok="t"/>
              </v:shape>
            </v:group>
            <v:group style="position:absolute;left:9187;top:1545;width:20;height:2" coordorigin="9187,1545" coordsize="20,2">
              <v:shape style="position:absolute;left:9187;top:1545;width:20;height:2" coordorigin="9187,1545" coordsize="20,0" path="m9187,1545l9206,1545e" filled="false" stroked="true" strokeweight=".47998pt" strokecolor="#000000">
                <v:path arrowok="t"/>
              </v:shape>
            </v:group>
            <v:group style="position:absolute;left:9206;top:1545;width:20;height:2" coordorigin="9206,1545" coordsize="20,2">
              <v:shape style="position:absolute;left:9206;top:1545;width:20;height:2" coordorigin="9206,1545" coordsize="20,0" path="m9206,1545l9225,1545e" filled="false" stroked="true" strokeweight=".47998pt" strokecolor="#000000">
                <v:path arrowok="t"/>
              </v:shape>
            </v:group>
            <v:group style="position:absolute;left:9225;top:1545;width:20;height:2" coordorigin="9225,1545" coordsize="20,2">
              <v:shape style="position:absolute;left:9225;top:1545;width:20;height:2" coordorigin="9225,1545" coordsize="20,0" path="m9225,1545l9244,1545e" filled="false" stroked="true" strokeweight=".47998pt" strokecolor="#000000">
                <v:path arrowok="t"/>
              </v:shape>
            </v:group>
            <v:group style="position:absolute;left:9244;top:1545;width:20;height:2" coordorigin="9244,1545" coordsize="20,2">
              <v:shape style="position:absolute;left:9244;top:1545;width:20;height:2" coordorigin="9244,1545" coordsize="20,0" path="m9244,1545l9264,1545e" filled="false" stroked="true" strokeweight=".47998pt" strokecolor="#000000">
                <v:path arrowok="t"/>
              </v:shape>
            </v:group>
            <v:group style="position:absolute;left:9264;top:1545;width:20;height:2" coordorigin="9264,1545" coordsize="20,2">
              <v:shape style="position:absolute;left:9264;top:1545;width:20;height:2" coordorigin="9264,1545" coordsize="20,0" path="m9264,1545l9283,1545e" filled="false" stroked="true" strokeweight=".47998pt" strokecolor="#000000">
                <v:path arrowok="t"/>
              </v:shape>
            </v:group>
            <v:group style="position:absolute;left:9283;top:1545;width:20;height:2" coordorigin="9283,1545" coordsize="20,2">
              <v:shape style="position:absolute;left:9283;top:1545;width:20;height:2" coordorigin="9283,1545" coordsize="20,0" path="m9283,1545l9302,1545e" filled="false" stroked="true" strokeweight=".47998pt" strokecolor="#000000">
                <v:path arrowok="t"/>
              </v:shape>
            </v:group>
            <v:group style="position:absolute;left:9302;top:1545;width:20;height:2" coordorigin="9302,1545" coordsize="20,2">
              <v:shape style="position:absolute;left:9302;top:1545;width:20;height:2" coordorigin="9302,1545" coordsize="20,0" path="m9302,1545l9321,1545e" filled="false" stroked="true" strokeweight=".47998pt" strokecolor="#000000">
                <v:path arrowok="t"/>
              </v:shape>
            </v:group>
            <v:group style="position:absolute;left:9321;top:1545;width:20;height:2" coordorigin="9321,1545" coordsize="20,2">
              <v:shape style="position:absolute;left:9321;top:1545;width:20;height:2" coordorigin="9321,1545" coordsize="20,0" path="m9321,1545l9340,1545e" filled="false" stroked="true" strokeweight=".47998pt" strokecolor="#000000">
                <v:path arrowok="t"/>
              </v:shape>
            </v:group>
            <v:group style="position:absolute;left:9340;top:1545;width:20;height:2" coordorigin="9340,1545" coordsize="20,2">
              <v:shape style="position:absolute;left:9340;top:1545;width:20;height:2" coordorigin="9340,1545" coordsize="20,0" path="m9340,1545l9360,1545e" filled="false" stroked="true" strokeweight=".47998pt" strokecolor="#000000">
                <v:path arrowok="t"/>
              </v:shape>
            </v:group>
            <v:group style="position:absolute;left:9360;top:1545;width:20;height:2" coordorigin="9360,1545" coordsize="20,2">
              <v:shape style="position:absolute;left:9360;top:1545;width:20;height:2" coordorigin="9360,1545" coordsize="20,0" path="m9360,1545l9379,1545e" filled="false" stroked="true" strokeweight=".47998pt" strokecolor="#000000">
                <v:path arrowok="t"/>
              </v:shape>
            </v:group>
            <v:group style="position:absolute;left:9379;top:1545;width:20;height:2" coordorigin="9379,1545" coordsize="20,2">
              <v:shape style="position:absolute;left:9379;top:1545;width:20;height:2" coordorigin="9379,1545" coordsize="20,0" path="m9379,1545l9398,1545e" filled="false" stroked="true" strokeweight=".47998pt" strokecolor="#000000">
                <v:path arrowok="t"/>
              </v:shape>
            </v:group>
            <v:group style="position:absolute;left:9398;top:1545;width:20;height:2" coordorigin="9398,1545" coordsize="20,2">
              <v:shape style="position:absolute;left:9398;top:1545;width:20;height:2" coordorigin="9398,1545" coordsize="20,0" path="m9398,1545l9417,1545e" filled="false" stroked="true" strokeweight=".47998pt" strokecolor="#000000">
                <v:path arrowok="t"/>
              </v:shape>
            </v:group>
            <v:group style="position:absolute;left:9417;top:1545;width:20;height:2" coordorigin="9417,1545" coordsize="20,2">
              <v:shape style="position:absolute;left:9417;top:1545;width:20;height:2" coordorigin="9417,1545" coordsize="20,0" path="m9417,1545l9436,1545e" filled="false" stroked="true" strokeweight=".47998pt" strokecolor="#000000">
                <v:path arrowok="t"/>
              </v:shape>
            </v:group>
            <v:group style="position:absolute;left:9436;top:1545;width:20;height:2" coordorigin="9436,1545" coordsize="20,2">
              <v:shape style="position:absolute;left:9436;top:1545;width:20;height:2" coordorigin="9436,1545" coordsize="20,0" path="m9436,1545l9456,1545e" filled="false" stroked="true" strokeweight=".47998pt" strokecolor="#000000">
                <v:path arrowok="t"/>
              </v:shape>
            </v:group>
            <v:group style="position:absolute;left:9456;top:1545;width:20;height:2" coordorigin="9456,1545" coordsize="20,2">
              <v:shape style="position:absolute;left:9456;top:1545;width:20;height:2" coordorigin="9456,1545" coordsize="20,0" path="m9456,1545l9475,1545e" filled="false" stroked="true" strokeweight=".47998pt" strokecolor="#000000">
                <v:path arrowok="t"/>
              </v:shape>
            </v:group>
            <v:group style="position:absolute;left:9475;top:1545;width:20;height:2" coordorigin="9475,1545" coordsize="20,2">
              <v:shape style="position:absolute;left:9475;top:1545;width:20;height:2" coordorigin="9475,1545" coordsize="20,0" path="m9475,1545l9494,1545e" filled="false" stroked="true" strokeweight=".47998pt" strokecolor="#000000">
                <v:path arrowok="t"/>
              </v:shape>
            </v:group>
            <v:group style="position:absolute;left:9494;top:1545;width:20;height:2" coordorigin="9494,1545" coordsize="20,2">
              <v:shape style="position:absolute;left:9494;top:1545;width:20;height:2" coordorigin="9494,1545" coordsize="20,0" path="m9494,1545l9513,1545e" filled="false" stroked="true" strokeweight=".47998pt" strokecolor="#000000">
                <v:path arrowok="t"/>
              </v:shape>
            </v:group>
            <v:group style="position:absolute;left:9513;top:1545;width:20;height:2" coordorigin="9513,1545" coordsize="20,2">
              <v:shape style="position:absolute;left:9513;top:1545;width:20;height:2" coordorigin="9513,1545" coordsize="20,0" path="m9513,1545l9532,1545e" filled="false" stroked="true" strokeweight=".47998pt" strokecolor="#000000">
                <v:path arrowok="t"/>
              </v:shape>
            </v:group>
            <v:group style="position:absolute;left:9532;top:1545;width:20;height:2" coordorigin="9532,1545" coordsize="20,2">
              <v:shape style="position:absolute;left:9532;top:1545;width:20;height:2" coordorigin="9532,1545" coordsize="20,0" path="m9532,1545l9552,1545e" filled="false" stroked="true" strokeweight=".47998pt" strokecolor="#000000">
                <v:path arrowok="t"/>
              </v:shape>
            </v:group>
            <v:group style="position:absolute;left:9552;top:1545;width:20;height:2" coordorigin="9552,1545" coordsize="20,2">
              <v:shape style="position:absolute;left:9552;top:1545;width:20;height:2" coordorigin="9552,1545" coordsize="20,0" path="m9552,1545l9571,1545e" filled="false" stroked="true" strokeweight=".47998pt" strokecolor="#000000">
                <v:path arrowok="t"/>
              </v:shape>
            </v:group>
            <v:group style="position:absolute;left:9571;top:1545;width:20;height:2" coordorigin="9571,1545" coordsize="20,2">
              <v:shape style="position:absolute;left:9571;top:1545;width:20;height:2" coordorigin="9571,1545" coordsize="20,0" path="m9571,1545l9590,1545e" filled="false" stroked="true" strokeweight=".47998pt" strokecolor="#000000">
                <v:path arrowok="t"/>
              </v:shape>
            </v:group>
            <v:group style="position:absolute;left:9590;top:1545;width:20;height:2" coordorigin="9590,1545" coordsize="20,2">
              <v:shape style="position:absolute;left:9590;top:1545;width:20;height:2" coordorigin="9590,1545" coordsize="20,0" path="m9590,1545l9609,1545e" filled="false" stroked="true" strokeweight=".47998pt" strokecolor="#000000">
                <v:path arrowok="t"/>
              </v:shape>
            </v:group>
            <v:group style="position:absolute;left:9609;top:1545;width:20;height:2" coordorigin="9609,1545" coordsize="20,2">
              <v:shape style="position:absolute;left:9609;top:1545;width:20;height:2" coordorigin="9609,1545" coordsize="20,0" path="m9609,1545l9628,1545e" filled="false" stroked="true" strokeweight=".47998pt" strokecolor="#000000">
                <v:path arrowok="t"/>
              </v:shape>
            </v:group>
            <v:group style="position:absolute;left:9628;top:1545;width:20;height:2" coordorigin="9628,1545" coordsize="20,2">
              <v:shape style="position:absolute;left:9628;top:1545;width:20;height:2" coordorigin="9628,1545" coordsize="20,0" path="m9628,1545l9648,1545e" filled="false" stroked="true" strokeweight=".47998pt" strokecolor="#000000">
                <v:path arrowok="t"/>
              </v:shape>
            </v:group>
            <v:group style="position:absolute;left:9648;top:1545;width:20;height:2" coordorigin="9648,1545" coordsize="20,2">
              <v:shape style="position:absolute;left:9648;top:1545;width:20;height:2" coordorigin="9648,1545" coordsize="20,0" path="m9648,1545l9667,1545e" filled="false" stroked="true" strokeweight=".47998pt" strokecolor="#000000">
                <v:path arrowok="t"/>
              </v:shape>
            </v:group>
            <v:group style="position:absolute;left:9667;top:1545;width:20;height:2" coordorigin="9667,1545" coordsize="20,2">
              <v:shape style="position:absolute;left:9667;top:1545;width:20;height:2" coordorigin="9667,1545" coordsize="20,0" path="m9667,1545l9686,1545e" filled="false" stroked="true" strokeweight=".47998pt" strokecolor="#000000">
                <v:path arrowok="t"/>
              </v:shape>
            </v:group>
            <v:group style="position:absolute;left:9686;top:1545;width:20;height:2" coordorigin="9686,1545" coordsize="20,2">
              <v:shape style="position:absolute;left:9686;top:1545;width:20;height:2" coordorigin="9686,1545" coordsize="20,0" path="m9686,1545l9705,1545e" filled="false" stroked="true" strokeweight=".47998pt" strokecolor="#000000">
                <v:path arrowok="t"/>
              </v:shape>
            </v:group>
            <v:group style="position:absolute;left:9705;top:1545;width:20;height:2" coordorigin="9705,1545" coordsize="20,2">
              <v:shape style="position:absolute;left:9705;top:1545;width:20;height:2" coordorigin="9705,1545" coordsize="20,0" path="m9705,1545l9724,1545e" filled="false" stroked="true" strokeweight=".47998pt" strokecolor="#000000">
                <v:path arrowok="t"/>
              </v:shape>
            </v:group>
            <v:group style="position:absolute;left:9724;top:1545;width:20;height:2" coordorigin="9724,1545" coordsize="20,2">
              <v:shape style="position:absolute;left:9724;top:1545;width:20;height:2" coordorigin="9724,1545" coordsize="20,0" path="m9724,1545l9744,1545e" filled="false" stroked="true" strokeweight=".47998pt" strokecolor="#000000">
                <v:path arrowok="t"/>
              </v:shape>
            </v:group>
            <v:group style="position:absolute;left:9744;top:1545;width:20;height:2" coordorigin="9744,1545" coordsize="20,2">
              <v:shape style="position:absolute;left:9744;top:1545;width:20;height:2" coordorigin="9744,1545" coordsize="20,0" path="m9744,1545l9763,1545e" filled="false" stroked="true" strokeweight=".47998pt" strokecolor="#000000">
                <v:path arrowok="t"/>
              </v:shape>
            </v:group>
            <v:group style="position:absolute;left:9763;top:1545;width:20;height:2" coordorigin="9763,1545" coordsize="20,2">
              <v:shape style="position:absolute;left:9763;top:1545;width:20;height:2" coordorigin="9763,1545" coordsize="20,0" path="m9763,1545l9782,1545e" filled="false" stroked="true" strokeweight=".47998pt" strokecolor="#000000">
                <v:path arrowok="t"/>
              </v:shape>
            </v:group>
            <v:group style="position:absolute;left:9782;top:1545;width:20;height:2" coordorigin="9782,1545" coordsize="20,2">
              <v:shape style="position:absolute;left:9782;top:1545;width:20;height:2" coordorigin="9782,1545" coordsize="20,0" path="m9782,1545l9801,1545e" filled="false" stroked="true" strokeweight=".47998pt" strokecolor="#000000">
                <v:path arrowok="t"/>
              </v:shape>
            </v:group>
            <v:group style="position:absolute;left:9801;top:1545;width:20;height:2" coordorigin="9801,1545" coordsize="20,2">
              <v:shape style="position:absolute;left:9801;top:1545;width:20;height:2" coordorigin="9801,1545" coordsize="20,0" path="m9801,1545l9820,1545e" filled="false" stroked="true" strokeweight=".47998pt" strokecolor="#000000">
                <v:path arrowok="t"/>
              </v:shape>
            </v:group>
            <v:group style="position:absolute;left:9820;top:1545;width:20;height:2" coordorigin="9820,1545" coordsize="20,2">
              <v:shape style="position:absolute;left:9820;top:1545;width:20;height:2" coordorigin="9820,1545" coordsize="20,0" path="m9820,1545l9840,1545e" filled="false" stroked="true" strokeweight=".47998pt" strokecolor="#000000">
                <v:path arrowok="t"/>
              </v:shape>
            </v:group>
            <v:group style="position:absolute;left:9840;top:1545;width:20;height:2" coordorigin="9840,1545" coordsize="20,2">
              <v:shape style="position:absolute;left:9840;top:1545;width:20;height:2" coordorigin="9840,1545" coordsize="20,0" path="m9840,1545l9859,1545e" filled="false" stroked="true" strokeweight=".47998pt" strokecolor="#000000">
                <v:path arrowok="t"/>
              </v:shape>
            </v:group>
            <v:group style="position:absolute;left:9859;top:1545;width:20;height:2" coordorigin="9859,1545" coordsize="20,2">
              <v:shape style="position:absolute;left:9859;top:1545;width:20;height:2" coordorigin="9859,1545" coordsize="20,0" path="m9859,1545l9878,1545e" filled="false" stroked="true" strokeweight=".47998pt" strokecolor="#000000">
                <v:path arrowok="t"/>
              </v:shape>
            </v:group>
            <v:group style="position:absolute;left:9878;top:1545;width:20;height:2" coordorigin="9878,1545" coordsize="20,2">
              <v:shape style="position:absolute;left:9878;top:1545;width:20;height:2" coordorigin="9878,1545" coordsize="20,0" path="m9878,1545l9897,1545e" filled="false" stroked="true" strokeweight=".47998pt" strokecolor="#000000">
                <v:path arrowok="t"/>
              </v:shape>
            </v:group>
            <v:group style="position:absolute;left:9897;top:1545;width:20;height:2" coordorigin="9897,1545" coordsize="20,2">
              <v:shape style="position:absolute;left:9897;top:1545;width:20;height:2" coordorigin="9897,1545" coordsize="20,0" path="m9897,1545l9916,1545e" filled="false" stroked="true" strokeweight=".47998pt" strokecolor="#000000">
                <v:path arrowok="t"/>
              </v:shape>
            </v:group>
            <v:group style="position:absolute;left:9916;top:1545;width:20;height:2" coordorigin="9916,1545" coordsize="20,2">
              <v:shape style="position:absolute;left:9916;top:1545;width:20;height:2" coordorigin="9916,1545" coordsize="20,0" path="m9916,1545l9936,1545e" filled="false" stroked="true" strokeweight=".47998pt" strokecolor="#000000">
                <v:path arrowok="t"/>
              </v:shape>
            </v:group>
            <v:group style="position:absolute;left:9936;top:1545;width:20;height:2" coordorigin="9936,1545" coordsize="20,2">
              <v:shape style="position:absolute;left:9936;top:1545;width:20;height:2" coordorigin="9936,1545" coordsize="20,0" path="m9936,1545l9955,1545e" filled="false" stroked="true" strokeweight=".47998pt" strokecolor="#000000">
                <v:path arrowok="t"/>
              </v:shape>
            </v:group>
            <v:group style="position:absolute;left:9955;top:1545;width:20;height:2" coordorigin="9955,1545" coordsize="20,2">
              <v:shape style="position:absolute;left:9955;top:1545;width:20;height:2" coordorigin="9955,1545" coordsize="20,0" path="m9955,1545l9974,1545e" filled="false" stroked="true" strokeweight=".47998pt" strokecolor="#000000">
                <v:path arrowok="t"/>
              </v:shape>
            </v:group>
            <v:group style="position:absolute;left:9974;top:1545;width:20;height:2" coordorigin="9974,1545" coordsize="20,2">
              <v:shape style="position:absolute;left:9974;top:1545;width:20;height:2" coordorigin="9974,1545" coordsize="20,0" path="m9974,1545l9993,1545e" filled="false" stroked="true" strokeweight=".47998pt" strokecolor="#000000">
                <v:path arrowok="t"/>
              </v:shape>
            </v:group>
            <v:group style="position:absolute;left:9993;top:1545;width:20;height:2" coordorigin="9993,1545" coordsize="20,2">
              <v:shape style="position:absolute;left:9993;top:1545;width:20;height:2" coordorigin="9993,1545" coordsize="20,0" path="m9993,1545l10012,1545e" filled="false" stroked="true" strokeweight=".47998pt" strokecolor="#000000">
                <v:path arrowok="t"/>
              </v:shape>
            </v:group>
            <v:group style="position:absolute;left:10012;top:1545;width:20;height:2" coordorigin="10012,1545" coordsize="20,2">
              <v:shape style="position:absolute;left:10012;top:1545;width:20;height:2" coordorigin="10012,1545" coordsize="20,0" path="m10012,1545l10032,1545e" filled="false" stroked="true" strokeweight=".47998pt" strokecolor="#000000">
                <v:path arrowok="t"/>
              </v:shape>
            </v:group>
            <v:group style="position:absolute;left:10032;top:1545;width:20;height:2" coordorigin="10032,1545" coordsize="20,2">
              <v:shape style="position:absolute;left:10032;top:1545;width:20;height:2" coordorigin="10032,1545" coordsize="20,0" path="m10032,1545l10051,1545e" filled="false" stroked="true" strokeweight=".47998pt" strokecolor="#000000">
                <v:path arrowok="t"/>
              </v:shape>
            </v:group>
            <v:group style="position:absolute;left:10051;top:1545;width:20;height:2" coordorigin="10051,1545" coordsize="20,2">
              <v:shape style="position:absolute;left:10051;top:1545;width:20;height:2" coordorigin="10051,1545" coordsize="20,0" path="m10051,1545l10070,1545e" filled="false" stroked="true" strokeweight=".47998pt" strokecolor="#000000">
                <v:path arrowok="t"/>
              </v:shape>
            </v:group>
            <v:group style="position:absolute;left:10070;top:1545;width:20;height:2" coordorigin="10070,1545" coordsize="20,2">
              <v:shape style="position:absolute;left:10070;top:1545;width:20;height:2" coordorigin="10070,1545" coordsize="20,0" path="m10070,1545l10089,1545e" filled="false" stroked="true" strokeweight=".47998pt" strokecolor="#000000">
                <v:path arrowok="t"/>
              </v:shape>
            </v:group>
            <v:group style="position:absolute;left:10089;top:1545;width:20;height:2" coordorigin="10089,1545" coordsize="20,2">
              <v:shape style="position:absolute;left:10089;top:1545;width:20;height:2" coordorigin="10089,1545" coordsize="20,0" path="m10089,1545l10108,1545e" filled="false" stroked="true" strokeweight=".47998pt" strokecolor="#000000">
                <v:path arrowok="t"/>
              </v:shape>
            </v:group>
            <v:group style="position:absolute;left:10108;top:1545;width:20;height:2" coordorigin="10108,1545" coordsize="20,2">
              <v:shape style="position:absolute;left:10108;top:1545;width:20;height:2" coordorigin="10108,1545" coordsize="20,0" path="m10108,1545l10128,1545e" filled="false" stroked="true" strokeweight=".47998pt" strokecolor="#000000">
                <v:path arrowok="t"/>
              </v:shape>
            </v:group>
            <v:group style="position:absolute;left:10128;top:1545;width:20;height:2" coordorigin="10128,1545" coordsize="20,2">
              <v:shape style="position:absolute;left:10128;top:1545;width:20;height:2" coordorigin="10128,1545" coordsize="20,0" path="m10128,1545l10147,1545e" filled="false" stroked="true" strokeweight=".47998pt" strokecolor="#000000">
                <v:path arrowok="t"/>
              </v:shape>
            </v:group>
            <v:group style="position:absolute;left:10147;top:1545;width:20;height:2" coordorigin="10147,1545" coordsize="20,2">
              <v:shape style="position:absolute;left:10147;top:1545;width:20;height:2" coordorigin="10147,1545" coordsize="20,0" path="m10147,1545l10166,1545e" filled="false" stroked="true" strokeweight=".47998pt" strokecolor="#000000">
                <v:path arrowok="t"/>
              </v:shape>
            </v:group>
            <v:group style="position:absolute;left:10166;top:1545;width:20;height:2" coordorigin="10166,1545" coordsize="20,2">
              <v:shape style="position:absolute;left:10166;top:1545;width:20;height:2" coordorigin="10166,1545" coordsize="20,0" path="m10166,1545l10185,1545e" filled="false" stroked="true" strokeweight=".47998pt" strokecolor="#000000">
                <v:path arrowok="t"/>
              </v:shape>
            </v:group>
            <v:group style="position:absolute;left:10185;top:1545;width:20;height:2" coordorigin="10185,1545" coordsize="20,2">
              <v:shape style="position:absolute;left:10185;top:1545;width:20;height:2" coordorigin="10185,1545" coordsize="20,0" path="m10185,1545l10204,1545e" filled="false" stroked="true" strokeweight=".47998pt" strokecolor="#000000">
                <v:path arrowok="t"/>
              </v:shape>
            </v:group>
            <v:group style="position:absolute;left:10204;top:1545;width:20;height:2" coordorigin="10204,1545" coordsize="20,2">
              <v:shape style="position:absolute;left:10204;top:1545;width:20;height:2" coordorigin="10204,1545" coordsize="20,0" path="m10204,1545l10224,1545e" filled="false" stroked="true" strokeweight=".47998pt" strokecolor="#000000">
                <v:path arrowok="t"/>
              </v:shape>
            </v:group>
            <v:group style="position:absolute;left:10224;top:1545;width:20;height:2" coordorigin="10224,1545" coordsize="20,2">
              <v:shape style="position:absolute;left:10224;top:1545;width:20;height:2" coordorigin="10224,1545" coordsize="20,0" path="m10224,1545l10243,1545e" filled="false" stroked="true" strokeweight=".47998pt" strokecolor="#000000">
                <v:path arrowok="t"/>
              </v:shape>
            </v:group>
            <v:group style="position:absolute;left:10243;top:1545;width:20;height:2" coordorigin="10243,1545" coordsize="20,2">
              <v:shape style="position:absolute;left:10243;top:1545;width:20;height:2" coordorigin="10243,1545" coordsize="20,0" path="m10243,1545l10262,1545e" filled="false" stroked="true" strokeweight=".47998pt" strokecolor="#000000">
                <v:path arrowok="t"/>
              </v:shape>
            </v:group>
            <v:group style="position:absolute;left:10262;top:1545;width:20;height:2" coordorigin="10262,1545" coordsize="20,2">
              <v:shape style="position:absolute;left:10262;top:1545;width:20;height:2" coordorigin="10262,1545" coordsize="20,0" path="m10262,1545l10281,1545e" filled="false" stroked="true" strokeweight=".47998pt" strokecolor="#000000">
                <v:path arrowok="t"/>
              </v:shape>
            </v:group>
            <v:group style="position:absolute;left:10281;top:1545;width:20;height:2" coordorigin="10281,1545" coordsize="20,2">
              <v:shape style="position:absolute;left:10281;top:1545;width:20;height:2" coordorigin="10281,1545" coordsize="20,0" path="m10281,1545l10300,1545e" filled="false" stroked="true" strokeweight=".47998pt" strokecolor="#000000">
                <v:path arrowok="t"/>
              </v:shape>
            </v:group>
            <v:group style="position:absolute;left:10300;top:1545;width:20;height:2" coordorigin="10300,1545" coordsize="20,2">
              <v:shape style="position:absolute;left:10300;top:1545;width:20;height:2" coordorigin="10300,1545" coordsize="20,0" path="m10300,1545l10320,1545e" filled="false" stroked="true" strokeweight=".47998pt" strokecolor="#000000">
                <v:path arrowok="t"/>
              </v:shape>
            </v:group>
            <v:group style="position:absolute;left:10320;top:1545;width:20;height:2" coordorigin="10320,1545" coordsize="20,2">
              <v:shape style="position:absolute;left:10320;top:1545;width:20;height:2" coordorigin="10320,1545" coordsize="20,0" path="m10320,1545l10339,1545e" filled="false" stroked="true" strokeweight=".47998pt" strokecolor="#000000">
                <v:path arrowok="t"/>
              </v:shape>
            </v:group>
            <v:group style="position:absolute;left:10339;top:1545;width:20;height:2" coordorigin="10339,1545" coordsize="20,2">
              <v:shape style="position:absolute;left:10339;top:1545;width:20;height:2" coordorigin="10339,1545" coordsize="20,0" path="m10339,1545l10358,1545e" filled="false" stroked="true" strokeweight=".47998pt" strokecolor="#000000">
                <v:path arrowok="t"/>
              </v:shape>
            </v:group>
            <v:group style="position:absolute;left:10358;top:1545;width:20;height:2" coordorigin="10358,1545" coordsize="20,2">
              <v:shape style="position:absolute;left:10358;top:1545;width:20;height:2" coordorigin="10358,1545" coordsize="20,0" path="m10358,1545l10377,1545e" filled="false" stroked="true" strokeweight=".47998pt" strokecolor="#000000">
                <v:path arrowok="t"/>
              </v:shape>
            </v:group>
            <v:group style="position:absolute;left:10377;top:1545;width:20;height:2" coordorigin="10377,1545" coordsize="20,2">
              <v:shape style="position:absolute;left:10377;top:1545;width:20;height:2" coordorigin="10377,1545" coordsize="20,0" path="m10377,1545l10396,1545e" filled="false" stroked="true" strokeweight=".47998pt" strokecolor="#000000">
                <v:path arrowok="t"/>
              </v:shape>
            </v:group>
            <v:group style="position:absolute;left:10396;top:1545;width:20;height:2" coordorigin="10396,1545" coordsize="20,2">
              <v:shape style="position:absolute;left:10396;top:1545;width:20;height:2" coordorigin="10396,1545" coordsize="20,0" path="m10396,1545l10416,1545e" filled="false" stroked="true" strokeweight=".47998pt" strokecolor="#000000">
                <v:path arrowok="t"/>
              </v:shape>
            </v:group>
            <v:group style="position:absolute;left:10416;top:1545;width:20;height:2" coordorigin="10416,1545" coordsize="20,2">
              <v:shape style="position:absolute;left:10416;top:1545;width:20;height:2" coordorigin="10416,1545" coordsize="20,0" path="m10416,1545l10435,1545e" filled="false" stroked="true" strokeweight=".47998pt" strokecolor="#000000">
                <v:path arrowok="t"/>
              </v:shape>
            </v:group>
            <v:group style="position:absolute;left:10435;top:1545;width:20;height:2" coordorigin="10435,1545" coordsize="20,2">
              <v:shape style="position:absolute;left:10435;top:1545;width:20;height:2" coordorigin="10435,1545" coordsize="20,0" path="m10435,1545l10454,1545e" filled="false" stroked="true" strokeweight=".47998pt" strokecolor="#000000">
                <v:path arrowok="t"/>
              </v:shape>
            </v:group>
            <v:group style="position:absolute;left:10454;top:1545;width:20;height:2" coordorigin="10454,1545" coordsize="20,2">
              <v:shape style="position:absolute;left:10454;top:1545;width:20;height:2" coordorigin="10454,1545" coordsize="20,0" path="m10454,1545l10473,1545e" filled="false" stroked="true" strokeweight=".47998pt" strokecolor="#000000">
                <v:path arrowok="t"/>
              </v:shape>
            </v:group>
            <v:group style="position:absolute;left:10473;top:1545;width:20;height:2" coordorigin="10473,1545" coordsize="20,2">
              <v:shape style="position:absolute;left:10473;top:1545;width:20;height:2" coordorigin="10473,1545" coordsize="20,0" path="m10473,1545l10492,1545e" filled="false" stroked="true" strokeweight=".47998pt" strokecolor="#000000">
                <v:path arrowok="t"/>
              </v:shape>
            </v:group>
            <v:group style="position:absolute;left:10492;top:1545;width:20;height:2" coordorigin="10492,1545" coordsize="20,2">
              <v:shape style="position:absolute;left:10492;top:1545;width:20;height:2" coordorigin="10492,1545" coordsize="20,0" path="m10492,1545l10512,1545e" filled="false" stroked="true" strokeweight=".47998pt" strokecolor="#000000">
                <v:path arrowok="t"/>
              </v:shape>
            </v:group>
            <v:group style="position:absolute;left:10512;top:1545;width:20;height:2" coordorigin="10512,1545" coordsize="20,2">
              <v:shape style="position:absolute;left:10512;top:1545;width:20;height:2" coordorigin="10512,1545" coordsize="20,0" path="m10512,1545l10531,1545e" filled="false" stroked="true" strokeweight=".47998pt" strokecolor="#000000">
                <v:path arrowok="t"/>
              </v:shape>
            </v:group>
            <v:group style="position:absolute;left:10531;top:1545;width:20;height:2" coordorigin="10531,1545" coordsize="20,2">
              <v:shape style="position:absolute;left:10531;top:1545;width:20;height:2" coordorigin="10531,1545" coordsize="20,0" path="m10531,1545l10550,1545e" filled="false" stroked="true" strokeweight=".47998pt" strokecolor="#000000">
                <v:path arrowok="t"/>
              </v:shape>
            </v:group>
            <v:group style="position:absolute;left:10550;top:1545;width:20;height:2" coordorigin="10550,1545" coordsize="20,2">
              <v:shape style="position:absolute;left:10550;top:1545;width:20;height:2" coordorigin="10550,1545" coordsize="20,0" path="m10550,1545l10569,1545e" filled="false" stroked="true" strokeweight=".47998pt" strokecolor="#000000">
                <v:path arrowok="t"/>
              </v:shape>
            </v:group>
            <v:group style="position:absolute;left:10569;top:1545;width:20;height:2" coordorigin="10569,1545" coordsize="20,2">
              <v:shape style="position:absolute;left:10569;top:1545;width:20;height:2" coordorigin="10569,1545" coordsize="20,0" path="m10569,1545l10588,1545e" filled="false" stroked="true" strokeweight=".47998pt" strokecolor="#000000">
                <v:path arrowok="t"/>
              </v:shape>
            </v:group>
            <v:group style="position:absolute;left:10588;top:1545;width:20;height:2" coordorigin="10588,1545" coordsize="20,2">
              <v:shape style="position:absolute;left:10588;top:1545;width:20;height:2" coordorigin="10588,1545" coordsize="20,0" path="m10588,1545l10608,1545e" filled="false" stroked="true" strokeweight=".47998pt" strokecolor="#000000">
                <v:path arrowok="t"/>
              </v:shape>
            </v:group>
            <v:group style="position:absolute;left:10608;top:1545;width:20;height:2" coordorigin="10608,1545" coordsize="20,2">
              <v:shape style="position:absolute;left:10608;top:1545;width:20;height:2" coordorigin="10608,1545" coordsize="20,0" path="m10608,1545l10627,1545e" filled="false" stroked="true" strokeweight=".47998pt" strokecolor="#000000">
                <v:path arrowok="t"/>
              </v:shape>
            </v:group>
            <v:group style="position:absolute;left:10627;top:1545;width:20;height:2" coordorigin="10627,1545" coordsize="20,2">
              <v:shape style="position:absolute;left:10627;top:1545;width:20;height:2" coordorigin="10627,1545" coordsize="20,0" path="m10627,1545l10646,1545e" filled="false" stroked="true" strokeweight=".47998pt" strokecolor="#000000">
                <v:path arrowok="t"/>
              </v:shape>
            </v:group>
            <v:group style="position:absolute;left:10646;top:1545;width:20;height:2" coordorigin="10646,1545" coordsize="20,2">
              <v:shape style="position:absolute;left:10646;top:1545;width:20;height:2" coordorigin="10646,1545" coordsize="20,0" path="m10646,1545l10665,1545e" filled="false" stroked="true" strokeweight=".47998pt" strokecolor="#000000">
                <v:path arrowok="t"/>
              </v:shape>
            </v:group>
            <v:group style="position:absolute;left:10665;top:1545;width:20;height:2" coordorigin="10665,1545" coordsize="20,2">
              <v:shape style="position:absolute;left:10665;top:1545;width:20;height:2" coordorigin="10665,1545" coordsize="20,0" path="m10665,1545l10684,1545e" filled="false" stroked="true" strokeweight=".47998pt" strokecolor="#000000">
                <v:path arrowok="t"/>
              </v:shape>
            </v:group>
            <v:group style="position:absolute;left:10684;top:1545;width:20;height:2" coordorigin="10684,1545" coordsize="20,2">
              <v:shape style="position:absolute;left:10684;top:1545;width:20;height:2" coordorigin="10684,1545" coordsize="20,0" path="m10684,1545l10704,1545e" filled="false" stroked="true" strokeweight=".47998pt" strokecolor="#000000">
                <v:path arrowok="t"/>
              </v:shape>
            </v:group>
            <v:group style="position:absolute;left:10704;top:1545;width:20;height:2" coordorigin="10704,1545" coordsize="20,2">
              <v:shape style="position:absolute;left:10704;top:1545;width:20;height:2" coordorigin="10704,1545" coordsize="20,0" path="m10704,1545l10723,1545e" filled="false" stroked="true" strokeweight=".47998pt" strokecolor="#000000">
                <v:path arrowok="t"/>
              </v:shape>
            </v:group>
            <v:group style="position:absolute;left:10723;top:1545;width:20;height:2" coordorigin="10723,1545" coordsize="20,2">
              <v:shape style="position:absolute;left:10723;top:1545;width:20;height:2" coordorigin="10723,1545" coordsize="20,0" path="m10723,1545l10742,1545e" filled="false" stroked="true" strokeweight=".47998pt" strokecolor="#000000">
                <v:path arrowok="t"/>
              </v:shape>
            </v:group>
            <v:group style="position:absolute;left:10742;top:1545;width:20;height:2" coordorigin="10742,1545" coordsize="20,2">
              <v:shape style="position:absolute;left:10742;top:1545;width:20;height:2" coordorigin="10742,1545" coordsize="20,0" path="m10742,1545l10761,1545e" filled="false" stroked="true" strokeweight=".47998pt" strokecolor="#000000">
                <v:path arrowok="t"/>
              </v:shape>
            </v:group>
            <v:group style="position:absolute;left:10761;top:1545;width:20;height:2" coordorigin="10761,1545" coordsize="20,2">
              <v:shape style="position:absolute;left:10761;top:1545;width:20;height:2" coordorigin="10761,1545" coordsize="20,0" path="m10761,1545l10780,1545e" filled="false" stroked="true" strokeweight=".47998pt" strokecolor="#000000">
                <v:path arrowok="t"/>
              </v:shape>
            </v:group>
            <v:group style="position:absolute;left:10780;top:1545;width:20;height:2" coordorigin="10780,1545" coordsize="20,2">
              <v:shape style="position:absolute;left:10780;top:1545;width:20;height:2" coordorigin="10780,1545" coordsize="20,0" path="m10780,1545l10800,1545e" filled="false" stroked="true" strokeweight=".47998pt" strokecolor="#000000">
                <v:path arrowok="t"/>
              </v:shape>
            </v:group>
            <v:group style="position:absolute;left:10800;top:1545;width:20;height:2" coordorigin="10800,1545" coordsize="20,2">
              <v:shape style="position:absolute;left:10800;top:1545;width:20;height:2" coordorigin="10800,1545" coordsize="20,0" path="m10800,1545l10819,1545e" filled="false" stroked="true" strokeweight=".47998pt" strokecolor="#000000">
                <v:path arrowok="t"/>
              </v:shape>
            </v:group>
            <v:group style="position:absolute;left:10819;top:1545;width:20;height:2" coordorigin="10819,1545" coordsize="20,2">
              <v:shape style="position:absolute;left:10819;top:1545;width:20;height:2" coordorigin="10819,1545" coordsize="20,0" path="m10819,1545l10838,1545e" filled="false" stroked="true" strokeweight=".47998pt" strokecolor="#000000">
                <v:path arrowok="t"/>
              </v:shape>
            </v:group>
            <v:group style="position:absolute;left:10838;top:1545;width:20;height:2" coordorigin="10838,1545" coordsize="20,2">
              <v:shape style="position:absolute;left:10838;top:1545;width:20;height:2" coordorigin="10838,1545" coordsize="20,0" path="m10838,1545l10857,1545e" filled="false" stroked="true" strokeweight=".47998pt" strokecolor="#000000">
                <v:path arrowok="t"/>
              </v:shape>
            </v:group>
            <v:group style="position:absolute;left:10857;top:1545;width:20;height:2" coordorigin="10857,1545" coordsize="20,2">
              <v:shape style="position:absolute;left:10857;top:1545;width:20;height:2" coordorigin="10857,1545" coordsize="20,0" path="m10857,1545l10876,1545e" filled="false" stroked="true" strokeweight=".47998pt" strokecolor="#000000">
                <v:path arrowok="t"/>
              </v:shape>
            </v:group>
            <v:group style="position:absolute;left:10876;top:1545;width:5;height:2" coordorigin="10876,1545" coordsize="5,2">
              <v:shape style="position:absolute;left:10876;top:1545;width:5;height:2" coordorigin="10876,1545" coordsize="5,0" path="m10876,1545l10881,1545e" filled="false" stroked="true" strokeweight=".47998pt" strokecolor="#000000">
                <v:path arrowok="t"/>
              </v:shape>
            </v:group>
            <v:group style="position:absolute;left:6373;top:1550;width:10;height:20" coordorigin="6373,1550" coordsize="10,20">
              <v:shape style="position:absolute;left:6373;top:1550;width:10;height:20" coordorigin="6373,1550" coordsize="10,20" path="m6373,1569l6383,1569,6383,1550,6373,1550,6373,1569xe" filled="true" fillcolor="#000000" stroked="false">
                <v:path arrowok="t"/>
                <v:fill type="solid"/>
              </v:shape>
            </v:group>
            <v:group style="position:absolute;left:6373;top:1569;width:10;height:20" coordorigin="6373,1569" coordsize="10,20">
              <v:shape style="position:absolute;left:6373;top:1569;width:10;height:20" coordorigin="6373,1569" coordsize="10,20" path="m6373,1588l6383,1588,6383,1569,6373,1569,6373,1588xe" filled="true" fillcolor="#000000" stroked="false">
                <v:path arrowok="t"/>
                <v:fill type="solid"/>
              </v:shape>
            </v:group>
            <v:group style="position:absolute;left:6373;top:1588;width:10;height:20" coordorigin="6373,1588" coordsize="10,20">
              <v:shape style="position:absolute;left:6373;top:1588;width:10;height:20" coordorigin="6373,1588" coordsize="10,20" path="m6373,1607l6383,1607,6383,1588,6373,1588,6373,1607xe" filled="true" fillcolor="#000000" stroked="false">
                <v:path arrowok="t"/>
                <v:fill type="solid"/>
              </v:shape>
            </v:group>
            <v:group style="position:absolute;left:6373;top:1607;width:10;height:20" coordorigin="6373,1607" coordsize="10,20">
              <v:shape style="position:absolute;left:6373;top:1607;width:10;height:20" coordorigin="6373,1607" coordsize="10,20" path="m6373,1626l6383,1626,6383,1607,6373,1607,6373,1626xe" filled="true" fillcolor="#000000" stroked="false">
                <v:path arrowok="t"/>
                <v:fill type="solid"/>
              </v:shape>
            </v:group>
            <v:group style="position:absolute;left:6373;top:1626;width:10;height:20" coordorigin="6373,1626" coordsize="10,20">
              <v:shape style="position:absolute;left:6373;top:1626;width:10;height:20" coordorigin="6373,1626" coordsize="10,20" path="m6373,1646l6383,1646,6383,1626,6373,1626,6373,1646xe" filled="true" fillcolor="#000000" stroked="false">
                <v:path arrowok="t"/>
                <v:fill type="solid"/>
              </v:shape>
            </v:group>
            <v:group style="position:absolute;left:6373;top:1646;width:10;height:20" coordorigin="6373,1646" coordsize="10,20">
              <v:shape style="position:absolute;left:6373;top:1646;width:10;height:20" coordorigin="6373,1646" coordsize="10,20" path="m6373,1665l6383,1665,6383,1646,6373,1646,6373,1665xe" filled="true" fillcolor="#000000" stroked="false">
                <v:path arrowok="t"/>
                <v:fill type="solid"/>
              </v:shape>
            </v:group>
            <v:group style="position:absolute;left:6373;top:1665;width:10;height:20" coordorigin="6373,1665" coordsize="10,20">
              <v:shape style="position:absolute;left:6373;top:1665;width:10;height:20" coordorigin="6373,1665" coordsize="10,20" path="m6373,1684l6383,1684,6383,1665,6373,1665,6373,1684xe" filled="true" fillcolor="#000000" stroked="false">
                <v:path arrowok="t"/>
                <v:fill type="solid"/>
              </v:shape>
            </v:group>
            <v:group style="position:absolute;left:6373;top:1684;width:10;height:20" coordorigin="6373,1684" coordsize="10,20">
              <v:shape style="position:absolute;left:6373;top:1684;width:10;height:20" coordorigin="6373,1684" coordsize="10,20" path="m6373,1703l6383,1703,6383,1684,6373,1684,6373,1703xe" filled="true" fillcolor="#000000" stroked="false">
                <v:path arrowok="t"/>
                <v:fill type="solid"/>
              </v:shape>
            </v:group>
            <v:group style="position:absolute;left:6373;top:1703;width:10;height:20" coordorigin="6373,1703" coordsize="10,20">
              <v:shape style="position:absolute;left:6373;top:1703;width:10;height:20" coordorigin="6373,1703" coordsize="10,20" path="m6373,1722l6383,1722,6383,1703,6373,1703,6373,1722xe" filled="true" fillcolor="#000000" stroked="false">
                <v:path arrowok="t"/>
                <v:fill type="solid"/>
              </v:shape>
            </v:group>
            <v:group style="position:absolute;left:6373;top:1722;width:10;height:20" coordorigin="6373,1722" coordsize="10,20">
              <v:shape style="position:absolute;left:6373;top:1722;width:10;height:20" coordorigin="6373,1722" coordsize="10,20" path="m6373,1742l6383,1742,6383,1722,6373,1722,6373,1742xe" filled="true" fillcolor="#000000" stroked="false">
                <v:path arrowok="t"/>
                <v:fill type="solid"/>
              </v:shape>
            </v:group>
            <v:group style="position:absolute;left:6373;top:1742;width:10;height:20" coordorigin="6373,1742" coordsize="10,20">
              <v:shape style="position:absolute;left:6373;top:1742;width:10;height:20" coordorigin="6373,1742" coordsize="10,20" path="m6373,1761l6383,1761,6383,1742,6373,1742,6373,1761xe" filled="true" fillcolor="#000000" stroked="false">
                <v:path arrowok="t"/>
                <v:fill type="solid"/>
              </v:shape>
            </v:group>
            <v:group style="position:absolute;left:6373;top:1761;width:10;height:20" coordorigin="6373,1761" coordsize="10,20">
              <v:shape style="position:absolute;left:6373;top:1761;width:10;height:20" coordorigin="6373,1761" coordsize="10,20" path="m6373,1780l6383,1780,6383,1761,6373,1761,6373,1780xe" filled="true" fillcolor="#000000" stroked="false">
                <v:path arrowok="t"/>
                <v:fill type="solid"/>
              </v:shape>
            </v:group>
            <v:group style="position:absolute;left:6373;top:1780;width:10;height:20" coordorigin="6373,1780" coordsize="10,20">
              <v:shape style="position:absolute;left:6373;top:1780;width:10;height:20" coordorigin="6373,1780" coordsize="10,20" path="m6373,1799l6383,1799,6383,1780,6373,1780,6373,1799xe" filled="true" fillcolor="#000000" stroked="false">
                <v:path arrowok="t"/>
                <v:fill type="solid"/>
              </v:shape>
            </v:group>
            <v:group style="position:absolute;left:6373;top:1799;width:10;height:20" coordorigin="6373,1799" coordsize="10,20">
              <v:shape style="position:absolute;left:6373;top:1799;width:10;height:20" coordorigin="6373,1799" coordsize="10,20" path="m6373,1818l6383,1818,6383,1799,6373,1799,6373,1818xe" filled="true" fillcolor="#000000" stroked="false">
                <v:path arrowok="t"/>
                <v:fill type="solid"/>
              </v:shape>
            </v:group>
            <v:group style="position:absolute;left:6373;top:1818;width:10;height:20" coordorigin="6373,1818" coordsize="10,20">
              <v:shape style="position:absolute;left:6373;top:1818;width:10;height:20" coordorigin="6373,1818" coordsize="10,20" path="m6373,1838l6383,1838,6383,1818,6373,1818,6373,1838xe" filled="true" fillcolor="#000000" stroked="false">
                <v:path arrowok="t"/>
                <v:fill type="solid"/>
              </v:shape>
            </v:group>
            <v:group style="position:absolute;left:6373;top:1838;width:10;height:20" coordorigin="6373,1838" coordsize="10,20">
              <v:shape style="position:absolute;left:6373;top:1838;width:10;height:20" coordorigin="6373,1838" coordsize="10,20" path="m6373,1857l6383,1857,6383,1838,6373,1838,6373,1857xe" filled="true" fillcolor="#000000" stroked="false">
                <v:path arrowok="t"/>
                <v:fill type="solid"/>
              </v:shape>
            </v:group>
            <v:group style="position:absolute;left:6373;top:1857;width:10;height:20" coordorigin="6373,1857" coordsize="10,20">
              <v:shape style="position:absolute;left:6373;top:1857;width:10;height:20" coordorigin="6373,1857" coordsize="10,20" path="m6373,1876l6383,1876,6383,1857,6373,1857,6373,1876xe" filled="true" fillcolor="#000000" stroked="false">
                <v:path arrowok="t"/>
                <v:fill type="solid"/>
              </v:shape>
            </v:group>
            <v:group style="position:absolute;left:6373;top:1876;width:10;height:20" coordorigin="6373,1876" coordsize="10,20">
              <v:shape style="position:absolute;left:6373;top:1876;width:10;height:20" coordorigin="6373,1876" coordsize="10,20" path="m6373,1895l6383,1895,6383,1876,6373,1876,6373,1895xe" filled="true" fillcolor="#000000" stroked="false">
                <v:path arrowok="t"/>
                <v:fill type="solid"/>
              </v:shape>
            </v:group>
            <v:group style="position:absolute;left:6373;top:1895;width:10;height:20" coordorigin="6373,1895" coordsize="10,20">
              <v:shape style="position:absolute;left:6373;top:1895;width:10;height:20" coordorigin="6373,1895" coordsize="10,20" path="m6373,1914l6383,1914,6383,1895,6373,1895,6373,1914xe" filled="true" fillcolor="#000000" stroked="false">
                <v:path arrowok="t"/>
                <v:fill type="solid"/>
              </v:shape>
            </v:group>
            <v:group style="position:absolute;left:6373;top:1914;width:10;height:20" coordorigin="6373,1914" coordsize="10,20">
              <v:shape style="position:absolute;left:6373;top:1914;width:10;height:20" coordorigin="6373,1914" coordsize="10,20" path="m6373,1934l6383,1934,6383,1914,6373,1914,6373,1934xe" filled="true" fillcolor="#000000" stroked="false">
                <v:path arrowok="t"/>
                <v:fill type="solid"/>
              </v:shape>
            </v:group>
            <v:group style="position:absolute;left:6373;top:1934;width:10;height:20" coordorigin="6373,1934" coordsize="10,20">
              <v:shape style="position:absolute;left:6373;top:1934;width:10;height:20" coordorigin="6373,1934" coordsize="10,20" path="m6373,1953l6383,1953,6383,1934,6373,1934,6373,1953xe" filled="true" fillcolor="#000000" stroked="false">
                <v:path arrowok="t"/>
                <v:fill type="solid"/>
              </v:shape>
            </v:group>
            <v:group style="position:absolute;left:6373;top:1953;width:10;height:20" coordorigin="6373,1953" coordsize="10,20">
              <v:shape style="position:absolute;left:6373;top:1953;width:10;height:20" coordorigin="6373,1953" coordsize="10,20" path="m6373,1972l6383,1972,6383,1953,6373,1953,6373,1972xe" filled="true" fillcolor="#000000" stroked="false">
                <v:path arrowok="t"/>
                <v:fill type="solid"/>
              </v:shape>
            </v:group>
            <v:group style="position:absolute;left:6373;top:1972;width:10;height:20" coordorigin="6373,1972" coordsize="10,20">
              <v:shape style="position:absolute;left:6373;top:1972;width:10;height:20" coordorigin="6373,1972" coordsize="10,20" path="m6373,1992l6383,1992,6383,1972,6373,1972,6373,1992xe" filled="true" fillcolor="#000000" stroked="false">
                <v:path arrowok="t"/>
                <v:fill type="solid"/>
              </v:shape>
            </v:group>
            <v:group style="position:absolute;left:6373;top:1992;width:10;height:20" coordorigin="6373,1992" coordsize="10,20">
              <v:shape style="position:absolute;left:6373;top:1992;width:10;height:20" coordorigin="6373,1992" coordsize="10,20" path="m6373,2011l6383,2011,6383,1992,6373,1992,6373,2011xe" filled="true" fillcolor="#000000" stroked="false">
                <v:path arrowok="t"/>
                <v:fill type="solid"/>
              </v:shape>
            </v:group>
            <v:group style="position:absolute;left:6373;top:2011;width:10;height:20" coordorigin="6373,2011" coordsize="10,20">
              <v:shape style="position:absolute;left:6373;top:2011;width:10;height:20" coordorigin="6373,2011" coordsize="10,20" path="m6373,2030l6383,2030,6383,2011,6373,2011,6373,2030xe" filled="true" fillcolor="#000000" stroked="false">
                <v:path arrowok="t"/>
                <v:fill type="solid"/>
              </v:shape>
            </v:group>
            <v:group style="position:absolute;left:6373;top:2030;width:10;height:20" coordorigin="6373,2030" coordsize="10,20">
              <v:shape style="position:absolute;left:6373;top:2030;width:10;height:20" coordorigin="6373,2030" coordsize="10,20" path="m6373,2049l6383,2049,6383,2030,6373,2030,6373,2049xe" filled="true" fillcolor="#000000" stroked="false">
                <v:path arrowok="t"/>
                <v:fill type="solid"/>
              </v:shape>
            </v:group>
            <v:group style="position:absolute;left:6373;top:2049;width:10;height:20" coordorigin="6373,2049" coordsize="10,20">
              <v:shape style="position:absolute;left:6373;top:2049;width:10;height:20" coordorigin="6373,2049" coordsize="10,20" path="m6373,2068l6383,2068,6383,2049,6373,2049,6373,2068xe" filled="true" fillcolor="#000000" stroked="false">
                <v:path arrowok="t"/>
                <v:fill type="solid"/>
              </v:shape>
            </v:group>
            <v:group style="position:absolute;left:6373;top:2068;width:10;height:20" coordorigin="6373,2068" coordsize="10,20">
              <v:shape style="position:absolute;left:6373;top:2068;width:10;height:20" coordorigin="6373,2068" coordsize="10,20" path="m6373,2088l6383,2088,6383,2068,6373,2068,6373,2088xe" filled="true" fillcolor="#000000" stroked="false">
                <v:path arrowok="t"/>
                <v:fill type="solid"/>
              </v:shape>
            </v:group>
            <v:group style="position:absolute;left:6373;top:2088;width:10;height:20" coordorigin="6373,2088" coordsize="10,20">
              <v:shape style="position:absolute;left:6373;top:2088;width:10;height:20" coordorigin="6373,2088" coordsize="10,20" path="m6373,2107l6383,2107,6383,2088,6373,2088,6373,2107xe" filled="true" fillcolor="#000000" stroked="false">
                <v:path arrowok="t"/>
                <v:fill type="solid"/>
              </v:shape>
            </v:group>
            <v:group style="position:absolute;left:6373;top:2107;width:10;height:20" coordorigin="6373,2107" coordsize="10,20">
              <v:shape style="position:absolute;left:6373;top:2107;width:10;height:20" coordorigin="6373,2107" coordsize="10,20" path="m6373,2126l6383,2126,6383,2107,6373,2107,6373,2126xe" filled="true" fillcolor="#000000" stroked="false">
                <v:path arrowok="t"/>
                <v:fill type="solid"/>
              </v:shape>
            </v:group>
            <v:group style="position:absolute;left:6373;top:2126;width:10;height:20" coordorigin="6373,2126" coordsize="10,20">
              <v:shape style="position:absolute;left:6373;top:2126;width:10;height:20" coordorigin="6373,2126" coordsize="10,20" path="m6373,2145l6383,2145,6383,2126,6373,2126,6373,2145xe" filled="true" fillcolor="#000000" stroked="false">
                <v:path arrowok="t"/>
                <v:fill type="solid"/>
              </v:shape>
            </v:group>
            <v:group style="position:absolute;left:6373;top:2145;width:10;height:20" coordorigin="6373,2145" coordsize="10,20">
              <v:shape style="position:absolute;left:6373;top:2145;width:10;height:20" coordorigin="6373,2145" coordsize="10,20" path="m6373,2164l6383,2164,6383,2145,6373,2145,6373,2164xe" filled="true" fillcolor="#000000" stroked="false">
                <v:path arrowok="t"/>
                <v:fill type="solid"/>
              </v:shape>
            </v:group>
            <v:group style="position:absolute;left:6373;top:2164;width:10;height:20" coordorigin="6373,2164" coordsize="10,20">
              <v:shape style="position:absolute;left:6373;top:2164;width:10;height:20" coordorigin="6373,2164" coordsize="10,20" path="m6373,2184l6383,2184,6383,2164,6373,2164,6373,2184xe" filled="true" fillcolor="#000000" stroked="false">
                <v:path arrowok="t"/>
                <v:fill type="solid"/>
              </v:shape>
            </v:group>
            <v:group style="position:absolute;left:6373;top:2184;width:10;height:20" coordorigin="6373,2184" coordsize="10,20">
              <v:shape style="position:absolute;left:6373;top:2184;width:10;height:20" coordorigin="6373,2184" coordsize="10,20" path="m6373,2203l6383,2203,6383,2184,6373,2184,6373,2203xe" filled="true" fillcolor="#000000" stroked="false">
                <v:path arrowok="t"/>
                <v:fill type="solid"/>
              </v:shape>
            </v:group>
            <v:group style="position:absolute;left:6373;top:2203;width:10;height:20" coordorigin="6373,2203" coordsize="10,20">
              <v:shape style="position:absolute;left:6373;top:2203;width:10;height:20" coordorigin="6373,2203" coordsize="10,20" path="m6373,2222l6383,2222,6383,2203,6373,2203,6373,2222xe" filled="true" fillcolor="#000000" stroked="false">
                <v:path arrowok="t"/>
                <v:fill type="solid"/>
              </v:shape>
            </v:group>
            <v:group style="position:absolute;left:6373;top:2222;width:10;height:20" coordorigin="6373,2222" coordsize="10,20">
              <v:shape style="position:absolute;left:6373;top:2222;width:10;height:20" coordorigin="6373,2222" coordsize="10,20" path="m6373,2241l6383,2241,6383,2222,6373,2222,6373,2241xe" filled="true" fillcolor="#000000" stroked="false">
                <v:path arrowok="t"/>
                <v:fill type="solid"/>
              </v:shape>
            </v:group>
            <v:group style="position:absolute;left:6373;top:2241;width:10;height:20" coordorigin="6373,2241" coordsize="10,20">
              <v:shape style="position:absolute;left:6373;top:2241;width:10;height:20" coordorigin="6373,2241" coordsize="10,20" path="m6373,2260l6383,2260,6383,2241,6373,2241,6373,2260xe" filled="true" fillcolor="#000000" stroked="false">
                <v:path arrowok="t"/>
                <v:fill type="solid"/>
              </v:shape>
            </v:group>
            <v:group style="position:absolute;left:6373;top:2260;width:10;height:20" coordorigin="6373,2260" coordsize="10,20">
              <v:shape style="position:absolute;left:6373;top:2260;width:10;height:20" coordorigin="6373,2260" coordsize="10,20" path="m6373,2280l6383,2280,6383,2260,6373,2260,6373,2280xe" filled="true" fillcolor="#000000" stroked="false">
                <v:path arrowok="t"/>
                <v:fill type="solid"/>
              </v:shape>
            </v:group>
            <v:group style="position:absolute;left:6373;top:2280;width:10;height:20" coordorigin="6373,2280" coordsize="10,20">
              <v:shape style="position:absolute;left:6373;top:2280;width:10;height:20" coordorigin="6373,2280" coordsize="10,20" path="m6373,2299l6383,2299,6383,2280,6373,2280,6373,2299xe" filled="true" fillcolor="#000000" stroked="false">
                <v:path arrowok="t"/>
                <v:fill type="solid"/>
              </v:shape>
            </v:group>
            <v:group style="position:absolute;left:6373;top:2299;width:10;height:20" coordorigin="6373,2299" coordsize="10,20">
              <v:shape style="position:absolute;left:6373;top:2299;width:10;height:20" coordorigin="6373,2299" coordsize="10,20" path="m6373,2318l6383,2318,6383,2299,6373,2299,6373,2318xe" filled="true" fillcolor="#000000" stroked="false">
                <v:path arrowok="t"/>
                <v:fill type="solid"/>
              </v:shape>
            </v:group>
            <v:group style="position:absolute;left:6373;top:2318;width:10;height:20" coordorigin="6373,2318" coordsize="10,20">
              <v:shape style="position:absolute;left:6373;top:2318;width:10;height:20" coordorigin="6373,2318" coordsize="10,20" path="m6373,2337l6383,2337,6383,2318,6373,2318,6373,2337xe" filled="true" fillcolor="#000000" stroked="false">
                <v:path arrowok="t"/>
                <v:fill type="solid"/>
              </v:shape>
            </v:group>
            <v:group style="position:absolute;left:6373;top:2337;width:10;height:20" coordorigin="6373,2337" coordsize="10,20">
              <v:shape style="position:absolute;left:6373;top:2337;width:10;height:20" coordorigin="6373,2337" coordsize="10,20" path="m6373,2356l6383,2356,6383,2337,6373,2337,6373,2356xe" filled="true" fillcolor="#000000" stroked="false">
                <v:path arrowok="t"/>
                <v:fill type="solid"/>
              </v:shape>
            </v:group>
            <v:group style="position:absolute;left:6373;top:2356;width:10;height:20" coordorigin="6373,2356" coordsize="10,20">
              <v:shape style="position:absolute;left:6373;top:2356;width:10;height:20" coordorigin="6373,2356" coordsize="10,20" path="m6373,2376l6383,2376,6383,2356,6373,2356,6373,2376xe" filled="true" fillcolor="#000000" stroked="false">
                <v:path arrowok="t"/>
                <v:fill type="solid"/>
              </v:shape>
            </v:group>
            <v:group style="position:absolute;left:6373;top:2376;width:10;height:20" coordorigin="6373,2376" coordsize="10,20">
              <v:shape style="position:absolute;left:6373;top:2376;width:10;height:20" coordorigin="6373,2376" coordsize="10,20" path="m6373,2395l6383,2395,6383,2376,6373,2376,6373,2395xe" filled="true" fillcolor="#000000" stroked="false">
                <v:path arrowok="t"/>
                <v:fill type="solid"/>
              </v:shape>
            </v:group>
            <v:group style="position:absolute;left:6373;top:2395;width:10;height:20" coordorigin="6373,2395" coordsize="10,20">
              <v:shape style="position:absolute;left:6373;top:2395;width:10;height:20" coordorigin="6373,2395" coordsize="10,20" path="m6373,2414l6383,2414,6383,2395,6373,2395,6373,2414xe" filled="true" fillcolor="#000000" stroked="false">
                <v:path arrowok="t"/>
                <v:fill type="solid"/>
              </v:shape>
            </v:group>
            <v:group style="position:absolute;left:6373;top:2414;width:10;height:20" coordorigin="6373,2414" coordsize="10,20">
              <v:shape style="position:absolute;left:6373;top:2414;width:10;height:20" coordorigin="6373,2414" coordsize="10,20" path="m6373,2433l6383,2433,6383,2414,6373,2414,6373,2433xe" filled="true" fillcolor="#000000" stroked="false">
                <v:path arrowok="t"/>
                <v:fill type="solid"/>
              </v:shape>
            </v:group>
            <v:group style="position:absolute;left:6373;top:2433;width:10;height:20" coordorigin="6373,2433" coordsize="10,20">
              <v:shape style="position:absolute;left:6373;top:2433;width:10;height:20" coordorigin="6373,2433" coordsize="10,20" path="m6373,2452l6383,2452,6383,2433,6373,2433,6373,2452xe" filled="true" fillcolor="#000000" stroked="false">
                <v:path arrowok="t"/>
                <v:fill type="solid"/>
              </v:shape>
            </v:group>
            <v:group style="position:absolute;left:6373;top:2452;width:10;height:20" coordorigin="6373,2452" coordsize="10,20">
              <v:shape style="position:absolute;left:6373;top:2452;width:10;height:20" coordorigin="6373,2452" coordsize="10,20" path="m6373,2472l6383,2472,6383,2452,6373,2452,6373,2472xe" filled="true" fillcolor="#000000" stroked="false">
                <v:path arrowok="t"/>
                <v:fill type="solid"/>
              </v:shape>
            </v:group>
            <v:group style="position:absolute;left:1025;top:2565;width:5349;height:2" coordorigin="1025,2565" coordsize="5349,2">
              <v:shape style="position:absolute;left:1025;top:2565;width:5349;height:2" coordorigin="1025,2565" coordsize="5349,0" path="m1025,2565l6373,2565e" filled="false" stroked="true" strokeweight="1.44pt" strokecolor="#000000">
                <v:path arrowok="t"/>
              </v:shape>
            </v:group>
            <v:group style="position:absolute;left:6373;top:2472;width:10;height:20" coordorigin="6373,2472" coordsize="10,20">
              <v:shape style="position:absolute;left:6373;top:2472;width:10;height:20" coordorigin="6373,2472" coordsize="10,20" path="m6373,2491l6383,2491,6383,2472,6373,2472,6373,2491xe" filled="true" fillcolor="#000000" stroked="false">
                <v:path arrowok="t"/>
                <v:fill type="solid"/>
              </v:shape>
            </v:group>
            <v:group style="position:absolute;left:6373;top:2491;width:10;height:20" coordorigin="6373,2491" coordsize="10,20">
              <v:shape style="position:absolute;left:6373;top:2491;width:10;height:20" coordorigin="6373,2491" coordsize="10,20" path="m6373,2510l6383,2510,6383,2491,6373,2491,6373,2510xe" filled="true" fillcolor="#000000" stroked="false">
                <v:path arrowok="t"/>
                <v:fill type="solid"/>
              </v:shape>
            </v:group>
            <v:group style="position:absolute;left:6373;top:2510;width:10;height:20" coordorigin="6373,2510" coordsize="10,20">
              <v:shape style="position:absolute;left:6373;top:2510;width:10;height:20" coordorigin="6373,2510" coordsize="10,20" path="m6373,2529l6383,2529,6383,2510,6373,2510,6373,2529xe" filled="true" fillcolor="#000000" stroked="false">
                <v:path arrowok="t"/>
                <v:fill type="solid"/>
              </v:shape>
            </v:group>
            <v:group style="position:absolute;left:6373;top:2529;width:10;height:20" coordorigin="6373,2529" coordsize="10,20">
              <v:shape style="position:absolute;left:6373;top:2529;width:10;height:20" coordorigin="6373,2529" coordsize="10,20" path="m6373,2548l6383,2548,6383,2529,6373,2529,6373,2548xe" filled="true" fillcolor="#000000" stroked="false">
                <v:path arrowok="t"/>
                <v:fill type="solid"/>
              </v:shape>
              <v:shape style="position:absolute;left:6373;top:2548;width:10;height:2" type="#_x0000_t75" stroked="false">
                <v:imagedata r:id="rId15" o:title=""/>
              </v:shape>
            </v:group>
            <v:group style="position:absolute;left:6373;top:2565;width:29;height:2" coordorigin="6373,2565" coordsize="29,2">
              <v:shape style="position:absolute;left:6373;top:2565;width:29;height:2" coordorigin="6373,2565" coordsize="29,0" path="m6373,2565l6402,2565e" filled="false" stroked="true" strokeweight="1.44pt" strokecolor="#000000">
                <v:path arrowok="t"/>
              </v:shape>
            </v:group>
            <v:group style="position:absolute;left:6402;top:2565;width:4479;height:2" coordorigin="6402,2565" coordsize="4479,2">
              <v:shape style="position:absolute;left:6402;top:2565;width:4479;height:2" coordorigin="6402,2565" coordsize="4479,0" path="m6402,2565l10881,2565e" filled="false" stroked="true" strokeweight="1.44pt" strokecolor="#000000">
                <v:path arrowok="t"/>
              </v:shape>
              <v:shape style="position:absolute;left:2621;top:1280;width:21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xbxContent>
                </v:textbox>
                <w10:wrap type="none"/>
              </v:shape>
              <v:shape style="position:absolute;left:7461;top:1280;width:23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受影响的报表项目名称及金额</w:t>
                      </w:r>
                    </w:p>
                  </w:txbxContent>
                </v:textbox>
                <w10:wrap type="none"/>
              </v:shape>
              <v:shape style="position:absolute;left:1133;top:1693;width:5136;height:819" type="#_x0000_t202" filled="false" stroked="false">
                <v:textbox inset="0,0,0,0">
                  <w:txbxContent>
                    <w:p>
                      <w:pPr>
                        <w:spacing w:line="194"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）资产负债表中“应收票据”和“应收账款”合并列示为“应</w:t>
                      </w:r>
                    </w:p>
                    <w:p>
                      <w:pPr>
                        <w:spacing w:line="320" w:lineRule="exact" w:before="24"/>
                        <w:ind w:left="0" w:right="0" w:firstLine="0"/>
                        <w:jc w:val="left"/>
                        <w:rPr>
                          <w:rFonts w:ascii="宋体" w:hAnsi="宋体" w:cs="宋体" w:eastAsia="宋体" w:hint="default"/>
                          <w:sz w:val="18"/>
                          <w:szCs w:val="18"/>
                        </w:rPr>
                      </w:pPr>
                      <w:r>
                        <w:rPr>
                          <w:rFonts w:ascii="宋体" w:hAnsi="宋体" w:cs="宋体" w:eastAsia="宋体" w:hint="default"/>
                          <w:spacing w:val="-9"/>
                          <w:sz w:val="18"/>
                          <w:szCs w:val="18"/>
                        </w:rPr>
                        <w:t>收票据及应收账款”；“应付票据”和“应付账款”合并列示为“应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付票据及应付账款”；“应收利息”和“应收股利”并入“其他应</w:t>
                      </w:r>
                    </w:p>
                  </w:txbxContent>
                </v:textbox>
                <w10:wrap type="none"/>
              </v:shape>
            </v:group>
            <w10:wrap type="none"/>
          </v:group>
        </w:pict>
      </w:r>
      <w:r>
        <w:rPr/>
        <w:t>财政部于</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日发布了《财政部关于修订印发</w:t>
      </w:r>
      <w:r>
        <w:rPr>
          <w:spacing w:val="-46"/>
        </w:rPr>
        <w:t> </w:t>
      </w:r>
      <w:r>
        <w:rPr>
          <w:rFonts w:ascii="Times New Roman" w:hAnsi="Times New Roman" w:cs="Times New Roman" w:eastAsia="Times New Roman" w:hint="default"/>
        </w:rPr>
        <w:t>2018 </w:t>
      </w:r>
      <w:r>
        <w:rPr/>
        <w:t>年度一般企业财务报表格式的通知》（财会（</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号），对一般企业财务报表格式进行了修订。本公司执行上述规定的主要影响如下：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tbl>
      <w:tblPr>
        <w:tblW w:w="0" w:type="auto"/>
        <w:jc w:val="left"/>
        <w:tblInd w:w="5684" w:type="dxa"/>
        <w:tblLayout w:type="fixed"/>
        <w:tblCellMar>
          <w:top w:w="0" w:type="dxa"/>
          <w:left w:w="0" w:type="dxa"/>
          <w:bottom w:w="0" w:type="dxa"/>
          <w:right w:w="0" w:type="dxa"/>
        </w:tblCellMar>
        <w:tblLook w:val="01E0"/>
      </w:tblPr>
      <w:tblGrid>
        <w:gridCol w:w="1954"/>
        <w:gridCol w:w="2221"/>
      </w:tblGrid>
      <w:tr>
        <w:trPr>
          <w:trHeight w:val="363" w:hRule="exact"/>
        </w:trPr>
        <w:tc>
          <w:tcPr>
            <w:tcW w:w="195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科目</w:t>
            </w:r>
          </w:p>
        </w:tc>
        <w:tc>
          <w:tcPr>
            <w:tcW w:w="222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113"/>
              <w:jc w:val="right"/>
              <w:rPr>
                <w:rFonts w:ascii="宋体" w:hAnsi="宋体" w:cs="宋体" w:eastAsia="宋体" w:hint="default"/>
                <w:sz w:val="18"/>
                <w:szCs w:val="18"/>
              </w:rPr>
            </w:pPr>
            <w:r>
              <w:rPr>
                <w:rFonts w:ascii="Times New Roman" w:hAnsi="Times New Roman" w:cs="Times New Roman" w:eastAsia="Times New Roman" w:hint="default"/>
                <w:sz w:val="18"/>
                <w:szCs w:val="18"/>
              </w:rPr>
              <w:t>2017.12.31/2017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年度金额</w:t>
            </w:r>
          </w:p>
        </w:tc>
      </w:tr>
      <w:tr>
        <w:trPr>
          <w:trHeight w:val="353"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5"/>
              <w:jc w:val="right"/>
              <w:rPr>
                <w:rFonts w:ascii="Times New Roman" w:hAnsi="Times New Roman" w:cs="Times New Roman" w:eastAsia="Times New Roman" w:hint="default"/>
                <w:sz w:val="18"/>
                <w:szCs w:val="18"/>
              </w:rPr>
            </w:pPr>
            <w:r>
              <w:rPr>
                <w:rFonts w:ascii="Times New Roman"/>
                <w:spacing w:val="-1"/>
                <w:sz w:val="18"/>
              </w:rPr>
              <w:t>-12,628,058.00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00" w:right="0"/>
        </w:sectPr>
      </w:pPr>
    </w:p>
    <w:p>
      <w:pPr>
        <w:spacing w:line="240" w:lineRule="auto" w:before="0"/>
        <w:rPr>
          <w:rFonts w:ascii="宋体" w:hAnsi="宋体" w:cs="宋体" w:eastAsia="宋体" w:hint="default"/>
          <w:sz w:val="20"/>
          <w:szCs w:val="20"/>
        </w:rPr>
      </w:pPr>
      <w:r>
        <w:rPr/>
        <w:pict>
          <v:group style="position:absolute;margin-left:50.52pt;margin-top:71.999985pt;width:494.25pt;height:69.75pt;mso-position-horizontal-relative:page;mso-position-vertical-relative:page;z-index:-1289848" coordorigin="1010,1440" coordsize="9885,1395">
            <v:group style="position:absolute;left:1025;top:1454;width:5349;height:2" coordorigin="1025,1454" coordsize="5349,2">
              <v:shape style="position:absolute;left:1025;top:1454;width:5349;height:2" coordorigin="1025,1454" coordsize="5349,0" path="m1025,1454l6373,1454e" filled="false" stroked="true" strokeweight="1.44pt" strokecolor="#000000">
                <v:path arrowok="t"/>
              </v:shape>
              <v:shape style="position:absolute;left:6373;top:1469;width:10;height:2" type="#_x0000_t75" stroked="false">
                <v:imagedata r:id="rId15" o:title=""/>
              </v:shape>
            </v:group>
            <v:group style="position:absolute;left:6373;top:1454;width:29;height:2" coordorigin="6373,1454" coordsize="29,2">
              <v:shape style="position:absolute;left:6373;top:1454;width:29;height:2" coordorigin="6373,1454" coordsize="29,0" path="m6373,1454l6402,1454e" filled="false" stroked="true" strokeweight="1.44pt" strokecolor="#000000">
                <v:path arrowok="t"/>
              </v:shape>
            </v:group>
            <v:group style="position:absolute;left:6402;top:1454;width:4479;height:2" coordorigin="6402,1454" coordsize="4479,2">
              <v:shape style="position:absolute;left:6402;top:1454;width:4479;height:2" coordorigin="6402,1454" coordsize="4479,0" path="m6402,1454l10881,1454e" filled="false" stroked="true" strokeweight="1.44pt" strokecolor="#000000">
                <v:path arrowok="t"/>
              </v:shape>
            </v:group>
            <v:group style="position:absolute;left:6373;top:1471;width:10;height:20" coordorigin="6373,1471" coordsize="10,20">
              <v:shape style="position:absolute;left:6373;top:1471;width:10;height:20" coordorigin="6373,1471" coordsize="10,20" path="m6373,1490l6383,1490,6383,1471,6373,1471,6373,1490xe" filled="true" fillcolor="#000000" stroked="false">
                <v:path arrowok="t"/>
                <v:fill type="solid"/>
              </v:shape>
            </v:group>
            <v:group style="position:absolute;left:6373;top:1490;width:10;height:20" coordorigin="6373,1490" coordsize="10,20">
              <v:shape style="position:absolute;left:6373;top:1490;width:10;height:20" coordorigin="6373,1490" coordsize="10,20" path="m6373,1510l6383,1510,6383,1490,6373,1490,6373,1510xe" filled="true" fillcolor="#000000" stroked="false">
                <v:path arrowok="t"/>
                <v:fill type="solid"/>
              </v:shape>
            </v:group>
            <v:group style="position:absolute;left:6373;top:1510;width:10;height:20" coordorigin="6373,1510" coordsize="10,20">
              <v:shape style="position:absolute;left:6373;top:1510;width:10;height:20" coordorigin="6373,1510" coordsize="10,20" path="m6373,1529l6383,1529,6383,1510,6373,1510,6373,1529xe" filled="true" fillcolor="#000000" stroked="false">
                <v:path arrowok="t"/>
                <v:fill type="solid"/>
              </v:shape>
            </v:group>
            <v:group style="position:absolute;left:6373;top:1529;width:10;height:20" coordorigin="6373,1529" coordsize="10,20">
              <v:shape style="position:absolute;left:6373;top:1529;width:10;height:20" coordorigin="6373,1529" coordsize="10,20" path="m6373,1548l6383,1548,6383,1529,6373,1529,6373,1548xe" filled="true" fillcolor="#000000" stroked="false">
                <v:path arrowok="t"/>
                <v:fill type="solid"/>
              </v:shape>
            </v:group>
            <v:group style="position:absolute;left:6373;top:1548;width:10;height:20" coordorigin="6373,1548" coordsize="10,20">
              <v:shape style="position:absolute;left:6373;top:1548;width:10;height:20" coordorigin="6373,1548" coordsize="10,20" path="m6373,1567l6383,1567,6383,1548,6373,1548,6373,1567xe" filled="true" fillcolor="#000000" stroked="false">
                <v:path arrowok="t"/>
                <v:fill type="solid"/>
              </v:shape>
            </v:group>
            <v:group style="position:absolute;left:6373;top:1567;width:10;height:20" coordorigin="6373,1567" coordsize="10,20">
              <v:shape style="position:absolute;left:6373;top:1567;width:10;height:20" coordorigin="6373,1567" coordsize="10,20" path="m6373,1586l6383,1586,6383,1567,6373,1567,6373,1586xe" filled="true" fillcolor="#000000" stroked="false">
                <v:path arrowok="t"/>
                <v:fill type="solid"/>
              </v:shape>
            </v:group>
            <v:group style="position:absolute;left:6373;top:1586;width:10;height:20" coordorigin="6373,1586" coordsize="10,20">
              <v:shape style="position:absolute;left:6373;top:1586;width:10;height:20" coordorigin="6373,1586" coordsize="10,20" path="m6373,1606l6383,1606,6383,1586,6373,1586,6373,1606xe" filled="true" fillcolor="#000000" stroked="false">
                <v:path arrowok="t"/>
                <v:fill type="solid"/>
              </v:shape>
            </v:group>
            <v:group style="position:absolute;left:6373;top:1606;width:10;height:20" coordorigin="6373,1606" coordsize="10,20">
              <v:shape style="position:absolute;left:6373;top:1606;width:10;height:20" coordorigin="6373,1606" coordsize="10,20" path="m6373,1625l6383,1625,6383,1606,6373,1606,6373,1625xe" filled="true" fillcolor="#000000" stroked="false">
                <v:path arrowok="t"/>
                <v:fill type="solid"/>
              </v:shape>
            </v:group>
            <v:group style="position:absolute;left:6373;top:1625;width:10;height:20" coordorigin="6373,1625" coordsize="10,20">
              <v:shape style="position:absolute;left:6373;top:1625;width:10;height:20" coordorigin="6373,1625" coordsize="10,20" path="m6373,1644l6383,1644,6383,1625,6373,1625,6373,1644xe" filled="true" fillcolor="#000000" stroked="false">
                <v:path arrowok="t"/>
                <v:fill type="solid"/>
              </v:shape>
            </v:group>
            <v:group style="position:absolute;left:6373;top:1644;width:10;height:20" coordorigin="6373,1644" coordsize="10,20">
              <v:shape style="position:absolute;left:6373;top:1644;width:10;height:20" coordorigin="6373,1644" coordsize="10,20" path="m6373,1664l6383,1664,6383,1644,6373,1644,6373,1664xe" filled="true" fillcolor="#000000" stroked="false">
                <v:path arrowok="t"/>
                <v:fill type="solid"/>
              </v:shape>
            </v:group>
            <v:group style="position:absolute;left:6373;top:1664;width:10;height:20" coordorigin="6373,1664" coordsize="10,20">
              <v:shape style="position:absolute;left:6373;top:1664;width:10;height:20" coordorigin="6373,1664" coordsize="10,20" path="m6373,1683l6383,1683,6383,1664,6373,1664,6373,1683xe" filled="true" fillcolor="#000000" stroked="false">
                <v:path arrowok="t"/>
                <v:fill type="solid"/>
              </v:shape>
            </v:group>
            <v:group style="position:absolute;left:6373;top:1683;width:10;height:20" coordorigin="6373,1683" coordsize="10,20">
              <v:shape style="position:absolute;left:6373;top:1683;width:10;height:20" coordorigin="6373,1683" coordsize="10,20" path="m6373,1702l6383,1702,6383,1683,6373,1683,6373,1702xe" filled="true" fillcolor="#000000" stroked="false">
                <v:path arrowok="t"/>
                <v:fill type="solid"/>
              </v:shape>
            </v:group>
            <v:group style="position:absolute;left:6373;top:1702;width:10;height:20" coordorigin="6373,1702" coordsize="10,20">
              <v:shape style="position:absolute;left:6373;top:1702;width:10;height:20" coordorigin="6373,1702" coordsize="10,20" path="m6373,1721l6383,1721,6383,1702,6373,1702,6373,1721xe" filled="true" fillcolor="#000000" stroked="false">
                <v:path arrowok="t"/>
                <v:fill type="solid"/>
              </v:shape>
            </v:group>
            <v:group style="position:absolute;left:6373;top:1721;width:10;height:20" coordorigin="6373,1721" coordsize="10,20">
              <v:shape style="position:absolute;left:6373;top:1721;width:10;height:20" coordorigin="6373,1721" coordsize="10,20" path="m6373,1740l6383,1740,6383,1721,6373,1721,6373,1740xe" filled="true" fillcolor="#000000" stroked="false">
                <v:path arrowok="t"/>
                <v:fill type="solid"/>
              </v:shape>
            </v:group>
            <v:group style="position:absolute;left:6373;top:1740;width:10;height:20" coordorigin="6373,1740" coordsize="10,20">
              <v:shape style="position:absolute;left:6373;top:1740;width:10;height:20" coordorigin="6373,1740" coordsize="10,20" path="m6373,1760l6383,1760,6383,1740,6373,1740,6373,1760xe" filled="true" fillcolor="#000000" stroked="false">
                <v:path arrowok="t"/>
                <v:fill type="solid"/>
              </v:shape>
            </v:group>
            <v:group style="position:absolute;left:6373;top:1760;width:10;height:20" coordorigin="6373,1760" coordsize="10,20">
              <v:shape style="position:absolute;left:6373;top:1760;width:10;height:20" coordorigin="6373,1760" coordsize="10,20" path="m6373,1779l6383,1779,6383,1760,6373,1760,6373,1779xe" filled="true" fillcolor="#000000" stroked="false">
                <v:path arrowok="t"/>
                <v:fill type="solid"/>
              </v:shape>
              <v:shape style="position:absolute;left:1025;top:1779;width:5368;height:101" type="#_x0000_t75" stroked="false">
                <v:imagedata r:id="rId16" o:title=""/>
              </v:shape>
            </v:group>
            <v:group style="position:absolute;left:8548;top:1880;width:10;height:20" coordorigin="8548,1880" coordsize="10,20">
              <v:shape style="position:absolute;left:8548;top:1880;width:10;height:20" coordorigin="8548,1880" coordsize="10,20" path="m8548,1899l8557,1899,8557,1880,8548,1880,8548,1899xe" filled="true" fillcolor="#000000" stroked="false">
                <v:path arrowok="t"/>
                <v:fill type="solid"/>
              </v:shape>
            </v:group>
            <v:group style="position:absolute;left:8548;top:1899;width:10;height:20" coordorigin="8548,1899" coordsize="10,20">
              <v:shape style="position:absolute;left:8548;top:1899;width:10;height:20" coordorigin="8548,1899" coordsize="10,20" path="m8548,1918l8557,1918,8557,1899,8548,1899,8548,1918xe" filled="true" fillcolor="#000000" stroked="false">
                <v:path arrowok="t"/>
                <v:fill type="solid"/>
              </v:shape>
            </v:group>
            <v:group style="position:absolute;left:8548;top:1918;width:10;height:20" coordorigin="8548,1918" coordsize="10,20">
              <v:shape style="position:absolute;left:8548;top:1918;width:10;height:20" coordorigin="8548,1918" coordsize="10,20" path="m8548,1937l8557,1937,8557,1918,8548,1918,8548,1937xe" filled="true" fillcolor="#000000" stroked="false">
                <v:path arrowok="t"/>
                <v:fill type="solid"/>
              </v:shape>
            </v:group>
            <v:group style="position:absolute;left:8548;top:1937;width:10;height:20" coordorigin="8548,1937" coordsize="10,20">
              <v:shape style="position:absolute;left:8548;top:1937;width:10;height:20" coordorigin="8548,1937" coordsize="10,20" path="m8548,1956l8557,1956,8557,1937,8548,1937,8548,1956xe" filled="true" fillcolor="#000000" stroked="false">
                <v:path arrowok="t"/>
                <v:fill type="solid"/>
              </v:shape>
            </v:group>
            <v:group style="position:absolute;left:8548;top:1956;width:10;height:20" coordorigin="8548,1956" coordsize="10,20">
              <v:shape style="position:absolute;left:8548;top:1956;width:10;height:20" coordorigin="8548,1956" coordsize="10,20" path="m8548,1976l8557,1976,8557,1956,8548,1956,8548,1976xe" filled="true" fillcolor="#000000" stroked="false">
                <v:path arrowok="t"/>
                <v:fill type="solid"/>
              </v:shape>
            </v:group>
            <v:group style="position:absolute;left:8548;top:1976;width:10;height:20" coordorigin="8548,1976" coordsize="10,20">
              <v:shape style="position:absolute;left:8548;top:1976;width:10;height:20" coordorigin="8548,1976" coordsize="10,20" path="m8548,1995l8557,1995,8557,1976,8548,1976,8548,1995xe" filled="true" fillcolor="#000000" stroked="false">
                <v:path arrowok="t"/>
                <v:fill type="solid"/>
              </v:shape>
            </v:group>
            <v:group style="position:absolute;left:8548;top:1995;width:10;height:20" coordorigin="8548,1995" coordsize="10,20">
              <v:shape style="position:absolute;left:8548;top:1995;width:10;height:20" coordorigin="8548,1995" coordsize="10,20" path="m8548,2014l8557,2014,8557,1995,8548,1995,8548,2014xe" filled="true" fillcolor="#000000" stroked="false">
                <v:path arrowok="t"/>
                <v:fill type="solid"/>
              </v:shape>
            </v:group>
            <v:group style="position:absolute;left:8548;top:2014;width:10;height:20" coordorigin="8548,2014" coordsize="10,20">
              <v:shape style="position:absolute;left:8548;top:2014;width:10;height:20" coordorigin="8548,2014" coordsize="10,20" path="m8548,2033l8557,2033,8557,2014,8548,2014,8548,2033xe" filled="true" fillcolor="#000000" stroked="false">
                <v:path arrowok="t"/>
                <v:fill type="solid"/>
              </v:shape>
            </v:group>
            <v:group style="position:absolute;left:8548;top:2033;width:10;height:20" coordorigin="8548,2033" coordsize="10,20">
              <v:shape style="position:absolute;left:8548;top:2033;width:10;height:20" coordorigin="8548,2033" coordsize="10,20" path="m8548,2052l8557,2052,8557,2033,8548,2033,8548,2052xe" filled="true" fillcolor="#000000" stroked="false">
                <v:path arrowok="t"/>
                <v:fill type="solid"/>
              </v:shape>
            </v:group>
            <v:group style="position:absolute;left:8548;top:2052;width:10;height:20" coordorigin="8548,2052" coordsize="10,20">
              <v:shape style="position:absolute;left:8548;top:2052;width:10;height:20" coordorigin="8548,2052" coordsize="10,20" path="m8548,2072l8557,2072,8557,2052,8548,2052,8548,2072xe" filled="true" fillcolor="#000000" stroked="false">
                <v:path arrowok="t"/>
                <v:fill type="solid"/>
              </v:shape>
            </v:group>
            <v:group style="position:absolute;left:8548;top:2072;width:10;height:20" coordorigin="8548,2072" coordsize="10,20">
              <v:shape style="position:absolute;left:8548;top:2072;width:10;height:20" coordorigin="8548,2072" coordsize="10,20" path="m8548,2091l8557,2091,8557,2072,8548,2072,8548,2091xe" filled="true" fillcolor="#000000" stroked="false">
                <v:path arrowok="t"/>
                <v:fill type="solid"/>
              </v:shape>
            </v:group>
            <v:group style="position:absolute;left:8548;top:2091;width:10;height:20" coordorigin="8548,2091" coordsize="10,20">
              <v:shape style="position:absolute;left:8548;top:2091;width:10;height:20" coordorigin="8548,2091" coordsize="10,20" path="m8548,2110l8557,2110,8557,2091,8548,2091,8548,2110xe" filled="true" fillcolor="#000000" stroked="false">
                <v:path arrowok="t"/>
                <v:fill type="solid"/>
              </v:shape>
            </v:group>
            <v:group style="position:absolute;left:8548;top:2110;width:10;height:20" coordorigin="8548,2110" coordsize="10,20">
              <v:shape style="position:absolute;left:8548;top:2110;width:10;height:20" coordorigin="8548,2110" coordsize="10,20" path="m8548,2129l8557,2129,8557,2110,8548,2110,8548,2129xe" filled="true" fillcolor="#000000" stroked="false">
                <v:path arrowok="t"/>
                <v:fill type="solid"/>
              </v:shape>
            </v:group>
            <v:group style="position:absolute;left:8548;top:2129;width:10;height:20" coordorigin="8548,2129" coordsize="10,20">
              <v:shape style="position:absolute;left:8548;top:2129;width:10;height:20" coordorigin="8548,2129" coordsize="10,20" path="m8548,2148l8557,2148,8557,2129,8548,2129,8548,2148xe" filled="true" fillcolor="#000000" stroked="false">
                <v:path arrowok="t"/>
                <v:fill type="solid"/>
              </v:shape>
            </v:group>
            <v:group style="position:absolute;left:8548;top:2148;width:10;height:20" coordorigin="8548,2148" coordsize="10,20">
              <v:shape style="position:absolute;left:8548;top:2148;width:10;height:20" coordorigin="8548,2148" coordsize="10,20" path="m8548,2168l8557,2168,8557,2148,8548,2148,8548,2168xe" filled="true" fillcolor="#000000" stroked="false">
                <v:path arrowok="t"/>
                <v:fill type="solid"/>
              </v:shape>
            </v:group>
            <v:group style="position:absolute;left:8548;top:2168;width:10;height:20" coordorigin="8548,2168" coordsize="10,20">
              <v:shape style="position:absolute;left:8548;top:2168;width:10;height:20" coordorigin="8548,2168" coordsize="10,20" path="m8548,2187l8557,2187,8557,2168,8548,2168,8548,2187xe" filled="true" fillcolor="#000000" stroked="false">
                <v:path arrowok="t"/>
                <v:fill type="solid"/>
              </v:shape>
            </v:group>
            <v:group style="position:absolute;left:8548;top:2187;width:10;height:20" coordorigin="8548,2187" coordsize="10,20">
              <v:shape style="position:absolute;left:8548;top:2187;width:10;height:20" coordorigin="8548,2187" coordsize="10,20" path="m8548,2206l8557,2206,8557,2187,8548,2187,8548,2206xe" filled="true" fillcolor="#000000" stroked="false">
                <v:path arrowok="t"/>
                <v:fill type="solid"/>
              </v:shape>
            </v:group>
            <v:group style="position:absolute;left:8548;top:2214;width:10;height:2" coordorigin="8548,2214" coordsize="10,2">
              <v:shape style="position:absolute;left:8548;top:2214;width:10;height:2" coordorigin="8548,2214" coordsize="10,0" path="m8548,2214l8557,2214e" filled="false" stroked="true" strokeweight=".83997pt" strokecolor="#000000">
                <v:path arrowok="t"/>
              </v:shape>
            </v:group>
            <v:group style="position:absolute;left:6613;top:2228;width:20;height:2" coordorigin="6613,2228" coordsize="20,2">
              <v:shape style="position:absolute;left:6613;top:2228;width:20;height:2" coordorigin="6613,2228" coordsize="20,0" path="m6613,2228l6633,2228e" filled="false" stroked="true" strokeweight=".48004pt" strokecolor="#000000">
                <v:path arrowok="t"/>
              </v:shape>
            </v:group>
            <v:group style="position:absolute;left:6633;top:2228;width:20;height:2" coordorigin="6633,2228" coordsize="20,2">
              <v:shape style="position:absolute;left:6633;top:2228;width:20;height:2" coordorigin="6633,2228" coordsize="20,0" path="m6633,2228l6652,2228e" filled="false" stroked="true" strokeweight=".48004pt" strokecolor="#000000">
                <v:path arrowok="t"/>
              </v:shape>
            </v:group>
            <v:group style="position:absolute;left:6652;top:2228;width:20;height:2" coordorigin="6652,2228" coordsize="20,2">
              <v:shape style="position:absolute;left:6652;top:2228;width:20;height:2" coordorigin="6652,2228" coordsize="20,0" path="m6652,2228l6671,2228e" filled="false" stroked="true" strokeweight=".48004pt" strokecolor="#000000">
                <v:path arrowok="t"/>
              </v:shape>
            </v:group>
            <v:group style="position:absolute;left:6671;top:2228;width:20;height:2" coordorigin="6671,2228" coordsize="20,2">
              <v:shape style="position:absolute;left:6671;top:2228;width:20;height:2" coordorigin="6671,2228" coordsize="20,0" path="m6671,2228l6690,2228e" filled="false" stroked="true" strokeweight=".48004pt" strokecolor="#000000">
                <v:path arrowok="t"/>
              </v:shape>
            </v:group>
            <v:group style="position:absolute;left:6690;top:2228;width:20;height:2" coordorigin="6690,2228" coordsize="20,2">
              <v:shape style="position:absolute;left:6690;top:2228;width:20;height:2" coordorigin="6690,2228" coordsize="20,0" path="m6690,2228l6709,2228e" filled="false" stroked="true" strokeweight=".48004pt" strokecolor="#000000">
                <v:path arrowok="t"/>
              </v:shape>
            </v:group>
            <v:group style="position:absolute;left:6709;top:2228;width:20;height:2" coordorigin="6709,2228" coordsize="20,2">
              <v:shape style="position:absolute;left:6709;top:2228;width:20;height:2" coordorigin="6709,2228" coordsize="20,0" path="m6709,2228l6729,2228e" filled="false" stroked="true" strokeweight=".48004pt" strokecolor="#000000">
                <v:path arrowok="t"/>
              </v:shape>
            </v:group>
            <v:group style="position:absolute;left:6729;top:2228;width:20;height:2" coordorigin="6729,2228" coordsize="20,2">
              <v:shape style="position:absolute;left:6729;top:2228;width:20;height:2" coordorigin="6729,2228" coordsize="20,0" path="m6729,2228l6748,2228e" filled="false" stroked="true" strokeweight=".48004pt" strokecolor="#000000">
                <v:path arrowok="t"/>
              </v:shape>
            </v:group>
            <v:group style="position:absolute;left:6748;top:2228;width:20;height:2" coordorigin="6748,2228" coordsize="20,2">
              <v:shape style="position:absolute;left:6748;top:2228;width:20;height:2" coordorigin="6748,2228" coordsize="20,0" path="m6748,2228l6767,2228e" filled="false" stroked="true" strokeweight=".48004pt" strokecolor="#000000">
                <v:path arrowok="t"/>
              </v:shape>
            </v:group>
            <v:group style="position:absolute;left:6767;top:2228;width:20;height:2" coordorigin="6767,2228" coordsize="20,2">
              <v:shape style="position:absolute;left:6767;top:2228;width:20;height:2" coordorigin="6767,2228" coordsize="20,0" path="m6767,2228l6786,2228e" filled="false" stroked="true" strokeweight=".48004pt" strokecolor="#000000">
                <v:path arrowok="t"/>
              </v:shape>
            </v:group>
            <v:group style="position:absolute;left:6786;top:2228;width:20;height:2" coordorigin="6786,2228" coordsize="20,2">
              <v:shape style="position:absolute;left:6786;top:2228;width:20;height:2" coordorigin="6786,2228" coordsize="20,0" path="m6786,2228l6805,2228e" filled="false" stroked="true" strokeweight=".48004pt" strokecolor="#000000">
                <v:path arrowok="t"/>
              </v:shape>
            </v:group>
            <v:group style="position:absolute;left:6805;top:2228;width:20;height:2" coordorigin="6805,2228" coordsize="20,2">
              <v:shape style="position:absolute;left:6805;top:2228;width:20;height:2" coordorigin="6805,2228" coordsize="20,0" path="m6805,2228l6825,2228e" filled="false" stroked="true" strokeweight=".48004pt" strokecolor="#000000">
                <v:path arrowok="t"/>
              </v:shape>
            </v:group>
            <v:group style="position:absolute;left:6825;top:2228;width:20;height:2" coordorigin="6825,2228" coordsize="20,2">
              <v:shape style="position:absolute;left:6825;top:2228;width:20;height:2" coordorigin="6825,2228" coordsize="20,0" path="m6825,2228l6844,2228e" filled="false" stroked="true" strokeweight=".48004pt" strokecolor="#000000">
                <v:path arrowok="t"/>
              </v:shape>
            </v:group>
            <v:group style="position:absolute;left:6844;top:2228;width:20;height:2" coordorigin="6844,2228" coordsize="20,2">
              <v:shape style="position:absolute;left:6844;top:2228;width:20;height:2" coordorigin="6844,2228" coordsize="20,0" path="m6844,2228l6863,2228e" filled="false" stroked="true" strokeweight=".48004pt" strokecolor="#000000">
                <v:path arrowok="t"/>
              </v:shape>
            </v:group>
            <v:group style="position:absolute;left:6863;top:2228;width:20;height:2" coordorigin="6863,2228" coordsize="20,2">
              <v:shape style="position:absolute;left:6863;top:2228;width:20;height:2" coordorigin="6863,2228" coordsize="20,0" path="m6863,2228l6882,2228e" filled="false" stroked="true" strokeweight=".48004pt" strokecolor="#000000">
                <v:path arrowok="t"/>
              </v:shape>
            </v:group>
            <v:group style="position:absolute;left:6882;top:2228;width:20;height:2" coordorigin="6882,2228" coordsize="20,2">
              <v:shape style="position:absolute;left:6882;top:2228;width:20;height:2" coordorigin="6882,2228" coordsize="20,0" path="m6882,2228l6901,2228e" filled="false" stroked="true" strokeweight=".48004pt" strokecolor="#000000">
                <v:path arrowok="t"/>
              </v:shape>
            </v:group>
            <v:group style="position:absolute;left:6901;top:2228;width:20;height:2" coordorigin="6901,2228" coordsize="20,2">
              <v:shape style="position:absolute;left:6901;top:2228;width:20;height:2" coordorigin="6901,2228" coordsize="20,0" path="m6901,2228l6921,2228e" filled="false" stroked="true" strokeweight=".48004pt" strokecolor="#000000">
                <v:path arrowok="t"/>
              </v:shape>
            </v:group>
            <v:group style="position:absolute;left:6921;top:2228;width:20;height:2" coordorigin="6921,2228" coordsize="20,2">
              <v:shape style="position:absolute;left:6921;top:2228;width:20;height:2" coordorigin="6921,2228" coordsize="20,0" path="m6921,2228l6940,2228e" filled="false" stroked="true" strokeweight=".48004pt" strokecolor="#000000">
                <v:path arrowok="t"/>
              </v:shape>
            </v:group>
            <v:group style="position:absolute;left:6940;top:2228;width:20;height:2" coordorigin="6940,2228" coordsize="20,2">
              <v:shape style="position:absolute;left:6940;top:2228;width:20;height:2" coordorigin="6940,2228" coordsize="20,0" path="m6940,2228l6959,2228e" filled="false" stroked="true" strokeweight=".48004pt" strokecolor="#000000">
                <v:path arrowok="t"/>
              </v:shape>
            </v:group>
            <v:group style="position:absolute;left:6959;top:2228;width:20;height:2" coordorigin="6959,2228" coordsize="20,2">
              <v:shape style="position:absolute;left:6959;top:2228;width:20;height:2" coordorigin="6959,2228" coordsize="20,0" path="m6959,2228l6978,2228e" filled="false" stroked="true" strokeweight=".48004pt" strokecolor="#000000">
                <v:path arrowok="t"/>
              </v:shape>
            </v:group>
            <v:group style="position:absolute;left:6978;top:2228;width:20;height:2" coordorigin="6978,2228" coordsize="20,2">
              <v:shape style="position:absolute;left:6978;top:2228;width:20;height:2" coordorigin="6978,2228" coordsize="20,0" path="m6978,2228l6997,2228e" filled="false" stroked="true" strokeweight=".48004pt" strokecolor="#000000">
                <v:path arrowok="t"/>
              </v:shape>
            </v:group>
            <v:group style="position:absolute;left:6997;top:2228;width:20;height:2" coordorigin="6997,2228" coordsize="20,2">
              <v:shape style="position:absolute;left:6997;top:2228;width:20;height:2" coordorigin="6997,2228" coordsize="20,0" path="m6997,2228l7017,2228e" filled="false" stroked="true" strokeweight=".48004pt" strokecolor="#000000">
                <v:path arrowok="t"/>
              </v:shape>
            </v:group>
            <v:group style="position:absolute;left:7017;top:2228;width:20;height:2" coordorigin="7017,2228" coordsize="20,2">
              <v:shape style="position:absolute;left:7017;top:2228;width:20;height:2" coordorigin="7017,2228" coordsize="20,0" path="m7017,2228l7036,2228e" filled="false" stroked="true" strokeweight=".48004pt" strokecolor="#000000">
                <v:path arrowok="t"/>
              </v:shape>
            </v:group>
            <v:group style="position:absolute;left:7036;top:2228;width:20;height:2" coordorigin="7036,2228" coordsize="20,2">
              <v:shape style="position:absolute;left:7036;top:2228;width:20;height:2" coordorigin="7036,2228" coordsize="20,0" path="m7036,2228l7055,2228e" filled="false" stroked="true" strokeweight=".48004pt" strokecolor="#000000">
                <v:path arrowok="t"/>
              </v:shape>
            </v:group>
            <v:group style="position:absolute;left:7055;top:2228;width:20;height:2" coordorigin="7055,2228" coordsize="20,2">
              <v:shape style="position:absolute;left:7055;top:2228;width:20;height:2" coordorigin="7055,2228" coordsize="20,0" path="m7055,2228l7074,2228e" filled="false" stroked="true" strokeweight=".48004pt" strokecolor="#000000">
                <v:path arrowok="t"/>
              </v:shape>
            </v:group>
            <v:group style="position:absolute;left:7074;top:2228;width:20;height:2" coordorigin="7074,2228" coordsize="20,2">
              <v:shape style="position:absolute;left:7074;top:2228;width:20;height:2" coordorigin="7074,2228" coordsize="20,0" path="m7074,2228l7093,2228e" filled="false" stroked="true" strokeweight=".48004pt" strokecolor="#000000">
                <v:path arrowok="t"/>
              </v:shape>
            </v:group>
            <v:group style="position:absolute;left:7093;top:2228;width:20;height:2" coordorigin="7093,2228" coordsize="20,2">
              <v:shape style="position:absolute;left:7093;top:2228;width:20;height:2" coordorigin="7093,2228" coordsize="20,0" path="m7093,2228l7113,2228e" filled="false" stroked="true" strokeweight=".48004pt" strokecolor="#000000">
                <v:path arrowok="t"/>
              </v:shape>
            </v:group>
            <v:group style="position:absolute;left:7113;top:2228;width:20;height:2" coordorigin="7113,2228" coordsize="20,2">
              <v:shape style="position:absolute;left:7113;top:2228;width:20;height:2" coordorigin="7113,2228" coordsize="20,0" path="m7113,2228l7132,2228e" filled="false" stroked="true" strokeweight=".48004pt" strokecolor="#000000">
                <v:path arrowok="t"/>
              </v:shape>
            </v:group>
            <v:group style="position:absolute;left:7132;top:2228;width:20;height:2" coordorigin="7132,2228" coordsize="20,2">
              <v:shape style="position:absolute;left:7132;top:2228;width:20;height:2" coordorigin="7132,2228" coordsize="20,0" path="m7132,2228l7151,2228e" filled="false" stroked="true" strokeweight=".48004pt" strokecolor="#000000">
                <v:path arrowok="t"/>
              </v:shape>
            </v:group>
            <v:group style="position:absolute;left:7151;top:2228;width:20;height:2" coordorigin="7151,2228" coordsize="20,2">
              <v:shape style="position:absolute;left:7151;top:2228;width:20;height:2" coordorigin="7151,2228" coordsize="20,0" path="m7151,2228l7170,2228e" filled="false" stroked="true" strokeweight=".48004pt" strokecolor="#000000">
                <v:path arrowok="t"/>
              </v:shape>
            </v:group>
            <v:group style="position:absolute;left:7170;top:2228;width:20;height:2" coordorigin="7170,2228" coordsize="20,2">
              <v:shape style="position:absolute;left:7170;top:2228;width:20;height:2" coordorigin="7170,2228" coordsize="20,0" path="m7170,2228l7189,2228e" filled="false" stroked="true" strokeweight=".48004pt" strokecolor="#000000">
                <v:path arrowok="t"/>
              </v:shape>
            </v:group>
            <v:group style="position:absolute;left:7189;top:2228;width:20;height:2" coordorigin="7189,2228" coordsize="20,2">
              <v:shape style="position:absolute;left:7189;top:2228;width:20;height:2" coordorigin="7189,2228" coordsize="20,0" path="m7189,2228l7209,2228e" filled="false" stroked="true" strokeweight=".48004pt" strokecolor="#000000">
                <v:path arrowok="t"/>
              </v:shape>
            </v:group>
            <v:group style="position:absolute;left:7209;top:2228;width:20;height:2" coordorigin="7209,2228" coordsize="20,2">
              <v:shape style="position:absolute;left:7209;top:2228;width:20;height:2" coordorigin="7209,2228" coordsize="20,0" path="m7209,2228l7228,2228e" filled="false" stroked="true" strokeweight=".48004pt" strokecolor="#000000">
                <v:path arrowok="t"/>
              </v:shape>
            </v:group>
            <v:group style="position:absolute;left:7228;top:2228;width:20;height:2" coordorigin="7228,2228" coordsize="20,2">
              <v:shape style="position:absolute;left:7228;top:2228;width:20;height:2" coordorigin="7228,2228" coordsize="20,0" path="m7228,2228l7247,2228e" filled="false" stroked="true" strokeweight=".48004pt" strokecolor="#000000">
                <v:path arrowok="t"/>
              </v:shape>
            </v:group>
            <v:group style="position:absolute;left:7247;top:2228;width:20;height:2" coordorigin="7247,2228" coordsize="20,2">
              <v:shape style="position:absolute;left:7247;top:2228;width:20;height:2" coordorigin="7247,2228" coordsize="20,0" path="m7247,2228l7266,2228e" filled="false" stroked="true" strokeweight=".48004pt" strokecolor="#000000">
                <v:path arrowok="t"/>
              </v:shape>
            </v:group>
            <v:group style="position:absolute;left:7266;top:2228;width:20;height:2" coordorigin="7266,2228" coordsize="20,2">
              <v:shape style="position:absolute;left:7266;top:2228;width:20;height:2" coordorigin="7266,2228" coordsize="20,0" path="m7266,2228l7285,2228e" filled="false" stroked="true" strokeweight=".48004pt" strokecolor="#000000">
                <v:path arrowok="t"/>
              </v:shape>
            </v:group>
            <v:group style="position:absolute;left:7285;top:2228;width:20;height:2" coordorigin="7285,2228" coordsize="20,2">
              <v:shape style="position:absolute;left:7285;top:2228;width:20;height:2" coordorigin="7285,2228" coordsize="20,0" path="m7285,2228l7305,2228e" filled="false" stroked="true" strokeweight=".48004pt" strokecolor="#000000">
                <v:path arrowok="t"/>
              </v:shape>
            </v:group>
            <v:group style="position:absolute;left:7305;top:2228;width:20;height:2" coordorigin="7305,2228" coordsize="20,2">
              <v:shape style="position:absolute;left:7305;top:2228;width:20;height:2" coordorigin="7305,2228" coordsize="20,0" path="m7305,2228l7324,2228e" filled="false" stroked="true" strokeweight=".48004pt" strokecolor="#000000">
                <v:path arrowok="t"/>
              </v:shape>
            </v:group>
            <v:group style="position:absolute;left:7324;top:2228;width:20;height:2" coordorigin="7324,2228" coordsize="20,2">
              <v:shape style="position:absolute;left:7324;top:2228;width:20;height:2" coordorigin="7324,2228" coordsize="20,0" path="m7324,2228l7343,2228e" filled="false" stroked="true" strokeweight=".48004pt" strokecolor="#000000">
                <v:path arrowok="t"/>
              </v:shape>
            </v:group>
            <v:group style="position:absolute;left:7343;top:2228;width:20;height:2" coordorigin="7343,2228" coordsize="20,2">
              <v:shape style="position:absolute;left:7343;top:2228;width:20;height:2" coordorigin="7343,2228" coordsize="20,0" path="m7343,2228l7362,2228e" filled="false" stroked="true" strokeweight=".48004pt" strokecolor="#000000">
                <v:path arrowok="t"/>
              </v:shape>
            </v:group>
            <v:group style="position:absolute;left:7362;top:2228;width:20;height:2" coordorigin="7362,2228" coordsize="20,2">
              <v:shape style="position:absolute;left:7362;top:2228;width:20;height:2" coordorigin="7362,2228" coordsize="20,0" path="m7362,2228l7381,2228e" filled="false" stroked="true" strokeweight=".48004pt" strokecolor="#000000">
                <v:path arrowok="t"/>
              </v:shape>
            </v:group>
            <v:group style="position:absolute;left:7381;top:2228;width:20;height:2" coordorigin="7381,2228" coordsize="20,2">
              <v:shape style="position:absolute;left:7381;top:2228;width:20;height:2" coordorigin="7381,2228" coordsize="20,0" path="m7381,2228l7401,2228e" filled="false" stroked="true" strokeweight=".48004pt" strokecolor="#000000">
                <v:path arrowok="t"/>
              </v:shape>
            </v:group>
            <v:group style="position:absolute;left:7401;top:2228;width:20;height:2" coordorigin="7401,2228" coordsize="20,2">
              <v:shape style="position:absolute;left:7401;top:2228;width:20;height:2" coordorigin="7401,2228" coordsize="20,0" path="m7401,2228l7420,2228e" filled="false" stroked="true" strokeweight=".48004pt" strokecolor="#000000">
                <v:path arrowok="t"/>
              </v:shape>
            </v:group>
            <v:group style="position:absolute;left:7420;top:2228;width:20;height:2" coordorigin="7420,2228" coordsize="20,2">
              <v:shape style="position:absolute;left:7420;top:2228;width:20;height:2" coordorigin="7420,2228" coordsize="20,0" path="m7420,2228l7439,2228e" filled="false" stroked="true" strokeweight=".48004pt" strokecolor="#000000">
                <v:path arrowok="t"/>
              </v:shape>
            </v:group>
            <v:group style="position:absolute;left:7439;top:2228;width:20;height:2" coordorigin="7439,2228" coordsize="20,2">
              <v:shape style="position:absolute;left:7439;top:2228;width:20;height:2" coordorigin="7439,2228" coordsize="20,0" path="m7439,2228l7458,2228e" filled="false" stroked="true" strokeweight=".48004pt" strokecolor="#000000">
                <v:path arrowok="t"/>
              </v:shape>
            </v:group>
            <v:group style="position:absolute;left:7458;top:2228;width:20;height:2" coordorigin="7458,2228" coordsize="20,2">
              <v:shape style="position:absolute;left:7458;top:2228;width:20;height:2" coordorigin="7458,2228" coordsize="20,0" path="m7458,2228l7477,2228e" filled="false" stroked="true" strokeweight=".48004pt" strokecolor="#000000">
                <v:path arrowok="t"/>
              </v:shape>
            </v:group>
            <v:group style="position:absolute;left:7477;top:2228;width:20;height:2" coordorigin="7477,2228" coordsize="20,2">
              <v:shape style="position:absolute;left:7477;top:2228;width:20;height:2" coordorigin="7477,2228" coordsize="20,0" path="m7477,2228l7497,2228e" filled="false" stroked="true" strokeweight=".48004pt" strokecolor="#000000">
                <v:path arrowok="t"/>
              </v:shape>
            </v:group>
            <v:group style="position:absolute;left:7497;top:2228;width:20;height:2" coordorigin="7497,2228" coordsize="20,2">
              <v:shape style="position:absolute;left:7497;top:2228;width:20;height:2" coordorigin="7497,2228" coordsize="20,0" path="m7497,2228l7516,2228e" filled="false" stroked="true" strokeweight=".48004pt" strokecolor="#000000">
                <v:path arrowok="t"/>
              </v:shape>
            </v:group>
            <v:group style="position:absolute;left:7516;top:2228;width:20;height:2" coordorigin="7516,2228" coordsize="20,2">
              <v:shape style="position:absolute;left:7516;top:2228;width:20;height:2" coordorigin="7516,2228" coordsize="20,0" path="m7516,2228l7535,2228e" filled="false" stroked="true" strokeweight=".48004pt" strokecolor="#000000">
                <v:path arrowok="t"/>
              </v:shape>
            </v:group>
            <v:group style="position:absolute;left:7535;top:2228;width:20;height:2" coordorigin="7535,2228" coordsize="20,2">
              <v:shape style="position:absolute;left:7535;top:2228;width:20;height:2" coordorigin="7535,2228" coordsize="20,0" path="m7535,2228l7554,2228e" filled="false" stroked="true" strokeweight=".48004pt" strokecolor="#000000">
                <v:path arrowok="t"/>
              </v:shape>
            </v:group>
            <v:group style="position:absolute;left:7554;top:2228;width:20;height:2" coordorigin="7554,2228" coordsize="20,2">
              <v:shape style="position:absolute;left:7554;top:2228;width:20;height:2" coordorigin="7554,2228" coordsize="20,0" path="m7554,2228l7573,2228e" filled="false" stroked="true" strokeweight=".48004pt" strokecolor="#000000">
                <v:path arrowok="t"/>
              </v:shape>
            </v:group>
            <v:group style="position:absolute;left:7573;top:2228;width:20;height:2" coordorigin="7573,2228" coordsize="20,2">
              <v:shape style="position:absolute;left:7573;top:2228;width:20;height:2" coordorigin="7573,2228" coordsize="20,0" path="m7573,2228l7593,2228e" filled="false" stroked="true" strokeweight=".48004pt" strokecolor="#000000">
                <v:path arrowok="t"/>
              </v:shape>
            </v:group>
            <v:group style="position:absolute;left:7593;top:2228;width:20;height:2" coordorigin="7593,2228" coordsize="20,2">
              <v:shape style="position:absolute;left:7593;top:2228;width:20;height:2" coordorigin="7593,2228" coordsize="20,0" path="m7593,2228l7612,2228e" filled="false" stroked="true" strokeweight=".48004pt" strokecolor="#000000">
                <v:path arrowok="t"/>
              </v:shape>
            </v:group>
            <v:group style="position:absolute;left:7612;top:2228;width:20;height:2" coordorigin="7612,2228" coordsize="20,2">
              <v:shape style="position:absolute;left:7612;top:2228;width:20;height:2" coordorigin="7612,2228" coordsize="20,0" path="m7612,2228l7631,2228e" filled="false" stroked="true" strokeweight=".48004pt" strokecolor="#000000">
                <v:path arrowok="t"/>
              </v:shape>
            </v:group>
            <v:group style="position:absolute;left:7631;top:2228;width:20;height:2" coordorigin="7631,2228" coordsize="20,2">
              <v:shape style="position:absolute;left:7631;top:2228;width:20;height:2" coordorigin="7631,2228" coordsize="20,0" path="m7631,2228l7650,2228e" filled="false" stroked="true" strokeweight=".48004pt" strokecolor="#000000">
                <v:path arrowok="t"/>
              </v:shape>
            </v:group>
            <v:group style="position:absolute;left:7650;top:2228;width:20;height:2" coordorigin="7650,2228" coordsize="20,2">
              <v:shape style="position:absolute;left:7650;top:2228;width:20;height:2" coordorigin="7650,2228" coordsize="20,0" path="m7650,2228l7669,2228e" filled="false" stroked="true" strokeweight=".48004pt" strokecolor="#000000">
                <v:path arrowok="t"/>
              </v:shape>
            </v:group>
            <v:group style="position:absolute;left:7669;top:2228;width:20;height:2" coordorigin="7669,2228" coordsize="20,2">
              <v:shape style="position:absolute;left:7669;top:2228;width:20;height:2" coordorigin="7669,2228" coordsize="20,0" path="m7669,2228l7689,2228e" filled="false" stroked="true" strokeweight=".48004pt" strokecolor="#000000">
                <v:path arrowok="t"/>
              </v:shape>
            </v:group>
            <v:group style="position:absolute;left:7689;top:2228;width:20;height:2" coordorigin="7689,2228" coordsize="20,2">
              <v:shape style="position:absolute;left:7689;top:2228;width:20;height:2" coordorigin="7689,2228" coordsize="20,0" path="m7689,2228l7708,2228e" filled="false" stroked="true" strokeweight=".48004pt" strokecolor="#000000">
                <v:path arrowok="t"/>
              </v:shape>
            </v:group>
            <v:group style="position:absolute;left:7708;top:2228;width:20;height:2" coordorigin="7708,2228" coordsize="20,2">
              <v:shape style="position:absolute;left:7708;top:2228;width:20;height:2" coordorigin="7708,2228" coordsize="20,0" path="m7708,2228l7727,2228e" filled="false" stroked="true" strokeweight=".48004pt" strokecolor="#000000">
                <v:path arrowok="t"/>
              </v:shape>
            </v:group>
            <v:group style="position:absolute;left:7727;top:2228;width:20;height:2" coordorigin="7727,2228" coordsize="20,2">
              <v:shape style="position:absolute;left:7727;top:2228;width:20;height:2" coordorigin="7727,2228" coordsize="20,0" path="m7727,2228l7746,2228e" filled="false" stroked="true" strokeweight=".48004pt" strokecolor="#000000">
                <v:path arrowok="t"/>
              </v:shape>
            </v:group>
            <v:group style="position:absolute;left:7746;top:2228;width:20;height:2" coordorigin="7746,2228" coordsize="20,2">
              <v:shape style="position:absolute;left:7746;top:2228;width:20;height:2" coordorigin="7746,2228" coordsize="20,0" path="m7746,2228l7765,2228e" filled="false" stroked="true" strokeweight=".48004pt" strokecolor="#000000">
                <v:path arrowok="t"/>
              </v:shape>
            </v:group>
            <v:group style="position:absolute;left:7765;top:2228;width:20;height:2" coordorigin="7765,2228" coordsize="20,2">
              <v:shape style="position:absolute;left:7765;top:2228;width:20;height:2" coordorigin="7765,2228" coordsize="20,0" path="m7765,2228l7785,2228e" filled="false" stroked="true" strokeweight=".48004pt" strokecolor="#000000">
                <v:path arrowok="t"/>
              </v:shape>
            </v:group>
            <v:group style="position:absolute;left:7785;top:2228;width:20;height:2" coordorigin="7785,2228" coordsize="20,2">
              <v:shape style="position:absolute;left:7785;top:2228;width:20;height:2" coordorigin="7785,2228" coordsize="20,0" path="m7785,2228l7804,2228e" filled="false" stroked="true" strokeweight=".48004pt" strokecolor="#000000">
                <v:path arrowok="t"/>
              </v:shape>
            </v:group>
            <v:group style="position:absolute;left:7804;top:2228;width:20;height:2" coordorigin="7804,2228" coordsize="20,2">
              <v:shape style="position:absolute;left:7804;top:2228;width:20;height:2" coordorigin="7804,2228" coordsize="20,0" path="m7804,2228l7823,2228e" filled="false" stroked="true" strokeweight=".48004pt" strokecolor="#000000">
                <v:path arrowok="t"/>
              </v:shape>
            </v:group>
            <v:group style="position:absolute;left:7823;top:2228;width:20;height:2" coordorigin="7823,2228" coordsize="20,2">
              <v:shape style="position:absolute;left:7823;top:2228;width:20;height:2" coordorigin="7823,2228" coordsize="20,0" path="m7823,2228l7842,2228e" filled="false" stroked="true" strokeweight=".48004pt" strokecolor="#000000">
                <v:path arrowok="t"/>
              </v:shape>
            </v:group>
            <v:group style="position:absolute;left:7842;top:2228;width:20;height:2" coordorigin="7842,2228" coordsize="20,2">
              <v:shape style="position:absolute;left:7842;top:2228;width:20;height:2" coordorigin="7842,2228" coordsize="20,0" path="m7842,2228l7861,2228e" filled="false" stroked="true" strokeweight=".48004pt" strokecolor="#000000">
                <v:path arrowok="t"/>
              </v:shape>
            </v:group>
            <v:group style="position:absolute;left:7861;top:2228;width:20;height:2" coordorigin="7861,2228" coordsize="20,2">
              <v:shape style="position:absolute;left:7861;top:2228;width:20;height:2" coordorigin="7861,2228" coordsize="20,0" path="m7861,2228l7881,2228e" filled="false" stroked="true" strokeweight=".48004pt" strokecolor="#000000">
                <v:path arrowok="t"/>
              </v:shape>
            </v:group>
            <v:group style="position:absolute;left:7881;top:2228;width:20;height:2" coordorigin="7881,2228" coordsize="20,2">
              <v:shape style="position:absolute;left:7881;top:2228;width:20;height:2" coordorigin="7881,2228" coordsize="20,0" path="m7881,2228l7900,2228e" filled="false" stroked="true" strokeweight=".48004pt" strokecolor="#000000">
                <v:path arrowok="t"/>
              </v:shape>
            </v:group>
            <v:group style="position:absolute;left:7900;top:2228;width:20;height:2" coordorigin="7900,2228" coordsize="20,2">
              <v:shape style="position:absolute;left:7900;top:2228;width:20;height:2" coordorigin="7900,2228" coordsize="20,0" path="m7900,2228l7919,2228e" filled="false" stroked="true" strokeweight=".48004pt" strokecolor="#000000">
                <v:path arrowok="t"/>
              </v:shape>
            </v:group>
            <v:group style="position:absolute;left:7919;top:2228;width:20;height:2" coordorigin="7919,2228" coordsize="20,2">
              <v:shape style="position:absolute;left:7919;top:2228;width:20;height:2" coordorigin="7919,2228" coordsize="20,0" path="m7919,2228l7938,2228e" filled="false" stroked="true" strokeweight=".48004pt" strokecolor="#000000">
                <v:path arrowok="t"/>
              </v:shape>
            </v:group>
            <v:group style="position:absolute;left:7938;top:2228;width:20;height:2" coordorigin="7938,2228" coordsize="20,2">
              <v:shape style="position:absolute;left:7938;top:2228;width:20;height:2" coordorigin="7938,2228" coordsize="20,0" path="m7938,2228l7957,2228e" filled="false" stroked="true" strokeweight=".48004pt" strokecolor="#000000">
                <v:path arrowok="t"/>
              </v:shape>
            </v:group>
            <v:group style="position:absolute;left:7957;top:2228;width:20;height:2" coordorigin="7957,2228" coordsize="20,2">
              <v:shape style="position:absolute;left:7957;top:2228;width:20;height:2" coordorigin="7957,2228" coordsize="20,0" path="m7957,2228l7977,2228e" filled="false" stroked="true" strokeweight=".48004pt" strokecolor="#000000">
                <v:path arrowok="t"/>
              </v:shape>
            </v:group>
            <v:group style="position:absolute;left:7977;top:2228;width:20;height:2" coordorigin="7977,2228" coordsize="20,2">
              <v:shape style="position:absolute;left:7977;top:2228;width:20;height:2" coordorigin="7977,2228" coordsize="20,0" path="m7977,2228l7996,2228e" filled="false" stroked="true" strokeweight=".48004pt" strokecolor="#000000">
                <v:path arrowok="t"/>
              </v:shape>
            </v:group>
            <v:group style="position:absolute;left:7996;top:2228;width:20;height:2" coordorigin="7996,2228" coordsize="20,2">
              <v:shape style="position:absolute;left:7996;top:2228;width:20;height:2" coordorigin="7996,2228" coordsize="20,0" path="m7996,2228l8015,2228e" filled="false" stroked="true" strokeweight=".48004pt" strokecolor="#000000">
                <v:path arrowok="t"/>
              </v:shape>
            </v:group>
            <v:group style="position:absolute;left:8015;top:2228;width:20;height:2" coordorigin="8015,2228" coordsize="20,2">
              <v:shape style="position:absolute;left:8015;top:2228;width:20;height:2" coordorigin="8015,2228" coordsize="20,0" path="m8015,2228l8034,2228e" filled="false" stroked="true" strokeweight=".48004pt" strokecolor="#000000">
                <v:path arrowok="t"/>
              </v:shape>
            </v:group>
            <v:group style="position:absolute;left:8034;top:2228;width:20;height:2" coordorigin="8034,2228" coordsize="20,2">
              <v:shape style="position:absolute;left:8034;top:2228;width:20;height:2" coordorigin="8034,2228" coordsize="20,0" path="m8034,2228l8053,2228e" filled="false" stroked="true" strokeweight=".48004pt" strokecolor="#000000">
                <v:path arrowok="t"/>
              </v:shape>
            </v:group>
            <v:group style="position:absolute;left:8053;top:2228;width:20;height:2" coordorigin="8053,2228" coordsize="20,2">
              <v:shape style="position:absolute;left:8053;top:2228;width:20;height:2" coordorigin="8053,2228" coordsize="20,0" path="m8053,2228l8073,2228e" filled="false" stroked="true" strokeweight=".48004pt" strokecolor="#000000">
                <v:path arrowok="t"/>
              </v:shape>
            </v:group>
            <v:group style="position:absolute;left:8073;top:2228;width:20;height:2" coordorigin="8073,2228" coordsize="20,2">
              <v:shape style="position:absolute;left:8073;top:2228;width:20;height:2" coordorigin="8073,2228" coordsize="20,0" path="m8073,2228l8092,2228e" filled="false" stroked="true" strokeweight=".48004pt" strokecolor="#000000">
                <v:path arrowok="t"/>
              </v:shape>
            </v:group>
            <v:group style="position:absolute;left:8092;top:2228;width:20;height:2" coordorigin="8092,2228" coordsize="20,2">
              <v:shape style="position:absolute;left:8092;top:2228;width:20;height:2" coordorigin="8092,2228" coordsize="20,0" path="m8092,2228l8111,2228e" filled="false" stroked="true" strokeweight=".48004pt" strokecolor="#000000">
                <v:path arrowok="t"/>
              </v:shape>
            </v:group>
            <v:group style="position:absolute;left:8111;top:2228;width:20;height:2" coordorigin="8111,2228" coordsize="20,2">
              <v:shape style="position:absolute;left:8111;top:2228;width:20;height:2" coordorigin="8111,2228" coordsize="20,0" path="m8111,2228l8130,2228e" filled="false" stroked="true" strokeweight=".48004pt" strokecolor="#000000">
                <v:path arrowok="t"/>
              </v:shape>
            </v:group>
            <v:group style="position:absolute;left:8130;top:2228;width:20;height:2" coordorigin="8130,2228" coordsize="20,2">
              <v:shape style="position:absolute;left:8130;top:2228;width:20;height:2" coordorigin="8130,2228" coordsize="20,0" path="m8130,2228l8149,2228e" filled="false" stroked="true" strokeweight=".48004pt" strokecolor="#000000">
                <v:path arrowok="t"/>
              </v:shape>
            </v:group>
            <v:group style="position:absolute;left:8149;top:2228;width:20;height:2" coordorigin="8149,2228" coordsize="20,2">
              <v:shape style="position:absolute;left:8149;top:2228;width:20;height:2" coordorigin="8149,2228" coordsize="20,0" path="m8149,2228l8169,2228e" filled="false" stroked="true" strokeweight=".48004pt" strokecolor="#000000">
                <v:path arrowok="t"/>
              </v:shape>
            </v:group>
            <v:group style="position:absolute;left:8169;top:2228;width:20;height:2" coordorigin="8169,2228" coordsize="20,2">
              <v:shape style="position:absolute;left:8169;top:2228;width:20;height:2" coordorigin="8169,2228" coordsize="20,0" path="m8169,2228l8188,2228e" filled="false" stroked="true" strokeweight=".48004pt" strokecolor="#000000">
                <v:path arrowok="t"/>
              </v:shape>
            </v:group>
            <v:group style="position:absolute;left:8188;top:2228;width:20;height:2" coordorigin="8188,2228" coordsize="20,2">
              <v:shape style="position:absolute;left:8188;top:2228;width:20;height:2" coordorigin="8188,2228" coordsize="20,0" path="m8188,2228l8207,2228e" filled="false" stroked="true" strokeweight=".48004pt" strokecolor="#000000">
                <v:path arrowok="t"/>
              </v:shape>
            </v:group>
            <v:group style="position:absolute;left:8207;top:2228;width:20;height:2" coordorigin="8207,2228" coordsize="20,2">
              <v:shape style="position:absolute;left:8207;top:2228;width:20;height:2" coordorigin="8207,2228" coordsize="20,0" path="m8207,2228l8226,2228e" filled="false" stroked="true" strokeweight=".48004pt" strokecolor="#000000">
                <v:path arrowok="t"/>
              </v:shape>
            </v:group>
            <v:group style="position:absolute;left:8226;top:2228;width:20;height:2" coordorigin="8226,2228" coordsize="20,2">
              <v:shape style="position:absolute;left:8226;top:2228;width:20;height:2" coordorigin="8226,2228" coordsize="20,0" path="m8226,2228l8245,2228e" filled="false" stroked="true" strokeweight=".48004pt" strokecolor="#000000">
                <v:path arrowok="t"/>
              </v:shape>
            </v:group>
            <v:group style="position:absolute;left:8245;top:2228;width:20;height:2" coordorigin="8245,2228" coordsize="20,2">
              <v:shape style="position:absolute;left:8245;top:2228;width:20;height:2" coordorigin="8245,2228" coordsize="20,0" path="m8245,2228l8265,2228e" filled="false" stroked="true" strokeweight=".48004pt" strokecolor="#000000">
                <v:path arrowok="t"/>
              </v:shape>
            </v:group>
            <v:group style="position:absolute;left:8265;top:2228;width:20;height:2" coordorigin="8265,2228" coordsize="20,2">
              <v:shape style="position:absolute;left:8265;top:2228;width:20;height:2" coordorigin="8265,2228" coordsize="20,0" path="m8265,2228l8284,2228e" filled="false" stroked="true" strokeweight=".48004pt" strokecolor="#000000">
                <v:path arrowok="t"/>
              </v:shape>
            </v:group>
            <v:group style="position:absolute;left:8284;top:2228;width:20;height:2" coordorigin="8284,2228" coordsize="20,2">
              <v:shape style="position:absolute;left:8284;top:2228;width:20;height:2" coordorigin="8284,2228" coordsize="20,0" path="m8284,2228l8303,2228e" filled="false" stroked="true" strokeweight=".48004pt" strokecolor="#000000">
                <v:path arrowok="t"/>
              </v:shape>
            </v:group>
            <v:group style="position:absolute;left:8303;top:2228;width:20;height:2" coordorigin="8303,2228" coordsize="20,2">
              <v:shape style="position:absolute;left:8303;top:2228;width:20;height:2" coordorigin="8303,2228" coordsize="20,0" path="m8303,2228l8322,2228e" filled="false" stroked="true" strokeweight=".48004pt" strokecolor="#000000">
                <v:path arrowok="t"/>
              </v:shape>
            </v:group>
            <v:group style="position:absolute;left:8322;top:2228;width:20;height:2" coordorigin="8322,2228" coordsize="20,2">
              <v:shape style="position:absolute;left:8322;top:2228;width:20;height:2" coordorigin="8322,2228" coordsize="20,0" path="m8322,2228l8341,2228e" filled="false" stroked="true" strokeweight=".48004pt" strokecolor="#000000">
                <v:path arrowok="t"/>
              </v:shape>
            </v:group>
            <v:group style="position:absolute;left:8341;top:2228;width:20;height:2" coordorigin="8341,2228" coordsize="20,2">
              <v:shape style="position:absolute;left:8341;top:2228;width:20;height:2" coordorigin="8341,2228" coordsize="20,0" path="m8341,2228l8361,2228e" filled="false" stroked="true" strokeweight=".48004pt" strokecolor="#000000">
                <v:path arrowok="t"/>
              </v:shape>
            </v:group>
            <v:group style="position:absolute;left:8361;top:2228;width:20;height:2" coordorigin="8361,2228" coordsize="20,2">
              <v:shape style="position:absolute;left:8361;top:2228;width:20;height:2" coordorigin="8361,2228" coordsize="20,0" path="m8361,2228l8380,2228e" filled="false" stroked="true" strokeweight=".48004pt" strokecolor="#000000">
                <v:path arrowok="t"/>
              </v:shape>
            </v:group>
            <v:group style="position:absolute;left:8380;top:2228;width:20;height:2" coordorigin="8380,2228" coordsize="20,2">
              <v:shape style="position:absolute;left:8380;top:2228;width:20;height:2" coordorigin="8380,2228" coordsize="20,0" path="m8380,2228l8399,2228e" filled="false" stroked="true" strokeweight=".48004pt" strokecolor="#000000">
                <v:path arrowok="t"/>
              </v:shape>
            </v:group>
            <v:group style="position:absolute;left:8399;top:2228;width:20;height:2" coordorigin="8399,2228" coordsize="20,2">
              <v:shape style="position:absolute;left:8399;top:2228;width:20;height:2" coordorigin="8399,2228" coordsize="20,0" path="m8399,2228l8418,2228e" filled="false" stroked="true" strokeweight=".48004pt" strokecolor="#000000">
                <v:path arrowok="t"/>
              </v:shape>
            </v:group>
            <v:group style="position:absolute;left:8418;top:2228;width:20;height:2" coordorigin="8418,2228" coordsize="20,2">
              <v:shape style="position:absolute;left:8418;top:2228;width:20;height:2" coordorigin="8418,2228" coordsize="20,0" path="m8418,2228l8437,2228e" filled="false" stroked="true" strokeweight=".48004pt" strokecolor="#000000">
                <v:path arrowok="t"/>
              </v:shape>
            </v:group>
            <v:group style="position:absolute;left:8437;top:2228;width:20;height:2" coordorigin="8437,2228" coordsize="20,2">
              <v:shape style="position:absolute;left:8437;top:2228;width:20;height:2" coordorigin="8437,2228" coordsize="20,0" path="m8437,2228l8457,2228e" filled="false" stroked="true" strokeweight=".48004pt" strokecolor="#000000">
                <v:path arrowok="t"/>
              </v:shape>
            </v:group>
            <v:group style="position:absolute;left:8457;top:2228;width:20;height:2" coordorigin="8457,2228" coordsize="20,2">
              <v:shape style="position:absolute;left:8457;top:2228;width:20;height:2" coordorigin="8457,2228" coordsize="20,0" path="m8457,2228l8476,2228e" filled="false" stroked="true" strokeweight=".48004pt" strokecolor="#000000">
                <v:path arrowok="t"/>
              </v:shape>
            </v:group>
            <v:group style="position:absolute;left:8476;top:2228;width:20;height:2" coordorigin="8476,2228" coordsize="20,2">
              <v:shape style="position:absolute;left:8476;top:2228;width:20;height:2" coordorigin="8476,2228" coordsize="20,0" path="m8476,2228l8495,2228e" filled="false" stroked="true" strokeweight=".48004pt" strokecolor="#000000">
                <v:path arrowok="t"/>
              </v:shape>
            </v:group>
            <v:group style="position:absolute;left:8495;top:2228;width:20;height:2" coordorigin="8495,2228" coordsize="20,2">
              <v:shape style="position:absolute;left:8495;top:2228;width:20;height:2" coordorigin="8495,2228" coordsize="20,0" path="m8495,2228l8514,2228e" filled="false" stroked="true" strokeweight=".48004pt" strokecolor="#000000">
                <v:path arrowok="t"/>
              </v:shape>
            </v:group>
            <v:group style="position:absolute;left:8514;top:2228;width:20;height:2" coordorigin="8514,2228" coordsize="20,2">
              <v:shape style="position:absolute;left:8514;top:2228;width:20;height:2" coordorigin="8514,2228" coordsize="20,0" path="m8514,2228l8533,2228e" filled="false" stroked="true" strokeweight=".48004pt" strokecolor="#000000">
                <v:path arrowok="t"/>
              </v:shape>
            </v:group>
            <v:group style="position:absolute;left:8533;top:2228;width:15;height:2" coordorigin="8533,2228" coordsize="15,2">
              <v:shape style="position:absolute;left:8533;top:2228;width:15;height:2" coordorigin="8533,2228" coordsize="15,0" path="m8533,2228l8548,2228e" filled="false" stroked="true" strokeweight=".48004pt" strokecolor="#000000">
                <v:path arrowok="t"/>
              </v:shape>
            </v:group>
            <v:group style="position:absolute;left:8548;top:2228;width:10;height:2" coordorigin="8548,2228" coordsize="10,2">
              <v:shape style="position:absolute;left:8548;top:2228;width:10;height:2" coordorigin="8548,2228" coordsize="10,0" path="m8548,2228l8557,2228e" filled="false" stroked="true" strokeweight=".48004pt" strokecolor="#000000">
                <v:path arrowok="t"/>
              </v:shape>
            </v:group>
            <v:group style="position:absolute;left:8557;top:2228;width:20;height:2" coordorigin="8557,2228" coordsize="20,2">
              <v:shape style="position:absolute;left:8557;top:2228;width:20;height:2" coordorigin="8557,2228" coordsize="20,0" path="m8557,2228l8577,2228e" filled="false" stroked="true" strokeweight=".48004pt" strokecolor="#000000">
                <v:path arrowok="t"/>
              </v:shape>
            </v:group>
            <v:group style="position:absolute;left:8577;top:2228;width:20;height:2" coordorigin="8577,2228" coordsize="20,2">
              <v:shape style="position:absolute;left:8577;top:2228;width:20;height:2" coordorigin="8577,2228" coordsize="20,0" path="m8577,2228l8596,2228e" filled="false" stroked="true" strokeweight=".48004pt" strokecolor="#000000">
                <v:path arrowok="t"/>
              </v:shape>
            </v:group>
            <v:group style="position:absolute;left:8596;top:2228;width:20;height:2" coordorigin="8596,2228" coordsize="20,2">
              <v:shape style="position:absolute;left:8596;top:2228;width:20;height:2" coordorigin="8596,2228" coordsize="20,0" path="m8596,2228l8615,2228e" filled="false" stroked="true" strokeweight=".48004pt" strokecolor="#000000">
                <v:path arrowok="t"/>
              </v:shape>
            </v:group>
            <v:group style="position:absolute;left:8615;top:2228;width:20;height:2" coordorigin="8615,2228" coordsize="20,2">
              <v:shape style="position:absolute;left:8615;top:2228;width:20;height:2" coordorigin="8615,2228" coordsize="20,0" path="m8615,2228l8634,2228e" filled="false" stroked="true" strokeweight=".48004pt" strokecolor="#000000">
                <v:path arrowok="t"/>
              </v:shape>
            </v:group>
            <v:group style="position:absolute;left:8634;top:2228;width:20;height:2" coordorigin="8634,2228" coordsize="20,2">
              <v:shape style="position:absolute;left:8634;top:2228;width:20;height:2" coordorigin="8634,2228" coordsize="20,0" path="m8634,2228l8653,2228e" filled="false" stroked="true" strokeweight=".48004pt" strokecolor="#000000">
                <v:path arrowok="t"/>
              </v:shape>
            </v:group>
            <v:group style="position:absolute;left:8653;top:2228;width:20;height:2" coordorigin="8653,2228" coordsize="20,2">
              <v:shape style="position:absolute;left:8653;top:2228;width:20;height:2" coordorigin="8653,2228" coordsize="20,0" path="m8653,2228l8673,2228e" filled="false" stroked="true" strokeweight=".48004pt" strokecolor="#000000">
                <v:path arrowok="t"/>
              </v:shape>
            </v:group>
            <v:group style="position:absolute;left:8673;top:2228;width:20;height:2" coordorigin="8673,2228" coordsize="20,2">
              <v:shape style="position:absolute;left:8673;top:2228;width:20;height:2" coordorigin="8673,2228" coordsize="20,0" path="m8673,2228l8692,2228e" filled="false" stroked="true" strokeweight=".48004pt" strokecolor="#000000">
                <v:path arrowok="t"/>
              </v:shape>
            </v:group>
            <v:group style="position:absolute;left:8692;top:2228;width:20;height:2" coordorigin="8692,2228" coordsize="20,2">
              <v:shape style="position:absolute;left:8692;top:2228;width:20;height:2" coordorigin="8692,2228" coordsize="20,0" path="m8692,2228l8711,2228e" filled="false" stroked="true" strokeweight=".48004pt" strokecolor="#000000">
                <v:path arrowok="t"/>
              </v:shape>
            </v:group>
            <v:group style="position:absolute;left:8711;top:2228;width:20;height:2" coordorigin="8711,2228" coordsize="20,2">
              <v:shape style="position:absolute;left:8711;top:2228;width:20;height:2" coordorigin="8711,2228" coordsize="20,0" path="m8711,2228l8730,2228e" filled="false" stroked="true" strokeweight=".48004pt" strokecolor="#000000">
                <v:path arrowok="t"/>
              </v:shape>
            </v:group>
            <v:group style="position:absolute;left:8730;top:2228;width:20;height:2" coordorigin="8730,2228" coordsize="20,2">
              <v:shape style="position:absolute;left:8730;top:2228;width:20;height:2" coordorigin="8730,2228" coordsize="20,0" path="m8730,2228l8749,2228e" filled="false" stroked="true" strokeweight=".48004pt" strokecolor="#000000">
                <v:path arrowok="t"/>
              </v:shape>
            </v:group>
            <v:group style="position:absolute;left:8749;top:2228;width:20;height:2" coordorigin="8749,2228" coordsize="20,2">
              <v:shape style="position:absolute;left:8749;top:2228;width:20;height:2" coordorigin="8749,2228" coordsize="20,0" path="m8749,2228l8769,2228e" filled="false" stroked="true" strokeweight=".48004pt" strokecolor="#000000">
                <v:path arrowok="t"/>
              </v:shape>
            </v:group>
            <v:group style="position:absolute;left:8769;top:2228;width:20;height:2" coordorigin="8769,2228" coordsize="20,2">
              <v:shape style="position:absolute;left:8769;top:2228;width:20;height:2" coordorigin="8769,2228" coordsize="20,0" path="m8769,2228l8788,2228e" filled="false" stroked="true" strokeweight=".48004pt" strokecolor="#000000">
                <v:path arrowok="t"/>
              </v:shape>
            </v:group>
            <v:group style="position:absolute;left:8788;top:2228;width:20;height:2" coordorigin="8788,2228" coordsize="20,2">
              <v:shape style="position:absolute;left:8788;top:2228;width:20;height:2" coordorigin="8788,2228" coordsize="20,0" path="m8788,2228l8807,2228e" filled="false" stroked="true" strokeweight=".48004pt" strokecolor="#000000">
                <v:path arrowok="t"/>
              </v:shape>
            </v:group>
            <v:group style="position:absolute;left:8807;top:2228;width:20;height:2" coordorigin="8807,2228" coordsize="20,2">
              <v:shape style="position:absolute;left:8807;top:2228;width:20;height:2" coordorigin="8807,2228" coordsize="20,0" path="m8807,2228l8826,2228e" filled="false" stroked="true" strokeweight=".48004pt" strokecolor="#000000">
                <v:path arrowok="t"/>
              </v:shape>
            </v:group>
            <v:group style="position:absolute;left:8826;top:2228;width:20;height:2" coordorigin="8826,2228" coordsize="20,2">
              <v:shape style="position:absolute;left:8826;top:2228;width:20;height:2" coordorigin="8826,2228" coordsize="20,0" path="m8826,2228l8845,2228e" filled="false" stroked="true" strokeweight=".48004pt" strokecolor="#000000">
                <v:path arrowok="t"/>
              </v:shape>
            </v:group>
            <v:group style="position:absolute;left:8845;top:2228;width:20;height:2" coordorigin="8845,2228" coordsize="20,2">
              <v:shape style="position:absolute;left:8845;top:2228;width:20;height:2" coordorigin="8845,2228" coordsize="20,0" path="m8845,2228l8865,2228e" filled="false" stroked="true" strokeweight=".48004pt" strokecolor="#000000">
                <v:path arrowok="t"/>
              </v:shape>
            </v:group>
            <v:group style="position:absolute;left:8865;top:2228;width:20;height:2" coordorigin="8865,2228" coordsize="20,2">
              <v:shape style="position:absolute;left:8865;top:2228;width:20;height:2" coordorigin="8865,2228" coordsize="20,0" path="m8865,2228l8884,2228e" filled="false" stroked="true" strokeweight=".48004pt" strokecolor="#000000">
                <v:path arrowok="t"/>
              </v:shape>
            </v:group>
            <v:group style="position:absolute;left:8884;top:2228;width:20;height:2" coordorigin="8884,2228" coordsize="20,2">
              <v:shape style="position:absolute;left:8884;top:2228;width:20;height:2" coordorigin="8884,2228" coordsize="20,0" path="m8884,2228l8904,2228e" filled="false" stroked="true" strokeweight=".48004pt" strokecolor="#000000">
                <v:path arrowok="t"/>
              </v:shape>
            </v:group>
            <v:group style="position:absolute;left:8904;top:2228;width:20;height:2" coordorigin="8904,2228" coordsize="20,2">
              <v:shape style="position:absolute;left:8904;top:2228;width:20;height:2" coordorigin="8904,2228" coordsize="20,0" path="m8904,2228l8923,2228e" filled="false" stroked="true" strokeweight=".48004pt" strokecolor="#000000">
                <v:path arrowok="t"/>
              </v:shape>
            </v:group>
            <v:group style="position:absolute;left:8923;top:2228;width:20;height:2" coordorigin="8923,2228" coordsize="20,2">
              <v:shape style="position:absolute;left:8923;top:2228;width:20;height:2" coordorigin="8923,2228" coordsize="20,0" path="m8923,2228l8942,2228e" filled="false" stroked="true" strokeweight=".48004pt" strokecolor="#000000">
                <v:path arrowok="t"/>
              </v:shape>
            </v:group>
            <v:group style="position:absolute;left:8942;top:2228;width:20;height:2" coordorigin="8942,2228" coordsize="20,2">
              <v:shape style="position:absolute;left:8942;top:2228;width:20;height:2" coordorigin="8942,2228" coordsize="20,0" path="m8942,2228l8961,2228e" filled="false" stroked="true" strokeweight=".48004pt" strokecolor="#000000">
                <v:path arrowok="t"/>
              </v:shape>
            </v:group>
            <v:group style="position:absolute;left:8961;top:2228;width:20;height:2" coordorigin="8961,2228" coordsize="20,2">
              <v:shape style="position:absolute;left:8961;top:2228;width:20;height:2" coordorigin="8961,2228" coordsize="20,0" path="m8961,2228l8980,2228e" filled="false" stroked="true" strokeweight=".48004pt" strokecolor="#000000">
                <v:path arrowok="t"/>
              </v:shape>
            </v:group>
            <v:group style="position:absolute;left:8980;top:2228;width:20;height:2" coordorigin="8980,2228" coordsize="20,2">
              <v:shape style="position:absolute;left:8980;top:2228;width:20;height:2" coordorigin="8980,2228" coordsize="20,0" path="m8980,2228l9000,2228e" filled="false" stroked="true" strokeweight=".48004pt" strokecolor="#000000">
                <v:path arrowok="t"/>
              </v:shape>
            </v:group>
            <v:group style="position:absolute;left:9000;top:2228;width:20;height:2" coordorigin="9000,2228" coordsize="20,2">
              <v:shape style="position:absolute;left:9000;top:2228;width:20;height:2" coordorigin="9000,2228" coordsize="20,0" path="m9000,2228l9019,2228e" filled="false" stroked="true" strokeweight=".48004pt" strokecolor="#000000">
                <v:path arrowok="t"/>
              </v:shape>
            </v:group>
            <v:group style="position:absolute;left:9019;top:2228;width:20;height:2" coordorigin="9019,2228" coordsize="20,2">
              <v:shape style="position:absolute;left:9019;top:2228;width:20;height:2" coordorigin="9019,2228" coordsize="20,0" path="m9019,2228l9038,2228e" filled="false" stroked="true" strokeweight=".48004pt" strokecolor="#000000">
                <v:path arrowok="t"/>
              </v:shape>
            </v:group>
            <v:group style="position:absolute;left:9038;top:2228;width:20;height:2" coordorigin="9038,2228" coordsize="20,2">
              <v:shape style="position:absolute;left:9038;top:2228;width:20;height:2" coordorigin="9038,2228" coordsize="20,0" path="m9038,2228l9057,2228e" filled="false" stroked="true" strokeweight=".48004pt" strokecolor="#000000">
                <v:path arrowok="t"/>
              </v:shape>
            </v:group>
            <v:group style="position:absolute;left:9057;top:2228;width:20;height:2" coordorigin="9057,2228" coordsize="20,2">
              <v:shape style="position:absolute;left:9057;top:2228;width:20;height:2" coordorigin="9057,2228" coordsize="20,0" path="m9057,2228l9076,2228e" filled="false" stroked="true" strokeweight=".48004pt" strokecolor="#000000">
                <v:path arrowok="t"/>
              </v:shape>
            </v:group>
            <v:group style="position:absolute;left:9076;top:2228;width:20;height:2" coordorigin="9076,2228" coordsize="20,2">
              <v:shape style="position:absolute;left:9076;top:2228;width:20;height:2" coordorigin="9076,2228" coordsize="20,0" path="m9076,2228l9096,2228e" filled="false" stroked="true" strokeweight=".48004pt" strokecolor="#000000">
                <v:path arrowok="t"/>
              </v:shape>
            </v:group>
            <v:group style="position:absolute;left:9096;top:2228;width:20;height:2" coordorigin="9096,2228" coordsize="20,2">
              <v:shape style="position:absolute;left:9096;top:2228;width:20;height:2" coordorigin="9096,2228" coordsize="20,0" path="m9096,2228l9115,2228e" filled="false" stroked="true" strokeweight=".48004pt" strokecolor="#000000">
                <v:path arrowok="t"/>
              </v:shape>
            </v:group>
            <v:group style="position:absolute;left:9115;top:2228;width:20;height:2" coordorigin="9115,2228" coordsize="20,2">
              <v:shape style="position:absolute;left:9115;top:2228;width:20;height:2" coordorigin="9115,2228" coordsize="20,0" path="m9115,2228l9134,2228e" filled="false" stroked="true" strokeweight=".48004pt" strokecolor="#000000">
                <v:path arrowok="t"/>
              </v:shape>
            </v:group>
            <v:group style="position:absolute;left:9134;top:2228;width:20;height:2" coordorigin="9134,2228" coordsize="20,2">
              <v:shape style="position:absolute;left:9134;top:2228;width:20;height:2" coordorigin="9134,2228" coordsize="20,0" path="m9134,2228l9153,2228e" filled="false" stroked="true" strokeweight=".48004pt" strokecolor="#000000">
                <v:path arrowok="t"/>
              </v:shape>
            </v:group>
            <v:group style="position:absolute;left:9153;top:2228;width:20;height:2" coordorigin="9153,2228" coordsize="20,2">
              <v:shape style="position:absolute;left:9153;top:2228;width:20;height:2" coordorigin="9153,2228" coordsize="20,0" path="m9153,2228l9172,2228e" filled="false" stroked="true" strokeweight=".48004pt" strokecolor="#000000">
                <v:path arrowok="t"/>
              </v:shape>
            </v:group>
            <v:group style="position:absolute;left:9172;top:2228;width:20;height:2" coordorigin="9172,2228" coordsize="20,2">
              <v:shape style="position:absolute;left:9172;top:2228;width:20;height:2" coordorigin="9172,2228" coordsize="20,0" path="m9172,2228l9192,2228e" filled="false" stroked="true" strokeweight=".48004pt" strokecolor="#000000">
                <v:path arrowok="t"/>
              </v:shape>
            </v:group>
            <v:group style="position:absolute;left:9192;top:2228;width:20;height:2" coordorigin="9192,2228" coordsize="20,2">
              <v:shape style="position:absolute;left:9192;top:2228;width:20;height:2" coordorigin="9192,2228" coordsize="20,0" path="m9192,2228l9211,2228e" filled="false" stroked="true" strokeweight=".48004pt" strokecolor="#000000">
                <v:path arrowok="t"/>
              </v:shape>
            </v:group>
            <v:group style="position:absolute;left:9211;top:2228;width:20;height:2" coordorigin="9211,2228" coordsize="20,2">
              <v:shape style="position:absolute;left:9211;top:2228;width:20;height:2" coordorigin="9211,2228" coordsize="20,0" path="m9211,2228l9230,2228e" filled="false" stroked="true" strokeweight=".48004pt" strokecolor="#000000">
                <v:path arrowok="t"/>
              </v:shape>
            </v:group>
            <v:group style="position:absolute;left:9230;top:2228;width:20;height:2" coordorigin="9230,2228" coordsize="20,2">
              <v:shape style="position:absolute;left:9230;top:2228;width:20;height:2" coordorigin="9230,2228" coordsize="20,0" path="m9230,2228l9249,2228e" filled="false" stroked="true" strokeweight=".48004pt" strokecolor="#000000">
                <v:path arrowok="t"/>
              </v:shape>
            </v:group>
            <v:group style="position:absolute;left:9249;top:2228;width:20;height:2" coordorigin="9249,2228" coordsize="20,2">
              <v:shape style="position:absolute;left:9249;top:2228;width:20;height:2" coordorigin="9249,2228" coordsize="20,0" path="m9249,2228l9268,2228e" filled="false" stroked="true" strokeweight=".48004pt" strokecolor="#000000">
                <v:path arrowok="t"/>
              </v:shape>
            </v:group>
            <v:group style="position:absolute;left:9268;top:2228;width:20;height:2" coordorigin="9268,2228" coordsize="20,2">
              <v:shape style="position:absolute;left:9268;top:2228;width:20;height:2" coordorigin="9268,2228" coordsize="20,0" path="m9268,2228l9288,2228e" filled="false" stroked="true" strokeweight=".48004pt" strokecolor="#000000">
                <v:path arrowok="t"/>
              </v:shape>
            </v:group>
            <v:group style="position:absolute;left:9288;top:2228;width:20;height:2" coordorigin="9288,2228" coordsize="20,2">
              <v:shape style="position:absolute;left:9288;top:2228;width:20;height:2" coordorigin="9288,2228" coordsize="20,0" path="m9288,2228l9307,2228e" filled="false" stroked="true" strokeweight=".48004pt" strokecolor="#000000">
                <v:path arrowok="t"/>
              </v:shape>
            </v:group>
            <v:group style="position:absolute;left:9307;top:2228;width:20;height:2" coordorigin="9307,2228" coordsize="20,2">
              <v:shape style="position:absolute;left:9307;top:2228;width:20;height:2" coordorigin="9307,2228" coordsize="20,0" path="m9307,2228l9326,2228e" filled="false" stroked="true" strokeweight=".48004pt" strokecolor="#000000">
                <v:path arrowok="t"/>
              </v:shape>
            </v:group>
            <v:group style="position:absolute;left:9326;top:2228;width:20;height:2" coordorigin="9326,2228" coordsize="20,2">
              <v:shape style="position:absolute;left:9326;top:2228;width:20;height:2" coordorigin="9326,2228" coordsize="20,0" path="m9326,2228l9345,2228e" filled="false" stroked="true" strokeweight=".48004pt" strokecolor="#000000">
                <v:path arrowok="t"/>
              </v:shape>
            </v:group>
            <v:group style="position:absolute;left:9345;top:2228;width:20;height:2" coordorigin="9345,2228" coordsize="20,2">
              <v:shape style="position:absolute;left:9345;top:2228;width:20;height:2" coordorigin="9345,2228" coordsize="20,0" path="m9345,2228l9364,2228e" filled="false" stroked="true" strokeweight=".48004pt" strokecolor="#000000">
                <v:path arrowok="t"/>
              </v:shape>
            </v:group>
            <v:group style="position:absolute;left:9364;top:2228;width:20;height:2" coordorigin="9364,2228" coordsize="20,2">
              <v:shape style="position:absolute;left:9364;top:2228;width:20;height:2" coordorigin="9364,2228" coordsize="20,0" path="m9364,2228l9384,2228e" filled="false" stroked="true" strokeweight=".48004pt" strokecolor="#000000">
                <v:path arrowok="t"/>
              </v:shape>
            </v:group>
            <v:group style="position:absolute;left:9384;top:2228;width:20;height:2" coordorigin="9384,2228" coordsize="20,2">
              <v:shape style="position:absolute;left:9384;top:2228;width:20;height:2" coordorigin="9384,2228" coordsize="20,0" path="m9384,2228l9403,2228e" filled="false" stroked="true" strokeweight=".48004pt" strokecolor="#000000">
                <v:path arrowok="t"/>
              </v:shape>
            </v:group>
            <v:group style="position:absolute;left:9403;top:2228;width:20;height:2" coordorigin="9403,2228" coordsize="20,2">
              <v:shape style="position:absolute;left:9403;top:2228;width:20;height:2" coordorigin="9403,2228" coordsize="20,0" path="m9403,2228l9422,2228e" filled="false" stroked="true" strokeweight=".48004pt" strokecolor="#000000">
                <v:path arrowok="t"/>
              </v:shape>
            </v:group>
            <v:group style="position:absolute;left:9422;top:2228;width:20;height:2" coordorigin="9422,2228" coordsize="20,2">
              <v:shape style="position:absolute;left:9422;top:2228;width:20;height:2" coordorigin="9422,2228" coordsize="20,0" path="m9422,2228l9441,2228e" filled="false" stroked="true" strokeweight=".48004pt" strokecolor="#000000">
                <v:path arrowok="t"/>
              </v:shape>
            </v:group>
            <v:group style="position:absolute;left:9441;top:2228;width:20;height:2" coordorigin="9441,2228" coordsize="20,2">
              <v:shape style="position:absolute;left:9441;top:2228;width:20;height:2" coordorigin="9441,2228" coordsize="20,0" path="m9441,2228l9460,2228e" filled="false" stroked="true" strokeweight=".48004pt" strokecolor="#000000">
                <v:path arrowok="t"/>
              </v:shape>
            </v:group>
            <v:group style="position:absolute;left:9460;top:2228;width:20;height:2" coordorigin="9460,2228" coordsize="20,2">
              <v:shape style="position:absolute;left:9460;top:2228;width:20;height:2" coordorigin="9460,2228" coordsize="20,0" path="m9460,2228l9480,2228e" filled="false" stroked="true" strokeweight=".48004pt" strokecolor="#000000">
                <v:path arrowok="t"/>
              </v:shape>
            </v:group>
            <v:group style="position:absolute;left:9480;top:2228;width:20;height:2" coordorigin="9480,2228" coordsize="20,2">
              <v:shape style="position:absolute;left:9480;top:2228;width:20;height:2" coordorigin="9480,2228" coordsize="20,0" path="m9480,2228l9499,2228e" filled="false" stroked="true" strokeweight=".48004pt" strokecolor="#000000">
                <v:path arrowok="t"/>
              </v:shape>
            </v:group>
            <v:group style="position:absolute;left:9499;top:2228;width:20;height:2" coordorigin="9499,2228" coordsize="20,2">
              <v:shape style="position:absolute;left:9499;top:2228;width:20;height:2" coordorigin="9499,2228" coordsize="20,0" path="m9499,2228l9518,2228e" filled="false" stroked="true" strokeweight=".48004pt" strokecolor="#000000">
                <v:path arrowok="t"/>
              </v:shape>
            </v:group>
            <v:group style="position:absolute;left:9518;top:2228;width:20;height:2" coordorigin="9518,2228" coordsize="20,2">
              <v:shape style="position:absolute;left:9518;top:2228;width:20;height:2" coordorigin="9518,2228" coordsize="20,0" path="m9518,2228l9537,2228e" filled="false" stroked="true" strokeweight=".48004pt" strokecolor="#000000">
                <v:path arrowok="t"/>
              </v:shape>
            </v:group>
            <v:group style="position:absolute;left:9537;top:2228;width:20;height:2" coordorigin="9537,2228" coordsize="20,2">
              <v:shape style="position:absolute;left:9537;top:2228;width:20;height:2" coordorigin="9537,2228" coordsize="20,0" path="m9537,2228l9556,2228e" filled="false" stroked="true" strokeweight=".48004pt" strokecolor="#000000">
                <v:path arrowok="t"/>
              </v:shape>
            </v:group>
            <v:group style="position:absolute;left:9556;top:2228;width:20;height:2" coordorigin="9556,2228" coordsize="20,2">
              <v:shape style="position:absolute;left:9556;top:2228;width:20;height:2" coordorigin="9556,2228" coordsize="20,0" path="m9556,2228l9576,2228e" filled="false" stroked="true" strokeweight=".48004pt" strokecolor="#000000">
                <v:path arrowok="t"/>
              </v:shape>
            </v:group>
            <v:group style="position:absolute;left:9576;top:2228;width:20;height:2" coordorigin="9576,2228" coordsize="20,2">
              <v:shape style="position:absolute;left:9576;top:2228;width:20;height:2" coordorigin="9576,2228" coordsize="20,0" path="m9576,2228l9595,2228e" filled="false" stroked="true" strokeweight=".48004pt" strokecolor="#000000">
                <v:path arrowok="t"/>
              </v:shape>
            </v:group>
            <v:group style="position:absolute;left:9595;top:2228;width:20;height:2" coordorigin="9595,2228" coordsize="20,2">
              <v:shape style="position:absolute;left:9595;top:2228;width:20;height:2" coordorigin="9595,2228" coordsize="20,0" path="m9595,2228l9614,2228e" filled="false" stroked="true" strokeweight=".48004pt" strokecolor="#000000">
                <v:path arrowok="t"/>
              </v:shape>
            </v:group>
            <v:group style="position:absolute;left:9614;top:2228;width:20;height:2" coordorigin="9614,2228" coordsize="20,2">
              <v:shape style="position:absolute;left:9614;top:2228;width:20;height:2" coordorigin="9614,2228" coordsize="20,0" path="m9614,2228l9633,2228e" filled="false" stroked="true" strokeweight=".48004pt" strokecolor="#000000">
                <v:path arrowok="t"/>
              </v:shape>
            </v:group>
            <v:group style="position:absolute;left:9633;top:2228;width:20;height:2" coordorigin="9633,2228" coordsize="20,2">
              <v:shape style="position:absolute;left:9633;top:2228;width:20;height:2" coordorigin="9633,2228" coordsize="20,0" path="m9633,2228l9652,2228e" filled="false" stroked="true" strokeweight=".48004pt" strokecolor="#000000">
                <v:path arrowok="t"/>
              </v:shape>
            </v:group>
            <v:group style="position:absolute;left:9652;top:2228;width:20;height:2" coordorigin="9652,2228" coordsize="20,2">
              <v:shape style="position:absolute;left:9652;top:2228;width:20;height:2" coordorigin="9652,2228" coordsize="20,0" path="m9652,2228l9672,2228e" filled="false" stroked="true" strokeweight=".48004pt" strokecolor="#000000">
                <v:path arrowok="t"/>
              </v:shape>
            </v:group>
            <v:group style="position:absolute;left:9672;top:2228;width:20;height:2" coordorigin="9672,2228" coordsize="20,2">
              <v:shape style="position:absolute;left:9672;top:2228;width:20;height:2" coordorigin="9672,2228" coordsize="20,0" path="m9672,2228l9691,2228e" filled="false" stroked="true" strokeweight=".48004pt" strokecolor="#000000">
                <v:path arrowok="t"/>
              </v:shape>
            </v:group>
            <v:group style="position:absolute;left:9691;top:2228;width:20;height:2" coordorigin="9691,2228" coordsize="20,2">
              <v:shape style="position:absolute;left:9691;top:2228;width:20;height:2" coordorigin="9691,2228" coordsize="20,0" path="m9691,2228l9710,2228e" filled="false" stroked="true" strokeweight=".48004pt" strokecolor="#000000">
                <v:path arrowok="t"/>
              </v:shape>
            </v:group>
            <v:group style="position:absolute;left:9710;top:2228;width:20;height:2" coordorigin="9710,2228" coordsize="20,2">
              <v:shape style="position:absolute;left:9710;top:2228;width:20;height:2" coordorigin="9710,2228" coordsize="20,0" path="m9710,2228l9729,2228e" filled="false" stroked="true" strokeweight=".48004pt" strokecolor="#000000">
                <v:path arrowok="t"/>
              </v:shape>
            </v:group>
            <v:group style="position:absolute;left:9729;top:2228;width:20;height:2" coordorigin="9729,2228" coordsize="20,2">
              <v:shape style="position:absolute;left:9729;top:2228;width:20;height:2" coordorigin="9729,2228" coordsize="20,0" path="m9729,2228l9748,2228e" filled="false" stroked="true" strokeweight=".48004pt" strokecolor="#000000">
                <v:path arrowok="t"/>
              </v:shape>
            </v:group>
            <v:group style="position:absolute;left:9748;top:2228;width:20;height:2" coordorigin="9748,2228" coordsize="20,2">
              <v:shape style="position:absolute;left:9748;top:2228;width:20;height:2" coordorigin="9748,2228" coordsize="20,0" path="m9748,2228l9768,2228e" filled="false" stroked="true" strokeweight=".48004pt" strokecolor="#000000">
                <v:path arrowok="t"/>
              </v:shape>
            </v:group>
            <v:group style="position:absolute;left:9768;top:2228;width:20;height:2" coordorigin="9768,2228" coordsize="20,2">
              <v:shape style="position:absolute;left:9768;top:2228;width:20;height:2" coordorigin="9768,2228" coordsize="20,0" path="m9768,2228l9787,2228e" filled="false" stroked="true" strokeweight=".48004pt" strokecolor="#000000">
                <v:path arrowok="t"/>
              </v:shape>
            </v:group>
            <v:group style="position:absolute;left:9787;top:2228;width:20;height:2" coordorigin="9787,2228" coordsize="20,2">
              <v:shape style="position:absolute;left:9787;top:2228;width:20;height:2" coordorigin="9787,2228" coordsize="20,0" path="m9787,2228l9806,2228e" filled="false" stroked="true" strokeweight=".48004pt" strokecolor="#000000">
                <v:path arrowok="t"/>
              </v:shape>
            </v:group>
            <v:group style="position:absolute;left:9806;top:2228;width:20;height:2" coordorigin="9806,2228" coordsize="20,2">
              <v:shape style="position:absolute;left:9806;top:2228;width:20;height:2" coordorigin="9806,2228" coordsize="20,0" path="m9806,2228l9825,2228e" filled="false" stroked="true" strokeweight=".48004pt" strokecolor="#000000">
                <v:path arrowok="t"/>
              </v:shape>
            </v:group>
            <v:group style="position:absolute;left:9825;top:2228;width:20;height:2" coordorigin="9825,2228" coordsize="20,2">
              <v:shape style="position:absolute;left:9825;top:2228;width:20;height:2" coordorigin="9825,2228" coordsize="20,0" path="m9825,2228l9844,2228e" filled="false" stroked="true" strokeweight=".48004pt" strokecolor="#000000">
                <v:path arrowok="t"/>
              </v:shape>
            </v:group>
            <v:group style="position:absolute;left:9844;top:2228;width:20;height:2" coordorigin="9844,2228" coordsize="20,2">
              <v:shape style="position:absolute;left:9844;top:2228;width:20;height:2" coordorigin="9844,2228" coordsize="20,0" path="m9844,2228l9864,2228e" filled="false" stroked="true" strokeweight=".48004pt" strokecolor="#000000">
                <v:path arrowok="t"/>
              </v:shape>
            </v:group>
            <v:group style="position:absolute;left:9864;top:2228;width:20;height:2" coordorigin="9864,2228" coordsize="20,2">
              <v:shape style="position:absolute;left:9864;top:2228;width:20;height:2" coordorigin="9864,2228" coordsize="20,0" path="m9864,2228l9883,2228e" filled="false" stroked="true" strokeweight=".48004pt" strokecolor="#000000">
                <v:path arrowok="t"/>
              </v:shape>
            </v:group>
            <v:group style="position:absolute;left:9883;top:2228;width:20;height:2" coordorigin="9883,2228" coordsize="20,2">
              <v:shape style="position:absolute;left:9883;top:2228;width:20;height:2" coordorigin="9883,2228" coordsize="20,0" path="m9883,2228l9902,2228e" filled="false" stroked="true" strokeweight=".48004pt" strokecolor="#000000">
                <v:path arrowok="t"/>
              </v:shape>
            </v:group>
            <v:group style="position:absolute;left:9902;top:2228;width:20;height:2" coordorigin="9902,2228" coordsize="20,2">
              <v:shape style="position:absolute;left:9902;top:2228;width:20;height:2" coordorigin="9902,2228" coordsize="20,0" path="m9902,2228l9921,2228e" filled="false" stroked="true" strokeweight=".48004pt" strokecolor="#000000">
                <v:path arrowok="t"/>
              </v:shape>
            </v:group>
            <v:group style="position:absolute;left:9921;top:2228;width:20;height:2" coordorigin="9921,2228" coordsize="20,2">
              <v:shape style="position:absolute;left:9921;top:2228;width:20;height:2" coordorigin="9921,2228" coordsize="20,0" path="m9921,2228l9940,2228e" filled="false" stroked="true" strokeweight=".48004pt" strokecolor="#000000">
                <v:path arrowok="t"/>
              </v:shape>
            </v:group>
            <v:group style="position:absolute;left:9940;top:2228;width:20;height:2" coordorigin="9940,2228" coordsize="20,2">
              <v:shape style="position:absolute;left:9940;top:2228;width:20;height:2" coordorigin="9940,2228" coordsize="20,0" path="m9940,2228l9960,2228e" filled="false" stroked="true" strokeweight=".48004pt" strokecolor="#000000">
                <v:path arrowok="t"/>
              </v:shape>
            </v:group>
            <v:group style="position:absolute;left:9960;top:2228;width:20;height:2" coordorigin="9960,2228" coordsize="20,2">
              <v:shape style="position:absolute;left:9960;top:2228;width:20;height:2" coordorigin="9960,2228" coordsize="20,0" path="m9960,2228l9979,2228e" filled="false" stroked="true" strokeweight=".48004pt" strokecolor="#000000">
                <v:path arrowok="t"/>
              </v:shape>
            </v:group>
            <v:group style="position:absolute;left:9979;top:2228;width:20;height:2" coordorigin="9979,2228" coordsize="20,2">
              <v:shape style="position:absolute;left:9979;top:2228;width:20;height:2" coordorigin="9979,2228" coordsize="20,0" path="m9979,2228l9998,2228e" filled="false" stroked="true" strokeweight=".48004pt" strokecolor="#000000">
                <v:path arrowok="t"/>
              </v:shape>
            </v:group>
            <v:group style="position:absolute;left:9998;top:2228;width:20;height:2" coordorigin="9998,2228" coordsize="20,2">
              <v:shape style="position:absolute;left:9998;top:2228;width:20;height:2" coordorigin="9998,2228" coordsize="20,0" path="m9998,2228l10017,2228e" filled="false" stroked="true" strokeweight=".48004pt" strokecolor="#000000">
                <v:path arrowok="t"/>
              </v:shape>
            </v:group>
            <v:group style="position:absolute;left:10017;top:2228;width:20;height:2" coordorigin="10017,2228" coordsize="20,2">
              <v:shape style="position:absolute;left:10017;top:2228;width:20;height:2" coordorigin="10017,2228" coordsize="20,0" path="m10017,2228l10036,2228e" filled="false" stroked="true" strokeweight=".48004pt" strokecolor="#000000">
                <v:path arrowok="t"/>
              </v:shape>
            </v:group>
            <v:group style="position:absolute;left:10036;top:2228;width:20;height:2" coordorigin="10036,2228" coordsize="20,2">
              <v:shape style="position:absolute;left:10036;top:2228;width:20;height:2" coordorigin="10036,2228" coordsize="20,0" path="m10036,2228l10056,2228e" filled="false" stroked="true" strokeweight=".48004pt" strokecolor="#000000">
                <v:path arrowok="t"/>
              </v:shape>
            </v:group>
            <v:group style="position:absolute;left:10056;top:2228;width:20;height:2" coordorigin="10056,2228" coordsize="20,2">
              <v:shape style="position:absolute;left:10056;top:2228;width:20;height:2" coordorigin="10056,2228" coordsize="20,0" path="m10056,2228l10075,2228e" filled="false" stroked="true" strokeweight=".48004pt" strokecolor="#000000">
                <v:path arrowok="t"/>
              </v:shape>
            </v:group>
            <v:group style="position:absolute;left:10075;top:2228;width:20;height:2" coordorigin="10075,2228" coordsize="20,2">
              <v:shape style="position:absolute;left:10075;top:2228;width:20;height:2" coordorigin="10075,2228" coordsize="20,0" path="m10075,2228l10094,2228e" filled="false" stroked="true" strokeweight=".48004pt" strokecolor="#000000">
                <v:path arrowok="t"/>
              </v:shape>
            </v:group>
            <v:group style="position:absolute;left:10094;top:2228;width:20;height:2" coordorigin="10094,2228" coordsize="20,2">
              <v:shape style="position:absolute;left:10094;top:2228;width:20;height:2" coordorigin="10094,2228" coordsize="20,0" path="m10094,2228l10113,2228e" filled="false" stroked="true" strokeweight=".48004pt" strokecolor="#000000">
                <v:path arrowok="t"/>
              </v:shape>
            </v:group>
            <v:group style="position:absolute;left:10113;top:2228;width:20;height:2" coordorigin="10113,2228" coordsize="20,2">
              <v:shape style="position:absolute;left:10113;top:2228;width:20;height:2" coordorigin="10113,2228" coordsize="20,0" path="m10113,2228l10132,2228e" filled="false" stroked="true" strokeweight=".48004pt" strokecolor="#000000">
                <v:path arrowok="t"/>
              </v:shape>
            </v:group>
            <v:group style="position:absolute;left:10132;top:2228;width:20;height:2" coordorigin="10132,2228" coordsize="20,2">
              <v:shape style="position:absolute;left:10132;top:2228;width:20;height:2" coordorigin="10132,2228" coordsize="20,0" path="m10132,2228l10152,2228e" filled="false" stroked="true" strokeweight=".48004pt" strokecolor="#000000">
                <v:path arrowok="t"/>
              </v:shape>
            </v:group>
            <v:group style="position:absolute;left:10152;top:2228;width:20;height:2" coordorigin="10152,2228" coordsize="20,2">
              <v:shape style="position:absolute;left:10152;top:2228;width:20;height:2" coordorigin="10152,2228" coordsize="20,0" path="m10152,2228l10171,2228e" filled="false" stroked="true" strokeweight=".48004pt" strokecolor="#000000">
                <v:path arrowok="t"/>
              </v:shape>
            </v:group>
            <v:group style="position:absolute;left:10171;top:2228;width:20;height:2" coordorigin="10171,2228" coordsize="20,2">
              <v:shape style="position:absolute;left:10171;top:2228;width:20;height:2" coordorigin="10171,2228" coordsize="20,0" path="m10171,2228l10190,2228e" filled="false" stroked="true" strokeweight=".48004pt" strokecolor="#000000">
                <v:path arrowok="t"/>
              </v:shape>
            </v:group>
            <v:group style="position:absolute;left:10190;top:2228;width:20;height:2" coordorigin="10190,2228" coordsize="20,2">
              <v:shape style="position:absolute;left:10190;top:2228;width:20;height:2" coordorigin="10190,2228" coordsize="20,0" path="m10190,2228l10209,2228e" filled="false" stroked="true" strokeweight=".48004pt" strokecolor="#000000">
                <v:path arrowok="t"/>
              </v:shape>
            </v:group>
            <v:group style="position:absolute;left:10209;top:2228;width:20;height:2" coordorigin="10209,2228" coordsize="20,2">
              <v:shape style="position:absolute;left:10209;top:2228;width:20;height:2" coordorigin="10209,2228" coordsize="20,0" path="m10209,2228l10228,2228e" filled="false" stroked="true" strokeweight=".48004pt" strokecolor="#000000">
                <v:path arrowok="t"/>
              </v:shape>
            </v:group>
            <v:group style="position:absolute;left:10228;top:2228;width:20;height:2" coordorigin="10228,2228" coordsize="20,2">
              <v:shape style="position:absolute;left:10228;top:2228;width:20;height:2" coordorigin="10228,2228" coordsize="20,0" path="m10228,2228l10248,2228e" filled="false" stroked="true" strokeweight=".48004pt" strokecolor="#000000">
                <v:path arrowok="t"/>
              </v:shape>
            </v:group>
            <v:group style="position:absolute;left:10248;top:2228;width:20;height:2" coordorigin="10248,2228" coordsize="20,2">
              <v:shape style="position:absolute;left:10248;top:2228;width:20;height:2" coordorigin="10248,2228" coordsize="20,0" path="m10248,2228l10267,2228e" filled="false" stroked="true" strokeweight=".48004pt" strokecolor="#000000">
                <v:path arrowok="t"/>
              </v:shape>
            </v:group>
            <v:group style="position:absolute;left:10267;top:2228;width:20;height:2" coordorigin="10267,2228" coordsize="20,2">
              <v:shape style="position:absolute;left:10267;top:2228;width:20;height:2" coordorigin="10267,2228" coordsize="20,0" path="m10267,2228l10286,2228e" filled="false" stroked="true" strokeweight=".48004pt" strokecolor="#000000">
                <v:path arrowok="t"/>
              </v:shape>
            </v:group>
            <v:group style="position:absolute;left:10286;top:2228;width:20;height:2" coordorigin="10286,2228" coordsize="20,2">
              <v:shape style="position:absolute;left:10286;top:2228;width:20;height:2" coordorigin="10286,2228" coordsize="20,0" path="m10286,2228l10305,2228e" filled="false" stroked="true" strokeweight=".48004pt" strokecolor="#000000">
                <v:path arrowok="t"/>
              </v:shape>
            </v:group>
            <v:group style="position:absolute;left:10305;top:2228;width:20;height:2" coordorigin="10305,2228" coordsize="20,2">
              <v:shape style="position:absolute;left:10305;top:2228;width:20;height:2" coordorigin="10305,2228" coordsize="20,0" path="m10305,2228l10324,2228e" filled="false" stroked="true" strokeweight=".48004pt" strokecolor="#000000">
                <v:path arrowok="t"/>
              </v:shape>
            </v:group>
            <v:group style="position:absolute;left:10324;top:2228;width:20;height:2" coordorigin="10324,2228" coordsize="20,2">
              <v:shape style="position:absolute;left:10324;top:2228;width:20;height:2" coordorigin="10324,2228" coordsize="20,0" path="m10324,2228l10344,2228e" filled="false" stroked="true" strokeweight=".48004pt" strokecolor="#000000">
                <v:path arrowok="t"/>
              </v:shape>
            </v:group>
            <v:group style="position:absolute;left:10344;top:2228;width:20;height:2" coordorigin="10344,2228" coordsize="20,2">
              <v:shape style="position:absolute;left:10344;top:2228;width:20;height:2" coordorigin="10344,2228" coordsize="20,0" path="m10344,2228l10363,2228e" filled="false" stroked="true" strokeweight=".48004pt" strokecolor="#000000">
                <v:path arrowok="t"/>
              </v:shape>
            </v:group>
            <v:group style="position:absolute;left:10363;top:2228;width:20;height:2" coordorigin="10363,2228" coordsize="20,2">
              <v:shape style="position:absolute;left:10363;top:2228;width:20;height:2" coordorigin="10363,2228" coordsize="20,0" path="m10363,2228l10382,2228e" filled="false" stroked="true" strokeweight=".48004pt" strokecolor="#000000">
                <v:path arrowok="t"/>
              </v:shape>
            </v:group>
            <v:group style="position:absolute;left:10382;top:2228;width:20;height:2" coordorigin="10382,2228" coordsize="20,2">
              <v:shape style="position:absolute;left:10382;top:2228;width:20;height:2" coordorigin="10382,2228" coordsize="20,0" path="m10382,2228l10401,2228e" filled="false" stroked="true" strokeweight=".48004pt" strokecolor="#000000">
                <v:path arrowok="t"/>
              </v:shape>
            </v:group>
            <v:group style="position:absolute;left:10401;top:2228;width:20;height:2" coordorigin="10401,2228" coordsize="20,2">
              <v:shape style="position:absolute;left:10401;top:2228;width:20;height:2" coordorigin="10401,2228" coordsize="20,0" path="m10401,2228l10420,2228e" filled="false" stroked="true" strokeweight=".48004pt" strokecolor="#000000">
                <v:path arrowok="t"/>
              </v:shape>
            </v:group>
            <v:group style="position:absolute;left:10420;top:2228;width:20;height:2" coordorigin="10420,2228" coordsize="20,2">
              <v:shape style="position:absolute;left:10420;top:2228;width:20;height:2" coordorigin="10420,2228" coordsize="20,0" path="m10420,2228l10440,2228e" filled="false" stroked="true" strokeweight=".48004pt" strokecolor="#000000">
                <v:path arrowok="t"/>
              </v:shape>
            </v:group>
            <v:group style="position:absolute;left:10440;top:2228;width:20;height:2" coordorigin="10440,2228" coordsize="20,2">
              <v:shape style="position:absolute;left:10440;top:2228;width:20;height:2" coordorigin="10440,2228" coordsize="20,0" path="m10440,2228l10459,2228e" filled="false" stroked="true" strokeweight=".48004pt" strokecolor="#000000">
                <v:path arrowok="t"/>
              </v:shape>
            </v:group>
            <v:group style="position:absolute;left:10459;top:2228;width:20;height:2" coordorigin="10459,2228" coordsize="20,2">
              <v:shape style="position:absolute;left:10459;top:2228;width:20;height:2" coordorigin="10459,2228" coordsize="20,0" path="m10459,2228l10478,2228e" filled="false" stroked="true" strokeweight=".48004pt" strokecolor="#000000">
                <v:path arrowok="t"/>
              </v:shape>
            </v:group>
            <v:group style="position:absolute;left:10478;top:2228;width:20;height:2" coordorigin="10478,2228" coordsize="20,2">
              <v:shape style="position:absolute;left:10478;top:2228;width:20;height:2" coordorigin="10478,2228" coordsize="20,0" path="m10478,2228l10497,2228e" filled="false" stroked="true" strokeweight=".48004pt" strokecolor="#000000">
                <v:path arrowok="t"/>
              </v:shape>
            </v:group>
            <v:group style="position:absolute;left:10497;top:2228;width:20;height:2" coordorigin="10497,2228" coordsize="20,2">
              <v:shape style="position:absolute;left:10497;top:2228;width:20;height:2" coordorigin="10497,2228" coordsize="20,0" path="m10497,2228l10516,2228e" filled="false" stroked="true" strokeweight=".48004pt" strokecolor="#000000">
                <v:path arrowok="t"/>
              </v:shape>
            </v:group>
            <v:group style="position:absolute;left:10516;top:2228;width:20;height:2" coordorigin="10516,2228" coordsize="20,2">
              <v:shape style="position:absolute;left:10516;top:2228;width:20;height:2" coordorigin="10516,2228" coordsize="20,0" path="m10516,2228l10536,2228e" filled="false" stroked="true" strokeweight=".48004pt" strokecolor="#000000">
                <v:path arrowok="t"/>
              </v:shape>
            </v:group>
            <v:group style="position:absolute;left:10536;top:2228;width:20;height:2" coordorigin="10536,2228" coordsize="20,2">
              <v:shape style="position:absolute;left:10536;top:2228;width:20;height:2" coordorigin="10536,2228" coordsize="20,0" path="m10536,2228l10555,2228e" filled="false" stroked="true" strokeweight=".48004pt" strokecolor="#000000">
                <v:path arrowok="t"/>
              </v:shape>
            </v:group>
            <v:group style="position:absolute;left:10555;top:2228;width:20;height:2" coordorigin="10555,2228" coordsize="20,2">
              <v:shape style="position:absolute;left:10555;top:2228;width:20;height:2" coordorigin="10555,2228" coordsize="20,0" path="m10555,2228l10574,2228e" filled="false" stroked="true" strokeweight=".48004pt" strokecolor="#000000">
                <v:path arrowok="t"/>
              </v:shape>
            </v:group>
            <v:group style="position:absolute;left:10574;top:2228;width:20;height:2" coordorigin="10574,2228" coordsize="20,2">
              <v:shape style="position:absolute;left:10574;top:2228;width:20;height:2" coordorigin="10574,2228" coordsize="20,0" path="m10574,2228l10593,2228e" filled="false" stroked="true" strokeweight=".48004pt" strokecolor="#000000">
                <v:path arrowok="t"/>
              </v:shape>
            </v:group>
            <v:group style="position:absolute;left:10593;top:2228;width:20;height:2" coordorigin="10593,2228" coordsize="20,2">
              <v:shape style="position:absolute;left:10593;top:2228;width:20;height:2" coordorigin="10593,2228" coordsize="20,0" path="m10593,2228l10612,2228e" filled="false" stroked="true" strokeweight=".48004pt" strokecolor="#000000">
                <v:path arrowok="t"/>
              </v:shape>
            </v:group>
            <v:group style="position:absolute;left:10612;top:2228;width:20;height:2" coordorigin="10612,2228" coordsize="20,2">
              <v:shape style="position:absolute;left:10612;top:2228;width:20;height:2" coordorigin="10612,2228" coordsize="20,0" path="m10612,2228l10632,2228e" filled="false" stroked="true" strokeweight=".48004pt" strokecolor="#000000">
                <v:path arrowok="t"/>
              </v:shape>
            </v:group>
            <v:group style="position:absolute;left:10632;top:2228;width:20;height:2" coordorigin="10632,2228" coordsize="20,2">
              <v:shape style="position:absolute;left:10632;top:2228;width:20;height:2" coordorigin="10632,2228" coordsize="20,0" path="m10632,2228l10651,2228e" filled="false" stroked="true" strokeweight=".48004pt" strokecolor="#000000">
                <v:path arrowok="t"/>
              </v:shape>
            </v:group>
            <v:group style="position:absolute;left:10651;top:2228;width:20;height:2" coordorigin="10651,2228" coordsize="20,2">
              <v:shape style="position:absolute;left:10651;top:2228;width:20;height:2" coordorigin="10651,2228" coordsize="20,0" path="m10651,2228l10670,2228e" filled="false" stroked="true" strokeweight=".48004pt" strokecolor="#000000">
                <v:path arrowok="t"/>
              </v:shape>
            </v:group>
            <v:group style="position:absolute;left:10670;top:2228;width:20;height:2" coordorigin="10670,2228" coordsize="20,2">
              <v:shape style="position:absolute;left:10670;top:2228;width:20;height:2" coordorigin="10670,2228" coordsize="20,0" path="m10670,2228l10689,2228e" filled="false" stroked="true" strokeweight=".48004pt" strokecolor="#000000">
                <v:path arrowok="t"/>
              </v:shape>
            </v:group>
            <v:group style="position:absolute;left:10689;top:2228;width:20;height:2" coordorigin="10689,2228" coordsize="20,2">
              <v:shape style="position:absolute;left:10689;top:2228;width:20;height:2" coordorigin="10689,2228" coordsize="20,0" path="m10689,2228l10708,2228e" filled="false" stroked="true" strokeweight=".48004pt" strokecolor="#000000">
                <v:path arrowok="t"/>
              </v:shape>
            </v:group>
            <v:group style="position:absolute;left:10708;top:2228;width:20;height:2" coordorigin="10708,2228" coordsize="20,2">
              <v:shape style="position:absolute;left:10708;top:2228;width:20;height:2" coordorigin="10708,2228" coordsize="20,0" path="m10708,2228l10728,2228e" filled="false" stroked="true" strokeweight=".48004pt" strokecolor="#000000">
                <v:path arrowok="t"/>
              </v:shape>
            </v:group>
            <v:group style="position:absolute;left:10728;top:2228;width:20;height:2" coordorigin="10728,2228" coordsize="20,2">
              <v:shape style="position:absolute;left:10728;top:2228;width:20;height:2" coordorigin="10728,2228" coordsize="20,0" path="m10728,2228l10747,2228e" filled="false" stroked="true" strokeweight=".48004pt" strokecolor="#000000">
                <v:path arrowok="t"/>
              </v:shape>
            </v:group>
            <v:group style="position:absolute;left:10747;top:2228;width:20;height:2" coordorigin="10747,2228" coordsize="20,2">
              <v:shape style="position:absolute;left:10747;top:2228;width:20;height:2" coordorigin="10747,2228" coordsize="20,0" path="m10747,2228l10766,2228e" filled="false" stroked="true" strokeweight=".48004pt" strokecolor="#000000">
                <v:path arrowok="t"/>
              </v:shape>
            </v:group>
            <v:group style="position:absolute;left:10766;top:2228;width:8;height:2" coordorigin="10766,2228" coordsize="8,2">
              <v:shape style="position:absolute;left:10766;top:2228;width:8;height:2" coordorigin="10766,2228" coordsize="8,0" path="m10766,2228l10773,2228e" filled="false" stroked="true" strokeweight=".48004pt" strokecolor="#000000">
                <v:path arrowok="t"/>
              </v:shape>
            </v:group>
            <v:group style="position:absolute;left:8548;top:2232;width:10;height:20" coordorigin="8548,2232" coordsize="10,20">
              <v:shape style="position:absolute;left:8548;top:2232;width:10;height:20" coordorigin="8548,2232" coordsize="10,20" path="m8548,2252l8557,2252,8557,2232,8548,2232,8548,2252xe" filled="true" fillcolor="#000000" stroked="false">
                <v:path arrowok="t"/>
                <v:fill type="solid"/>
              </v:shape>
            </v:group>
            <v:group style="position:absolute;left:8548;top:2252;width:10;height:20" coordorigin="8548,2252" coordsize="10,20">
              <v:shape style="position:absolute;left:8548;top:2252;width:10;height:20" coordorigin="8548,2252" coordsize="10,20" path="m8548,2271l8557,2271,8557,2252,8548,2252,8548,2271xe" filled="true" fillcolor="#000000" stroked="false">
                <v:path arrowok="t"/>
                <v:fill type="solid"/>
              </v:shape>
            </v:group>
            <v:group style="position:absolute;left:8548;top:2271;width:10;height:20" coordorigin="8548,2271" coordsize="10,20">
              <v:shape style="position:absolute;left:8548;top:2271;width:10;height:20" coordorigin="8548,2271" coordsize="10,20" path="m8548,2290l8557,2290,8557,2271,8548,2271,8548,2290xe" filled="true" fillcolor="#000000" stroked="false">
                <v:path arrowok="t"/>
                <v:fill type="solid"/>
              </v:shape>
            </v:group>
            <v:group style="position:absolute;left:8548;top:2290;width:10;height:20" coordorigin="8548,2290" coordsize="10,20">
              <v:shape style="position:absolute;left:8548;top:2290;width:10;height:20" coordorigin="8548,2290" coordsize="10,20" path="m8548,2309l8557,2309,8557,2290,8548,2290,8548,2309xe" filled="true" fillcolor="#000000" stroked="false">
                <v:path arrowok="t"/>
                <v:fill type="solid"/>
              </v:shape>
            </v:group>
            <v:group style="position:absolute;left:8548;top:2309;width:10;height:20" coordorigin="8548,2309" coordsize="10,20">
              <v:shape style="position:absolute;left:8548;top:2309;width:10;height:20" coordorigin="8548,2309" coordsize="10,20" path="m8548,2328l8557,2328,8557,2309,8548,2309,8548,2328xe" filled="true" fillcolor="#000000" stroked="false">
                <v:path arrowok="t"/>
                <v:fill type="solid"/>
              </v:shape>
            </v:group>
            <v:group style="position:absolute;left:8548;top:2328;width:10;height:20" coordorigin="8548,2328" coordsize="10,20">
              <v:shape style="position:absolute;left:8548;top:2328;width:10;height:20" coordorigin="8548,2328" coordsize="10,20" path="m8548,2348l8557,2348,8557,2328,8548,2328,8548,2348xe" filled="true" fillcolor="#000000" stroked="false">
                <v:path arrowok="t"/>
                <v:fill type="solid"/>
              </v:shape>
            </v:group>
            <v:group style="position:absolute;left:8548;top:2348;width:10;height:20" coordorigin="8548,2348" coordsize="10,20">
              <v:shape style="position:absolute;left:8548;top:2348;width:10;height:20" coordorigin="8548,2348" coordsize="10,20" path="m8548,2367l8557,2367,8557,2348,8548,2348,8548,2367xe" filled="true" fillcolor="#000000" stroked="false">
                <v:path arrowok="t"/>
                <v:fill type="solid"/>
              </v:shape>
            </v:group>
            <v:group style="position:absolute;left:8548;top:2367;width:10;height:20" coordorigin="8548,2367" coordsize="10,20">
              <v:shape style="position:absolute;left:8548;top:2367;width:10;height:20" coordorigin="8548,2367" coordsize="10,20" path="m8548,2386l8557,2386,8557,2367,8548,2367,8548,2386xe" filled="true" fillcolor="#000000" stroked="false">
                <v:path arrowok="t"/>
                <v:fill type="solid"/>
              </v:shape>
            </v:group>
            <v:group style="position:absolute;left:8548;top:2386;width:10;height:20" coordorigin="8548,2386" coordsize="10,20">
              <v:shape style="position:absolute;left:8548;top:2386;width:10;height:20" coordorigin="8548,2386" coordsize="10,20" path="m8548,2405l8557,2405,8557,2386,8548,2386,8548,2405xe" filled="true" fillcolor="#000000" stroked="false">
                <v:path arrowok="t"/>
                <v:fill type="solid"/>
              </v:shape>
            </v:group>
            <v:group style="position:absolute;left:8548;top:2405;width:10;height:20" coordorigin="8548,2405" coordsize="10,20">
              <v:shape style="position:absolute;left:8548;top:2405;width:10;height:20" coordorigin="8548,2405" coordsize="10,20" path="m8548,2424l8557,2424,8557,2405,8548,2405,8548,2424xe" filled="true" fillcolor="#000000" stroked="false">
                <v:path arrowok="t"/>
                <v:fill type="solid"/>
              </v:shape>
            </v:group>
            <v:group style="position:absolute;left:8548;top:2424;width:10;height:20" coordorigin="8548,2424" coordsize="10,20">
              <v:shape style="position:absolute;left:8548;top:2424;width:10;height:20" coordorigin="8548,2424" coordsize="10,20" path="m8548,2444l8557,2444,8557,2424,8548,2424,8548,2444xe" filled="true" fillcolor="#000000" stroked="false">
                <v:path arrowok="t"/>
                <v:fill type="solid"/>
              </v:shape>
            </v:group>
            <v:group style="position:absolute;left:8548;top:2444;width:10;height:20" coordorigin="8548,2444" coordsize="10,20">
              <v:shape style="position:absolute;left:8548;top:2444;width:10;height:20" coordorigin="8548,2444" coordsize="10,20" path="m8548,2463l8557,2463,8557,2444,8548,2444,8548,2463xe" filled="true" fillcolor="#000000" stroked="false">
                <v:path arrowok="t"/>
                <v:fill type="solid"/>
              </v:shape>
            </v:group>
            <v:group style="position:absolute;left:8548;top:2463;width:10;height:20" coordorigin="8548,2463" coordsize="10,20">
              <v:shape style="position:absolute;left:8548;top:2463;width:10;height:20" coordorigin="8548,2463" coordsize="10,20" path="m8548,2482l8557,2482,8557,2463,8548,2463,8548,2482xe" filled="true" fillcolor="#000000" stroked="false">
                <v:path arrowok="t"/>
                <v:fill type="solid"/>
              </v:shape>
            </v:group>
            <v:group style="position:absolute;left:8548;top:2482;width:10;height:20" coordorigin="8548,2482" coordsize="10,20">
              <v:shape style="position:absolute;left:8548;top:2482;width:10;height:20" coordorigin="8548,2482" coordsize="10,20" path="m8548,2501l8557,2501,8557,2482,8548,2482,8548,2501xe" filled="true" fillcolor="#000000" stroked="false">
                <v:path arrowok="t"/>
                <v:fill type="solid"/>
              </v:shape>
            </v:group>
            <v:group style="position:absolute;left:8548;top:2501;width:10;height:20" coordorigin="8548,2501" coordsize="10,20">
              <v:shape style="position:absolute;left:8548;top:2501;width:10;height:20" coordorigin="8548,2501" coordsize="10,20" path="m8548,2520l8557,2520,8557,2501,8548,2501,8548,2520xe" filled="true" fillcolor="#000000" stroked="false">
                <v:path arrowok="t"/>
                <v:fill type="solid"/>
              </v:shape>
            </v:group>
            <v:group style="position:absolute;left:8548;top:2520;width:10;height:20" coordorigin="8548,2520" coordsize="10,20">
              <v:shape style="position:absolute;left:8548;top:2520;width:10;height:20" coordorigin="8548,2520" coordsize="10,20" path="m8548,2540l8557,2540,8557,2520,8548,2520,8548,2540xe" filled="true" fillcolor="#000000" stroked="false">
                <v:path arrowok="t"/>
                <v:fill type="solid"/>
              </v:shape>
            </v:group>
            <v:group style="position:absolute;left:8548;top:2540;width:10;height:20" coordorigin="8548,2540" coordsize="10,20">
              <v:shape style="position:absolute;left:8548;top:2540;width:10;height:20" coordorigin="8548,2540" coordsize="10,20" path="m8548,2559l8557,2559,8557,2540,8548,2540,8548,2559xe" filled="true" fillcolor="#000000" stroked="false">
                <v:path arrowok="t"/>
                <v:fill type="solid"/>
              </v:shape>
            </v:group>
            <v:group style="position:absolute;left:8548;top:2567;width:10;height:2" coordorigin="8548,2567" coordsize="10,2">
              <v:shape style="position:absolute;left:8548;top:2567;width:10;height:2" coordorigin="8548,2567" coordsize="10,0" path="m8548,2567l8557,2567e" filled="false" stroked="true" strokeweight=".83997pt" strokecolor="#000000">
                <v:path arrowok="t"/>
              </v:shape>
            </v:group>
            <v:group style="position:absolute;left:6613;top:2580;width:20;height:2" coordorigin="6613,2580" coordsize="20,2">
              <v:shape style="position:absolute;left:6613;top:2580;width:20;height:2" coordorigin="6613,2580" coordsize="20,0" path="m6613,2580l6633,2580e" filled="false" stroked="true" strokeweight=".47998pt" strokecolor="#000000">
                <v:path arrowok="t"/>
              </v:shape>
            </v:group>
            <v:group style="position:absolute;left:6633;top:2580;width:20;height:2" coordorigin="6633,2580" coordsize="20,2">
              <v:shape style="position:absolute;left:6633;top:2580;width:20;height:2" coordorigin="6633,2580" coordsize="20,0" path="m6633,2580l6652,2580e" filled="false" stroked="true" strokeweight=".47998pt" strokecolor="#000000">
                <v:path arrowok="t"/>
              </v:shape>
            </v:group>
            <v:group style="position:absolute;left:6652;top:2580;width:20;height:2" coordorigin="6652,2580" coordsize="20,2">
              <v:shape style="position:absolute;left:6652;top:2580;width:20;height:2" coordorigin="6652,2580" coordsize="20,0" path="m6652,2580l6671,2580e" filled="false" stroked="true" strokeweight=".47998pt" strokecolor="#000000">
                <v:path arrowok="t"/>
              </v:shape>
            </v:group>
            <v:group style="position:absolute;left:6671;top:2580;width:20;height:2" coordorigin="6671,2580" coordsize="20,2">
              <v:shape style="position:absolute;left:6671;top:2580;width:20;height:2" coordorigin="6671,2580" coordsize="20,0" path="m6671,2580l6690,2580e" filled="false" stroked="true" strokeweight=".47998pt" strokecolor="#000000">
                <v:path arrowok="t"/>
              </v:shape>
            </v:group>
            <v:group style="position:absolute;left:6690;top:2580;width:20;height:2" coordorigin="6690,2580" coordsize="20,2">
              <v:shape style="position:absolute;left:6690;top:2580;width:20;height:2" coordorigin="6690,2580" coordsize="20,0" path="m6690,2580l6709,2580e" filled="false" stroked="true" strokeweight=".47998pt" strokecolor="#000000">
                <v:path arrowok="t"/>
              </v:shape>
            </v:group>
            <v:group style="position:absolute;left:6709;top:2580;width:20;height:2" coordorigin="6709,2580" coordsize="20,2">
              <v:shape style="position:absolute;left:6709;top:2580;width:20;height:2" coordorigin="6709,2580" coordsize="20,0" path="m6709,2580l6729,2580e" filled="false" stroked="true" strokeweight=".47998pt" strokecolor="#000000">
                <v:path arrowok="t"/>
              </v:shape>
            </v:group>
            <v:group style="position:absolute;left:6729;top:2580;width:20;height:2" coordorigin="6729,2580" coordsize="20,2">
              <v:shape style="position:absolute;left:6729;top:2580;width:20;height:2" coordorigin="6729,2580" coordsize="20,0" path="m6729,2580l6748,2580e" filled="false" stroked="true" strokeweight=".47998pt" strokecolor="#000000">
                <v:path arrowok="t"/>
              </v:shape>
            </v:group>
            <v:group style="position:absolute;left:6748;top:2580;width:20;height:2" coordorigin="6748,2580" coordsize="20,2">
              <v:shape style="position:absolute;left:6748;top:2580;width:20;height:2" coordorigin="6748,2580" coordsize="20,0" path="m6748,2580l6767,2580e" filled="false" stroked="true" strokeweight=".47998pt" strokecolor="#000000">
                <v:path arrowok="t"/>
              </v:shape>
            </v:group>
            <v:group style="position:absolute;left:6767;top:2580;width:20;height:2" coordorigin="6767,2580" coordsize="20,2">
              <v:shape style="position:absolute;left:6767;top:2580;width:20;height:2" coordorigin="6767,2580" coordsize="20,0" path="m6767,2580l6786,2580e" filled="false" stroked="true" strokeweight=".47998pt" strokecolor="#000000">
                <v:path arrowok="t"/>
              </v:shape>
            </v:group>
            <v:group style="position:absolute;left:6786;top:2580;width:20;height:2" coordorigin="6786,2580" coordsize="20,2">
              <v:shape style="position:absolute;left:6786;top:2580;width:20;height:2" coordorigin="6786,2580" coordsize="20,0" path="m6786,2580l6805,2580e" filled="false" stroked="true" strokeweight=".47998pt" strokecolor="#000000">
                <v:path arrowok="t"/>
              </v:shape>
            </v:group>
            <v:group style="position:absolute;left:6805;top:2580;width:20;height:2" coordorigin="6805,2580" coordsize="20,2">
              <v:shape style="position:absolute;left:6805;top:2580;width:20;height:2" coordorigin="6805,2580" coordsize="20,0" path="m6805,2580l6825,2580e" filled="false" stroked="true" strokeweight=".47998pt" strokecolor="#000000">
                <v:path arrowok="t"/>
              </v:shape>
            </v:group>
            <v:group style="position:absolute;left:6825;top:2580;width:20;height:2" coordorigin="6825,2580" coordsize="20,2">
              <v:shape style="position:absolute;left:6825;top:2580;width:20;height:2" coordorigin="6825,2580" coordsize="20,0" path="m6825,2580l6844,2580e" filled="false" stroked="true" strokeweight=".47998pt" strokecolor="#000000">
                <v:path arrowok="t"/>
              </v:shape>
            </v:group>
            <v:group style="position:absolute;left:6844;top:2580;width:20;height:2" coordorigin="6844,2580" coordsize="20,2">
              <v:shape style="position:absolute;left:6844;top:2580;width:20;height:2" coordorigin="6844,2580" coordsize="20,0" path="m6844,2580l6863,2580e" filled="false" stroked="true" strokeweight=".47998pt" strokecolor="#000000">
                <v:path arrowok="t"/>
              </v:shape>
            </v:group>
            <v:group style="position:absolute;left:6863;top:2580;width:20;height:2" coordorigin="6863,2580" coordsize="20,2">
              <v:shape style="position:absolute;left:6863;top:2580;width:20;height:2" coordorigin="6863,2580" coordsize="20,0" path="m6863,2580l6882,2580e" filled="false" stroked="true" strokeweight=".47998pt" strokecolor="#000000">
                <v:path arrowok="t"/>
              </v:shape>
            </v:group>
            <v:group style="position:absolute;left:6882;top:2580;width:20;height:2" coordorigin="6882,2580" coordsize="20,2">
              <v:shape style="position:absolute;left:6882;top:2580;width:20;height:2" coordorigin="6882,2580" coordsize="20,0" path="m6882,2580l6901,2580e" filled="false" stroked="true" strokeweight=".47998pt" strokecolor="#000000">
                <v:path arrowok="t"/>
              </v:shape>
            </v:group>
            <v:group style="position:absolute;left:6901;top:2580;width:20;height:2" coordorigin="6901,2580" coordsize="20,2">
              <v:shape style="position:absolute;left:6901;top:2580;width:20;height:2" coordorigin="6901,2580" coordsize="20,0" path="m6901,2580l6921,2580e" filled="false" stroked="true" strokeweight=".47998pt" strokecolor="#000000">
                <v:path arrowok="t"/>
              </v:shape>
            </v:group>
            <v:group style="position:absolute;left:6921;top:2580;width:20;height:2" coordorigin="6921,2580" coordsize="20,2">
              <v:shape style="position:absolute;left:6921;top:2580;width:20;height:2" coordorigin="6921,2580" coordsize="20,0" path="m6921,2580l6940,2580e" filled="false" stroked="true" strokeweight=".47998pt" strokecolor="#000000">
                <v:path arrowok="t"/>
              </v:shape>
            </v:group>
            <v:group style="position:absolute;left:6940;top:2580;width:20;height:2" coordorigin="6940,2580" coordsize="20,2">
              <v:shape style="position:absolute;left:6940;top:2580;width:20;height:2" coordorigin="6940,2580" coordsize="20,0" path="m6940,2580l6959,2580e" filled="false" stroked="true" strokeweight=".47998pt" strokecolor="#000000">
                <v:path arrowok="t"/>
              </v:shape>
            </v:group>
            <v:group style="position:absolute;left:6959;top:2580;width:20;height:2" coordorigin="6959,2580" coordsize="20,2">
              <v:shape style="position:absolute;left:6959;top:2580;width:20;height:2" coordorigin="6959,2580" coordsize="20,0" path="m6959,2580l6978,2580e" filled="false" stroked="true" strokeweight=".47998pt" strokecolor="#000000">
                <v:path arrowok="t"/>
              </v:shape>
            </v:group>
            <v:group style="position:absolute;left:6978;top:2580;width:20;height:2" coordorigin="6978,2580" coordsize="20,2">
              <v:shape style="position:absolute;left:6978;top:2580;width:20;height:2" coordorigin="6978,2580" coordsize="20,0" path="m6978,2580l6997,2580e" filled="false" stroked="true" strokeweight=".47998pt" strokecolor="#000000">
                <v:path arrowok="t"/>
              </v:shape>
            </v:group>
            <v:group style="position:absolute;left:6997;top:2580;width:20;height:2" coordorigin="6997,2580" coordsize="20,2">
              <v:shape style="position:absolute;left:6997;top:2580;width:20;height:2" coordorigin="6997,2580" coordsize="20,0" path="m6997,2580l7017,2580e" filled="false" stroked="true" strokeweight=".47998pt" strokecolor="#000000">
                <v:path arrowok="t"/>
              </v:shape>
            </v:group>
            <v:group style="position:absolute;left:7017;top:2580;width:20;height:2" coordorigin="7017,2580" coordsize="20,2">
              <v:shape style="position:absolute;left:7017;top:2580;width:20;height:2" coordorigin="7017,2580" coordsize="20,0" path="m7017,2580l7036,2580e" filled="false" stroked="true" strokeweight=".47998pt" strokecolor="#000000">
                <v:path arrowok="t"/>
              </v:shape>
            </v:group>
            <v:group style="position:absolute;left:7036;top:2580;width:20;height:2" coordorigin="7036,2580" coordsize="20,2">
              <v:shape style="position:absolute;left:7036;top:2580;width:20;height:2" coordorigin="7036,2580" coordsize="20,0" path="m7036,2580l7055,2580e" filled="false" stroked="true" strokeweight=".47998pt" strokecolor="#000000">
                <v:path arrowok="t"/>
              </v:shape>
            </v:group>
            <v:group style="position:absolute;left:7055;top:2580;width:20;height:2" coordorigin="7055,2580" coordsize="20,2">
              <v:shape style="position:absolute;left:7055;top:2580;width:20;height:2" coordorigin="7055,2580" coordsize="20,0" path="m7055,2580l7074,2580e" filled="false" stroked="true" strokeweight=".47998pt" strokecolor="#000000">
                <v:path arrowok="t"/>
              </v:shape>
            </v:group>
            <v:group style="position:absolute;left:7074;top:2580;width:20;height:2" coordorigin="7074,2580" coordsize="20,2">
              <v:shape style="position:absolute;left:7074;top:2580;width:20;height:2" coordorigin="7074,2580" coordsize="20,0" path="m7074,2580l7093,2580e" filled="false" stroked="true" strokeweight=".47998pt" strokecolor="#000000">
                <v:path arrowok="t"/>
              </v:shape>
            </v:group>
            <v:group style="position:absolute;left:7093;top:2580;width:20;height:2" coordorigin="7093,2580" coordsize="20,2">
              <v:shape style="position:absolute;left:7093;top:2580;width:20;height:2" coordorigin="7093,2580" coordsize="20,0" path="m7093,2580l7113,2580e" filled="false" stroked="true" strokeweight=".47998pt" strokecolor="#000000">
                <v:path arrowok="t"/>
              </v:shape>
            </v:group>
            <v:group style="position:absolute;left:7113;top:2580;width:20;height:2" coordorigin="7113,2580" coordsize="20,2">
              <v:shape style="position:absolute;left:7113;top:2580;width:20;height:2" coordorigin="7113,2580" coordsize="20,0" path="m7113,2580l7132,2580e" filled="false" stroked="true" strokeweight=".47998pt" strokecolor="#000000">
                <v:path arrowok="t"/>
              </v:shape>
            </v:group>
            <v:group style="position:absolute;left:7132;top:2580;width:20;height:2" coordorigin="7132,2580" coordsize="20,2">
              <v:shape style="position:absolute;left:7132;top:2580;width:20;height:2" coordorigin="7132,2580" coordsize="20,0" path="m7132,2580l7151,2580e" filled="false" stroked="true" strokeweight=".47998pt" strokecolor="#000000">
                <v:path arrowok="t"/>
              </v:shape>
            </v:group>
            <v:group style="position:absolute;left:7151;top:2580;width:20;height:2" coordorigin="7151,2580" coordsize="20,2">
              <v:shape style="position:absolute;left:7151;top:2580;width:20;height:2" coordorigin="7151,2580" coordsize="20,0" path="m7151,2580l7170,2580e" filled="false" stroked="true" strokeweight=".47998pt" strokecolor="#000000">
                <v:path arrowok="t"/>
              </v:shape>
            </v:group>
            <v:group style="position:absolute;left:7170;top:2580;width:20;height:2" coordorigin="7170,2580" coordsize="20,2">
              <v:shape style="position:absolute;left:7170;top:2580;width:20;height:2" coordorigin="7170,2580" coordsize="20,0" path="m7170,2580l7189,2580e" filled="false" stroked="true" strokeweight=".47998pt" strokecolor="#000000">
                <v:path arrowok="t"/>
              </v:shape>
            </v:group>
            <v:group style="position:absolute;left:7189;top:2580;width:20;height:2" coordorigin="7189,2580" coordsize="20,2">
              <v:shape style="position:absolute;left:7189;top:2580;width:20;height:2" coordorigin="7189,2580" coordsize="20,0" path="m7189,2580l7209,2580e" filled="false" stroked="true" strokeweight=".47998pt" strokecolor="#000000">
                <v:path arrowok="t"/>
              </v:shape>
            </v:group>
            <v:group style="position:absolute;left:7209;top:2580;width:20;height:2" coordorigin="7209,2580" coordsize="20,2">
              <v:shape style="position:absolute;left:7209;top:2580;width:20;height:2" coordorigin="7209,2580" coordsize="20,0" path="m7209,2580l7228,2580e" filled="false" stroked="true" strokeweight=".47998pt" strokecolor="#000000">
                <v:path arrowok="t"/>
              </v:shape>
            </v:group>
            <v:group style="position:absolute;left:7228;top:2580;width:20;height:2" coordorigin="7228,2580" coordsize="20,2">
              <v:shape style="position:absolute;left:7228;top:2580;width:20;height:2" coordorigin="7228,2580" coordsize="20,0" path="m7228,2580l7247,2580e" filled="false" stroked="true" strokeweight=".47998pt" strokecolor="#000000">
                <v:path arrowok="t"/>
              </v:shape>
            </v:group>
            <v:group style="position:absolute;left:7247;top:2580;width:20;height:2" coordorigin="7247,2580" coordsize="20,2">
              <v:shape style="position:absolute;left:7247;top:2580;width:20;height:2" coordorigin="7247,2580" coordsize="20,0" path="m7247,2580l7266,2580e" filled="false" stroked="true" strokeweight=".47998pt" strokecolor="#000000">
                <v:path arrowok="t"/>
              </v:shape>
            </v:group>
            <v:group style="position:absolute;left:7266;top:2580;width:20;height:2" coordorigin="7266,2580" coordsize="20,2">
              <v:shape style="position:absolute;left:7266;top:2580;width:20;height:2" coordorigin="7266,2580" coordsize="20,0" path="m7266,2580l7285,2580e" filled="false" stroked="true" strokeweight=".47998pt" strokecolor="#000000">
                <v:path arrowok="t"/>
              </v:shape>
            </v:group>
            <v:group style="position:absolute;left:7285;top:2580;width:20;height:2" coordorigin="7285,2580" coordsize="20,2">
              <v:shape style="position:absolute;left:7285;top:2580;width:20;height:2" coordorigin="7285,2580" coordsize="20,0" path="m7285,2580l7305,2580e" filled="false" stroked="true" strokeweight=".47998pt" strokecolor="#000000">
                <v:path arrowok="t"/>
              </v:shape>
            </v:group>
            <v:group style="position:absolute;left:7305;top:2580;width:20;height:2" coordorigin="7305,2580" coordsize="20,2">
              <v:shape style="position:absolute;left:7305;top:2580;width:20;height:2" coordorigin="7305,2580" coordsize="20,0" path="m7305,2580l7324,2580e" filled="false" stroked="true" strokeweight=".47998pt" strokecolor="#000000">
                <v:path arrowok="t"/>
              </v:shape>
            </v:group>
            <v:group style="position:absolute;left:7324;top:2580;width:20;height:2" coordorigin="7324,2580" coordsize="20,2">
              <v:shape style="position:absolute;left:7324;top:2580;width:20;height:2" coordorigin="7324,2580" coordsize="20,0" path="m7324,2580l7343,2580e" filled="false" stroked="true" strokeweight=".47998pt" strokecolor="#000000">
                <v:path arrowok="t"/>
              </v:shape>
            </v:group>
            <v:group style="position:absolute;left:7343;top:2580;width:20;height:2" coordorigin="7343,2580" coordsize="20,2">
              <v:shape style="position:absolute;left:7343;top:2580;width:20;height:2" coordorigin="7343,2580" coordsize="20,0" path="m7343,2580l7362,2580e" filled="false" stroked="true" strokeweight=".47998pt" strokecolor="#000000">
                <v:path arrowok="t"/>
              </v:shape>
            </v:group>
            <v:group style="position:absolute;left:7362;top:2580;width:20;height:2" coordorigin="7362,2580" coordsize="20,2">
              <v:shape style="position:absolute;left:7362;top:2580;width:20;height:2" coordorigin="7362,2580" coordsize="20,0" path="m7362,2580l7381,2580e" filled="false" stroked="true" strokeweight=".47998pt" strokecolor="#000000">
                <v:path arrowok="t"/>
              </v:shape>
            </v:group>
            <v:group style="position:absolute;left:7381;top:2580;width:20;height:2" coordorigin="7381,2580" coordsize="20,2">
              <v:shape style="position:absolute;left:7381;top:2580;width:20;height:2" coordorigin="7381,2580" coordsize="20,0" path="m7381,2580l7401,2580e" filled="false" stroked="true" strokeweight=".47998pt" strokecolor="#000000">
                <v:path arrowok="t"/>
              </v:shape>
            </v:group>
            <v:group style="position:absolute;left:7401;top:2580;width:20;height:2" coordorigin="7401,2580" coordsize="20,2">
              <v:shape style="position:absolute;left:7401;top:2580;width:20;height:2" coordorigin="7401,2580" coordsize="20,0" path="m7401,2580l7420,2580e" filled="false" stroked="true" strokeweight=".47998pt" strokecolor="#000000">
                <v:path arrowok="t"/>
              </v:shape>
            </v:group>
            <v:group style="position:absolute;left:7420;top:2580;width:20;height:2" coordorigin="7420,2580" coordsize="20,2">
              <v:shape style="position:absolute;left:7420;top:2580;width:20;height:2" coordorigin="7420,2580" coordsize="20,0" path="m7420,2580l7439,2580e" filled="false" stroked="true" strokeweight=".47998pt" strokecolor="#000000">
                <v:path arrowok="t"/>
              </v:shape>
            </v:group>
            <v:group style="position:absolute;left:7439;top:2580;width:20;height:2" coordorigin="7439,2580" coordsize="20,2">
              <v:shape style="position:absolute;left:7439;top:2580;width:20;height:2" coordorigin="7439,2580" coordsize="20,0" path="m7439,2580l7458,2580e" filled="false" stroked="true" strokeweight=".47998pt" strokecolor="#000000">
                <v:path arrowok="t"/>
              </v:shape>
            </v:group>
            <v:group style="position:absolute;left:7458;top:2580;width:20;height:2" coordorigin="7458,2580" coordsize="20,2">
              <v:shape style="position:absolute;left:7458;top:2580;width:20;height:2" coordorigin="7458,2580" coordsize="20,0" path="m7458,2580l7477,2580e" filled="false" stroked="true" strokeweight=".47998pt" strokecolor="#000000">
                <v:path arrowok="t"/>
              </v:shape>
            </v:group>
            <v:group style="position:absolute;left:7477;top:2580;width:20;height:2" coordorigin="7477,2580" coordsize="20,2">
              <v:shape style="position:absolute;left:7477;top:2580;width:20;height:2" coordorigin="7477,2580" coordsize="20,0" path="m7477,2580l7497,2580e" filled="false" stroked="true" strokeweight=".47998pt" strokecolor="#000000">
                <v:path arrowok="t"/>
              </v:shape>
            </v:group>
            <v:group style="position:absolute;left:7497;top:2580;width:20;height:2" coordorigin="7497,2580" coordsize="20,2">
              <v:shape style="position:absolute;left:7497;top:2580;width:20;height:2" coordorigin="7497,2580" coordsize="20,0" path="m7497,2580l7516,2580e" filled="false" stroked="true" strokeweight=".47998pt" strokecolor="#000000">
                <v:path arrowok="t"/>
              </v:shape>
            </v:group>
            <v:group style="position:absolute;left:7516;top:2580;width:20;height:2" coordorigin="7516,2580" coordsize="20,2">
              <v:shape style="position:absolute;left:7516;top:2580;width:20;height:2" coordorigin="7516,2580" coordsize="20,0" path="m7516,2580l7535,2580e" filled="false" stroked="true" strokeweight=".47998pt" strokecolor="#000000">
                <v:path arrowok="t"/>
              </v:shape>
            </v:group>
            <v:group style="position:absolute;left:7535;top:2580;width:20;height:2" coordorigin="7535,2580" coordsize="20,2">
              <v:shape style="position:absolute;left:7535;top:2580;width:20;height:2" coordorigin="7535,2580" coordsize="20,0" path="m7535,2580l7554,2580e" filled="false" stroked="true" strokeweight=".47998pt" strokecolor="#000000">
                <v:path arrowok="t"/>
              </v:shape>
            </v:group>
            <v:group style="position:absolute;left:7554;top:2580;width:20;height:2" coordorigin="7554,2580" coordsize="20,2">
              <v:shape style="position:absolute;left:7554;top:2580;width:20;height:2" coordorigin="7554,2580" coordsize="20,0" path="m7554,2580l7573,2580e" filled="false" stroked="true" strokeweight=".47998pt" strokecolor="#000000">
                <v:path arrowok="t"/>
              </v:shape>
            </v:group>
            <v:group style="position:absolute;left:7573;top:2580;width:20;height:2" coordorigin="7573,2580" coordsize="20,2">
              <v:shape style="position:absolute;left:7573;top:2580;width:20;height:2" coordorigin="7573,2580" coordsize="20,0" path="m7573,2580l7593,2580e" filled="false" stroked="true" strokeweight=".47998pt" strokecolor="#000000">
                <v:path arrowok="t"/>
              </v:shape>
            </v:group>
            <v:group style="position:absolute;left:7593;top:2580;width:20;height:2" coordorigin="7593,2580" coordsize="20,2">
              <v:shape style="position:absolute;left:7593;top:2580;width:20;height:2" coordorigin="7593,2580" coordsize="20,0" path="m7593,2580l7612,2580e" filled="false" stroked="true" strokeweight=".47998pt" strokecolor="#000000">
                <v:path arrowok="t"/>
              </v:shape>
            </v:group>
            <v:group style="position:absolute;left:7612;top:2580;width:20;height:2" coordorigin="7612,2580" coordsize="20,2">
              <v:shape style="position:absolute;left:7612;top:2580;width:20;height:2" coordorigin="7612,2580" coordsize="20,0" path="m7612,2580l7631,2580e" filled="false" stroked="true" strokeweight=".47998pt" strokecolor="#000000">
                <v:path arrowok="t"/>
              </v:shape>
            </v:group>
            <v:group style="position:absolute;left:7631;top:2580;width:20;height:2" coordorigin="7631,2580" coordsize="20,2">
              <v:shape style="position:absolute;left:7631;top:2580;width:20;height:2" coordorigin="7631,2580" coordsize="20,0" path="m7631,2580l7650,2580e" filled="false" stroked="true" strokeweight=".47998pt" strokecolor="#000000">
                <v:path arrowok="t"/>
              </v:shape>
            </v:group>
            <v:group style="position:absolute;left:7650;top:2580;width:20;height:2" coordorigin="7650,2580" coordsize="20,2">
              <v:shape style="position:absolute;left:7650;top:2580;width:20;height:2" coordorigin="7650,2580" coordsize="20,0" path="m7650,2580l7669,2580e" filled="false" stroked="true" strokeweight=".47998pt" strokecolor="#000000">
                <v:path arrowok="t"/>
              </v:shape>
            </v:group>
            <v:group style="position:absolute;left:7669;top:2580;width:20;height:2" coordorigin="7669,2580" coordsize="20,2">
              <v:shape style="position:absolute;left:7669;top:2580;width:20;height:2" coordorigin="7669,2580" coordsize="20,0" path="m7669,2580l7689,2580e" filled="false" stroked="true" strokeweight=".47998pt" strokecolor="#000000">
                <v:path arrowok="t"/>
              </v:shape>
            </v:group>
            <v:group style="position:absolute;left:7689;top:2580;width:20;height:2" coordorigin="7689,2580" coordsize="20,2">
              <v:shape style="position:absolute;left:7689;top:2580;width:20;height:2" coordorigin="7689,2580" coordsize="20,0" path="m7689,2580l7708,2580e" filled="false" stroked="true" strokeweight=".47998pt" strokecolor="#000000">
                <v:path arrowok="t"/>
              </v:shape>
            </v:group>
            <v:group style="position:absolute;left:7708;top:2580;width:20;height:2" coordorigin="7708,2580" coordsize="20,2">
              <v:shape style="position:absolute;left:7708;top:2580;width:20;height:2" coordorigin="7708,2580" coordsize="20,0" path="m7708,2580l7727,2580e" filled="false" stroked="true" strokeweight=".47998pt" strokecolor="#000000">
                <v:path arrowok="t"/>
              </v:shape>
            </v:group>
            <v:group style="position:absolute;left:7727;top:2580;width:20;height:2" coordorigin="7727,2580" coordsize="20,2">
              <v:shape style="position:absolute;left:7727;top:2580;width:20;height:2" coordorigin="7727,2580" coordsize="20,0" path="m7727,2580l7746,2580e" filled="false" stroked="true" strokeweight=".47998pt" strokecolor="#000000">
                <v:path arrowok="t"/>
              </v:shape>
            </v:group>
            <v:group style="position:absolute;left:7746;top:2580;width:20;height:2" coordorigin="7746,2580" coordsize="20,2">
              <v:shape style="position:absolute;left:7746;top:2580;width:20;height:2" coordorigin="7746,2580" coordsize="20,0" path="m7746,2580l7765,2580e" filled="false" stroked="true" strokeweight=".47998pt" strokecolor="#000000">
                <v:path arrowok="t"/>
              </v:shape>
            </v:group>
            <v:group style="position:absolute;left:7765;top:2580;width:20;height:2" coordorigin="7765,2580" coordsize="20,2">
              <v:shape style="position:absolute;left:7765;top:2580;width:20;height:2" coordorigin="7765,2580" coordsize="20,0" path="m7765,2580l7785,2580e" filled="false" stroked="true" strokeweight=".47998pt" strokecolor="#000000">
                <v:path arrowok="t"/>
              </v:shape>
            </v:group>
            <v:group style="position:absolute;left:7785;top:2580;width:20;height:2" coordorigin="7785,2580" coordsize="20,2">
              <v:shape style="position:absolute;left:7785;top:2580;width:20;height:2" coordorigin="7785,2580" coordsize="20,0" path="m7785,2580l7804,2580e" filled="false" stroked="true" strokeweight=".47998pt" strokecolor="#000000">
                <v:path arrowok="t"/>
              </v:shape>
            </v:group>
            <v:group style="position:absolute;left:7804;top:2580;width:20;height:2" coordorigin="7804,2580" coordsize="20,2">
              <v:shape style="position:absolute;left:7804;top:2580;width:20;height:2" coordorigin="7804,2580" coordsize="20,0" path="m7804,2580l7823,2580e" filled="false" stroked="true" strokeweight=".47998pt" strokecolor="#000000">
                <v:path arrowok="t"/>
              </v:shape>
            </v:group>
            <v:group style="position:absolute;left:7823;top:2580;width:20;height:2" coordorigin="7823,2580" coordsize="20,2">
              <v:shape style="position:absolute;left:7823;top:2580;width:20;height:2" coordorigin="7823,2580" coordsize="20,0" path="m7823,2580l7842,2580e" filled="false" stroked="true" strokeweight=".47998pt" strokecolor="#000000">
                <v:path arrowok="t"/>
              </v:shape>
            </v:group>
            <v:group style="position:absolute;left:7842;top:2580;width:20;height:2" coordorigin="7842,2580" coordsize="20,2">
              <v:shape style="position:absolute;left:7842;top:2580;width:20;height:2" coordorigin="7842,2580" coordsize="20,0" path="m7842,2580l7861,2580e" filled="false" stroked="true" strokeweight=".47998pt" strokecolor="#000000">
                <v:path arrowok="t"/>
              </v:shape>
            </v:group>
            <v:group style="position:absolute;left:7861;top:2580;width:20;height:2" coordorigin="7861,2580" coordsize="20,2">
              <v:shape style="position:absolute;left:7861;top:2580;width:20;height:2" coordorigin="7861,2580" coordsize="20,0" path="m7861,2580l7881,2580e" filled="false" stroked="true" strokeweight=".47998pt" strokecolor="#000000">
                <v:path arrowok="t"/>
              </v:shape>
            </v:group>
            <v:group style="position:absolute;left:7881;top:2580;width:20;height:2" coordorigin="7881,2580" coordsize="20,2">
              <v:shape style="position:absolute;left:7881;top:2580;width:20;height:2" coordorigin="7881,2580" coordsize="20,0" path="m7881,2580l7900,2580e" filled="false" stroked="true" strokeweight=".47998pt" strokecolor="#000000">
                <v:path arrowok="t"/>
              </v:shape>
            </v:group>
            <v:group style="position:absolute;left:7900;top:2580;width:20;height:2" coordorigin="7900,2580" coordsize="20,2">
              <v:shape style="position:absolute;left:7900;top:2580;width:20;height:2" coordorigin="7900,2580" coordsize="20,0" path="m7900,2580l7919,2580e" filled="false" stroked="true" strokeweight=".47998pt" strokecolor="#000000">
                <v:path arrowok="t"/>
              </v:shape>
            </v:group>
            <v:group style="position:absolute;left:7919;top:2580;width:20;height:2" coordorigin="7919,2580" coordsize="20,2">
              <v:shape style="position:absolute;left:7919;top:2580;width:20;height:2" coordorigin="7919,2580" coordsize="20,0" path="m7919,2580l7938,2580e" filled="false" stroked="true" strokeweight=".47998pt" strokecolor="#000000">
                <v:path arrowok="t"/>
              </v:shape>
            </v:group>
            <v:group style="position:absolute;left:7938;top:2580;width:20;height:2" coordorigin="7938,2580" coordsize="20,2">
              <v:shape style="position:absolute;left:7938;top:2580;width:20;height:2" coordorigin="7938,2580" coordsize="20,0" path="m7938,2580l7957,2580e" filled="false" stroked="true" strokeweight=".47998pt" strokecolor="#000000">
                <v:path arrowok="t"/>
              </v:shape>
            </v:group>
            <v:group style="position:absolute;left:7957;top:2580;width:20;height:2" coordorigin="7957,2580" coordsize="20,2">
              <v:shape style="position:absolute;left:7957;top:2580;width:20;height:2" coordorigin="7957,2580" coordsize="20,0" path="m7957,2580l7977,2580e" filled="false" stroked="true" strokeweight=".47998pt" strokecolor="#000000">
                <v:path arrowok="t"/>
              </v:shape>
            </v:group>
            <v:group style="position:absolute;left:7977;top:2580;width:20;height:2" coordorigin="7977,2580" coordsize="20,2">
              <v:shape style="position:absolute;left:7977;top:2580;width:20;height:2" coordorigin="7977,2580" coordsize="20,0" path="m7977,2580l7996,2580e" filled="false" stroked="true" strokeweight=".47998pt" strokecolor="#000000">
                <v:path arrowok="t"/>
              </v:shape>
            </v:group>
            <v:group style="position:absolute;left:7996;top:2580;width:20;height:2" coordorigin="7996,2580" coordsize="20,2">
              <v:shape style="position:absolute;left:7996;top:2580;width:20;height:2" coordorigin="7996,2580" coordsize="20,0" path="m7996,2580l8015,2580e" filled="false" stroked="true" strokeweight=".47998pt" strokecolor="#000000">
                <v:path arrowok="t"/>
              </v:shape>
            </v:group>
            <v:group style="position:absolute;left:8015;top:2580;width:20;height:2" coordorigin="8015,2580" coordsize="20,2">
              <v:shape style="position:absolute;left:8015;top:2580;width:20;height:2" coordorigin="8015,2580" coordsize="20,0" path="m8015,2580l8034,2580e" filled="false" stroked="true" strokeweight=".47998pt" strokecolor="#000000">
                <v:path arrowok="t"/>
              </v:shape>
            </v:group>
            <v:group style="position:absolute;left:8034;top:2580;width:20;height:2" coordorigin="8034,2580" coordsize="20,2">
              <v:shape style="position:absolute;left:8034;top:2580;width:20;height:2" coordorigin="8034,2580" coordsize="20,0" path="m8034,2580l8053,2580e" filled="false" stroked="true" strokeweight=".47998pt" strokecolor="#000000">
                <v:path arrowok="t"/>
              </v:shape>
            </v:group>
            <v:group style="position:absolute;left:8053;top:2580;width:20;height:2" coordorigin="8053,2580" coordsize="20,2">
              <v:shape style="position:absolute;left:8053;top:2580;width:20;height:2" coordorigin="8053,2580" coordsize="20,0" path="m8053,2580l8073,2580e" filled="false" stroked="true" strokeweight=".47998pt" strokecolor="#000000">
                <v:path arrowok="t"/>
              </v:shape>
            </v:group>
            <v:group style="position:absolute;left:8073;top:2580;width:20;height:2" coordorigin="8073,2580" coordsize="20,2">
              <v:shape style="position:absolute;left:8073;top:2580;width:20;height:2" coordorigin="8073,2580" coordsize="20,0" path="m8073,2580l8092,2580e" filled="false" stroked="true" strokeweight=".47998pt" strokecolor="#000000">
                <v:path arrowok="t"/>
              </v:shape>
            </v:group>
            <v:group style="position:absolute;left:8092;top:2580;width:20;height:2" coordorigin="8092,2580" coordsize="20,2">
              <v:shape style="position:absolute;left:8092;top:2580;width:20;height:2" coordorigin="8092,2580" coordsize="20,0" path="m8092,2580l8111,2580e" filled="false" stroked="true" strokeweight=".47998pt" strokecolor="#000000">
                <v:path arrowok="t"/>
              </v:shape>
            </v:group>
            <v:group style="position:absolute;left:8111;top:2580;width:20;height:2" coordorigin="8111,2580" coordsize="20,2">
              <v:shape style="position:absolute;left:8111;top:2580;width:20;height:2" coordorigin="8111,2580" coordsize="20,0" path="m8111,2580l8130,2580e" filled="false" stroked="true" strokeweight=".47998pt" strokecolor="#000000">
                <v:path arrowok="t"/>
              </v:shape>
            </v:group>
            <v:group style="position:absolute;left:8130;top:2580;width:20;height:2" coordorigin="8130,2580" coordsize="20,2">
              <v:shape style="position:absolute;left:8130;top:2580;width:20;height:2" coordorigin="8130,2580" coordsize="20,0" path="m8130,2580l8149,2580e" filled="false" stroked="true" strokeweight=".47998pt" strokecolor="#000000">
                <v:path arrowok="t"/>
              </v:shape>
            </v:group>
            <v:group style="position:absolute;left:8149;top:2580;width:20;height:2" coordorigin="8149,2580" coordsize="20,2">
              <v:shape style="position:absolute;left:8149;top:2580;width:20;height:2" coordorigin="8149,2580" coordsize="20,0" path="m8149,2580l8169,2580e" filled="false" stroked="true" strokeweight=".47998pt" strokecolor="#000000">
                <v:path arrowok="t"/>
              </v:shape>
            </v:group>
            <v:group style="position:absolute;left:8169;top:2580;width:20;height:2" coordorigin="8169,2580" coordsize="20,2">
              <v:shape style="position:absolute;left:8169;top:2580;width:20;height:2" coordorigin="8169,2580" coordsize="20,0" path="m8169,2580l8188,2580e" filled="false" stroked="true" strokeweight=".47998pt" strokecolor="#000000">
                <v:path arrowok="t"/>
              </v:shape>
            </v:group>
            <v:group style="position:absolute;left:8188;top:2580;width:20;height:2" coordorigin="8188,2580" coordsize="20,2">
              <v:shape style="position:absolute;left:8188;top:2580;width:20;height:2" coordorigin="8188,2580" coordsize="20,0" path="m8188,2580l8207,2580e" filled="false" stroked="true" strokeweight=".47998pt" strokecolor="#000000">
                <v:path arrowok="t"/>
              </v:shape>
            </v:group>
            <v:group style="position:absolute;left:8207;top:2580;width:20;height:2" coordorigin="8207,2580" coordsize="20,2">
              <v:shape style="position:absolute;left:8207;top:2580;width:20;height:2" coordorigin="8207,2580" coordsize="20,0" path="m8207,2580l8226,2580e" filled="false" stroked="true" strokeweight=".47998pt" strokecolor="#000000">
                <v:path arrowok="t"/>
              </v:shape>
            </v:group>
            <v:group style="position:absolute;left:8226;top:2580;width:20;height:2" coordorigin="8226,2580" coordsize="20,2">
              <v:shape style="position:absolute;left:8226;top:2580;width:20;height:2" coordorigin="8226,2580" coordsize="20,0" path="m8226,2580l8245,2580e" filled="false" stroked="true" strokeweight=".47998pt" strokecolor="#000000">
                <v:path arrowok="t"/>
              </v:shape>
            </v:group>
            <v:group style="position:absolute;left:8245;top:2580;width:20;height:2" coordorigin="8245,2580" coordsize="20,2">
              <v:shape style="position:absolute;left:8245;top:2580;width:20;height:2" coordorigin="8245,2580" coordsize="20,0" path="m8245,2580l8265,2580e" filled="false" stroked="true" strokeweight=".47998pt" strokecolor="#000000">
                <v:path arrowok="t"/>
              </v:shape>
            </v:group>
            <v:group style="position:absolute;left:8265;top:2580;width:20;height:2" coordorigin="8265,2580" coordsize="20,2">
              <v:shape style="position:absolute;left:8265;top:2580;width:20;height:2" coordorigin="8265,2580" coordsize="20,0" path="m8265,2580l8284,2580e" filled="false" stroked="true" strokeweight=".47998pt" strokecolor="#000000">
                <v:path arrowok="t"/>
              </v:shape>
            </v:group>
            <v:group style="position:absolute;left:8284;top:2580;width:20;height:2" coordorigin="8284,2580" coordsize="20,2">
              <v:shape style="position:absolute;left:8284;top:2580;width:20;height:2" coordorigin="8284,2580" coordsize="20,0" path="m8284,2580l8303,2580e" filled="false" stroked="true" strokeweight=".47998pt" strokecolor="#000000">
                <v:path arrowok="t"/>
              </v:shape>
            </v:group>
            <v:group style="position:absolute;left:8303;top:2580;width:20;height:2" coordorigin="8303,2580" coordsize="20,2">
              <v:shape style="position:absolute;left:8303;top:2580;width:20;height:2" coordorigin="8303,2580" coordsize="20,0" path="m8303,2580l8322,2580e" filled="false" stroked="true" strokeweight=".47998pt" strokecolor="#000000">
                <v:path arrowok="t"/>
              </v:shape>
            </v:group>
            <v:group style="position:absolute;left:8322;top:2580;width:20;height:2" coordorigin="8322,2580" coordsize="20,2">
              <v:shape style="position:absolute;left:8322;top:2580;width:20;height:2" coordorigin="8322,2580" coordsize="20,0" path="m8322,2580l8341,2580e" filled="false" stroked="true" strokeweight=".47998pt" strokecolor="#000000">
                <v:path arrowok="t"/>
              </v:shape>
            </v:group>
            <v:group style="position:absolute;left:8341;top:2580;width:20;height:2" coordorigin="8341,2580" coordsize="20,2">
              <v:shape style="position:absolute;left:8341;top:2580;width:20;height:2" coordorigin="8341,2580" coordsize="20,0" path="m8341,2580l8361,2580e" filled="false" stroked="true" strokeweight=".47998pt" strokecolor="#000000">
                <v:path arrowok="t"/>
              </v:shape>
            </v:group>
            <v:group style="position:absolute;left:8361;top:2580;width:20;height:2" coordorigin="8361,2580" coordsize="20,2">
              <v:shape style="position:absolute;left:8361;top:2580;width:20;height:2" coordorigin="8361,2580" coordsize="20,0" path="m8361,2580l8380,2580e" filled="false" stroked="true" strokeweight=".47998pt" strokecolor="#000000">
                <v:path arrowok="t"/>
              </v:shape>
            </v:group>
            <v:group style="position:absolute;left:8380;top:2580;width:20;height:2" coordorigin="8380,2580" coordsize="20,2">
              <v:shape style="position:absolute;left:8380;top:2580;width:20;height:2" coordorigin="8380,2580" coordsize="20,0" path="m8380,2580l8399,2580e" filled="false" stroked="true" strokeweight=".47998pt" strokecolor="#000000">
                <v:path arrowok="t"/>
              </v:shape>
            </v:group>
            <v:group style="position:absolute;left:8399;top:2580;width:20;height:2" coordorigin="8399,2580" coordsize="20,2">
              <v:shape style="position:absolute;left:8399;top:2580;width:20;height:2" coordorigin="8399,2580" coordsize="20,0" path="m8399,2580l8418,2580e" filled="false" stroked="true" strokeweight=".47998pt" strokecolor="#000000">
                <v:path arrowok="t"/>
              </v:shape>
            </v:group>
            <v:group style="position:absolute;left:8418;top:2580;width:20;height:2" coordorigin="8418,2580" coordsize="20,2">
              <v:shape style="position:absolute;left:8418;top:2580;width:20;height:2" coordorigin="8418,2580" coordsize="20,0" path="m8418,2580l8437,2580e" filled="false" stroked="true" strokeweight=".47998pt" strokecolor="#000000">
                <v:path arrowok="t"/>
              </v:shape>
            </v:group>
            <v:group style="position:absolute;left:8437;top:2580;width:20;height:2" coordorigin="8437,2580" coordsize="20,2">
              <v:shape style="position:absolute;left:8437;top:2580;width:20;height:2" coordorigin="8437,2580" coordsize="20,0" path="m8437,2580l8457,2580e" filled="false" stroked="true" strokeweight=".47998pt" strokecolor="#000000">
                <v:path arrowok="t"/>
              </v:shape>
            </v:group>
            <v:group style="position:absolute;left:8457;top:2580;width:20;height:2" coordorigin="8457,2580" coordsize="20,2">
              <v:shape style="position:absolute;left:8457;top:2580;width:20;height:2" coordorigin="8457,2580" coordsize="20,0" path="m8457,2580l8476,2580e" filled="false" stroked="true" strokeweight=".47998pt" strokecolor="#000000">
                <v:path arrowok="t"/>
              </v:shape>
            </v:group>
            <v:group style="position:absolute;left:8476;top:2580;width:20;height:2" coordorigin="8476,2580" coordsize="20,2">
              <v:shape style="position:absolute;left:8476;top:2580;width:20;height:2" coordorigin="8476,2580" coordsize="20,0" path="m8476,2580l8495,2580e" filled="false" stroked="true" strokeweight=".47998pt" strokecolor="#000000">
                <v:path arrowok="t"/>
              </v:shape>
            </v:group>
            <v:group style="position:absolute;left:8495;top:2580;width:20;height:2" coordorigin="8495,2580" coordsize="20,2">
              <v:shape style="position:absolute;left:8495;top:2580;width:20;height:2" coordorigin="8495,2580" coordsize="20,0" path="m8495,2580l8514,2580e" filled="false" stroked="true" strokeweight=".47998pt" strokecolor="#000000">
                <v:path arrowok="t"/>
              </v:shape>
            </v:group>
            <v:group style="position:absolute;left:8514;top:2580;width:20;height:2" coordorigin="8514,2580" coordsize="20,2">
              <v:shape style="position:absolute;left:8514;top:2580;width:20;height:2" coordorigin="8514,2580" coordsize="20,0" path="m8514,2580l8533,2580e" filled="false" stroked="true" strokeweight=".47998pt" strokecolor="#000000">
                <v:path arrowok="t"/>
              </v:shape>
            </v:group>
            <v:group style="position:absolute;left:8533;top:2580;width:15;height:2" coordorigin="8533,2580" coordsize="15,2">
              <v:shape style="position:absolute;left:8533;top:2580;width:15;height:2" coordorigin="8533,2580" coordsize="15,0" path="m8533,2580l8548,2580e" filled="false" stroked="true" strokeweight=".47998pt" strokecolor="#000000">
                <v:path arrowok="t"/>
              </v:shape>
            </v:group>
            <v:group style="position:absolute;left:8548;top:2580;width:10;height:2" coordorigin="8548,2580" coordsize="10,2">
              <v:shape style="position:absolute;left:8548;top:2580;width:10;height:2" coordorigin="8548,2580" coordsize="10,0" path="m8548,2580l8557,2580e" filled="false" stroked="true" strokeweight=".47998pt" strokecolor="#000000">
                <v:path arrowok="t"/>
              </v:shape>
            </v:group>
            <v:group style="position:absolute;left:8557;top:2580;width:20;height:2" coordorigin="8557,2580" coordsize="20,2">
              <v:shape style="position:absolute;left:8557;top:2580;width:20;height:2" coordorigin="8557,2580" coordsize="20,0" path="m8557,2580l8577,2580e" filled="false" stroked="true" strokeweight=".47998pt" strokecolor="#000000">
                <v:path arrowok="t"/>
              </v:shape>
            </v:group>
            <v:group style="position:absolute;left:8577;top:2580;width:20;height:2" coordorigin="8577,2580" coordsize="20,2">
              <v:shape style="position:absolute;left:8577;top:2580;width:20;height:2" coordorigin="8577,2580" coordsize="20,0" path="m8577,2580l8596,2580e" filled="false" stroked="true" strokeweight=".47998pt" strokecolor="#000000">
                <v:path arrowok="t"/>
              </v:shape>
            </v:group>
            <v:group style="position:absolute;left:8596;top:2580;width:20;height:2" coordorigin="8596,2580" coordsize="20,2">
              <v:shape style="position:absolute;left:8596;top:2580;width:20;height:2" coordorigin="8596,2580" coordsize="20,0" path="m8596,2580l8615,2580e" filled="false" stroked="true" strokeweight=".47998pt" strokecolor="#000000">
                <v:path arrowok="t"/>
              </v:shape>
            </v:group>
            <v:group style="position:absolute;left:8615;top:2580;width:20;height:2" coordorigin="8615,2580" coordsize="20,2">
              <v:shape style="position:absolute;left:8615;top:2580;width:20;height:2" coordorigin="8615,2580" coordsize="20,0" path="m8615,2580l8634,2580e" filled="false" stroked="true" strokeweight=".47998pt" strokecolor="#000000">
                <v:path arrowok="t"/>
              </v:shape>
            </v:group>
            <v:group style="position:absolute;left:8634;top:2580;width:20;height:2" coordorigin="8634,2580" coordsize="20,2">
              <v:shape style="position:absolute;left:8634;top:2580;width:20;height:2" coordorigin="8634,2580" coordsize="20,0" path="m8634,2580l8653,2580e" filled="false" stroked="true" strokeweight=".47998pt" strokecolor="#000000">
                <v:path arrowok="t"/>
              </v:shape>
            </v:group>
            <v:group style="position:absolute;left:8653;top:2580;width:20;height:2" coordorigin="8653,2580" coordsize="20,2">
              <v:shape style="position:absolute;left:8653;top:2580;width:20;height:2" coordorigin="8653,2580" coordsize="20,0" path="m8653,2580l8673,2580e" filled="false" stroked="true" strokeweight=".47998pt" strokecolor="#000000">
                <v:path arrowok="t"/>
              </v:shape>
            </v:group>
            <v:group style="position:absolute;left:8673;top:2580;width:20;height:2" coordorigin="8673,2580" coordsize="20,2">
              <v:shape style="position:absolute;left:8673;top:2580;width:20;height:2" coordorigin="8673,2580" coordsize="20,0" path="m8673,2580l8692,2580e" filled="false" stroked="true" strokeweight=".47998pt" strokecolor="#000000">
                <v:path arrowok="t"/>
              </v:shape>
            </v:group>
            <v:group style="position:absolute;left:8692;top:2580;width:20;height:2" coordorigin="8692,2580" coordsize="20,2">
              <v:shape style="position:absolute;left:8692;top:2580;width:20;height:2" coordorigin="8692,2580" coordsize="20,0" path="m8692,2580l8711,2580e" filled="false" stroked="true" strokeweight=".47998pt" strokecolor="#000000">
                <v:path arrowok="t"/>
              </v:shape>
            </v:group>
            <v:group style="position:absolute;left:8711;top:2580;width:20;height:2" coordorigin="8711,2580" coordsize="20,2">
              <v:shape style="position:absolute;left:8711;top:2580;width:20;height:2" coordorigin="8711,2580" coordsize="20,0" path="m8711,2580l8730,2580e" filled="false" stroked="true" strokeweight=".47998pt" strokecolor="#000000">
                <v:path arrowok="t"/>
              </v:shape>
            </v:group>
            <v:group style="position:absolute;left:8730;top:2580;width:20;height:2" coordorigin="8730,2580" coordsize="20,2">
              <v:shape style="position:absolute;left:8730;top:2580;width:20;height:2" coordorigin="8730,2580" coordsize="20,0" path="m8730,2580l8749,2580e" filled="false" stroked="true" strokeweight=".47998pt" strokecolor="#000000">
                <v:path arrowok="t"/>
              </v:shape>
            </v:group>
            <v:group style="position:absolute;left:8749;top:2580;width:20;height:2" coordorigin="8749,2580" coordsize="20,2">
              <v:shape style="position:absolute;left:8749;top:2580;width:20;height:2" coordorigin="8749,2580" coordsize="20,0" path="m8749,2580l8769,2580e" filled="false" stroked="true" strokeweight=".47998pt" strokecolor="#000000">
                <v:path arrowok="t"/>
              </v:shape>
            </v:group>
            <v:group style="position:absolute;left:8769;top:2580;width:20;height:2" coordorigin="8769,2580" coordsize="20,2">
              <v:shape style="position:absolute;left:8769;top:2580;width:20;height:2" coordorigin="8769,2580" coordsize="20,0" path="m8769,2580l8788,2580e" filled="false" stroked="true" strokeweight=".47998pt" strokecolor="#000000">
                <v:path arrowok="t"/>
              </v:shape>
            </v:group>
            <v:group style="position:absolute;left:8788;top:2580;width:20;height:2" coordorigin="8788,2580" coordsize="20,2">
              <v:shape style="position:absolute;left:8788;top:2580;width:20;height:2" coordorigin="8788,2580" coordsize="20,0" path="m8788,2580l8807,2580e" filled="false" stroked="true" strokeweight=".47998pt" strokecolor="#000000">
                <v:path arrowok="t"/>
              </v:shape>
            </v:group>
            <v:group style="position:absolute;left:8807;top:2580;width:20;height:2" coordorigin="8807,2580" coordsize="20,2">
              <v:shape style="position:absolute;left:8807;top:2580;width:20;height:2" coordorigin="8807,2580" coordsize="20,0" path="m8807,2580l8826,2580e" filled="false" stroked="true" strokeweight=".47998pt" strokecolor="#000000">
                <v:path arrowok="t"/>
              </v:shape>
            </v:group>
            <v:group style="position:absolute;left:8826;top:2580;width:20;height:2" coordorigin="8826,2580" coordsize="20,2">
              <v:shape style="position:absolute;left:8826;top:2580;width:20;height:2" coordorigin="8826,2580" coordsize="20,0" path="m8826,2580l8845,2580e" filled="false" stroked="true" strokeweight=".47998pt" strokecolor="#000000">
                <v:path arrowok="t"/>
              </v:shape>
            </v:group>
            <v:group style="position:absolute;left:8845;top:2580;width:20;height:2" coordorigin="8845,2580" coordsize="20,2">
              <v:shape style="position:absolute;left:8845;top:2580;width:20;height:2" coordorigin="8845,2580" coordsize="20,0" path="m8845,2580l8865,2580e" filled="false" stroked="true" strokeweight=".47998pt" strokecolor="#000000">
                <v:path arrowok="t"/>
              </v:shape>
            </v:group>
            <v:group style="position:absolute;left:8865;top:2580;width:20;height:2" coordorigin="8865,2580" coordsize="20,2">
              <v:shape style="position:absolute;left:8865;top:2580;width:20;height:2" coordorigin="8865,2580" coordsize="20,0" path="m8865,2580l8884,2580e" filled="false" stroked="true" strokeweight=".47998pt" strokecolor="#000000">
                <v:path arrowok="t"/>
              </v:shape>
            </v:group>
            <v:group style="position:absolute;left:8884;top:2580;width:20;height:2" coordorigin="8884,2580" coordsize="20,2">
              <v:shape style="position:absolute;left:8884;top:2580;width:20;height:2" coordorigin="8884,2580" coordsize="20,0" path="m8884,2580l8904,2580e" filled="false" stroked="true" strokeweight=".47998pt" strokecolor="#000000">
                <v:path arrowok="t"/>
              </v:shape>
            </v:group>
            <v:group style="position:absolute;left:8904;top:2580;width:20;height:2" coordorigin="8904,2580" coordsize="20,2">
              <v:shape style="position:absolute;left:8904;top:2580;width:20;height:2" coordorigin="8904,2580" coordsize="20,0" path="m8904,2580l8923,2580e" filled="false" stroked="true" strokeweight=".47998pt" strokecolor="#000000">
                <v:path arrowok="t"/>
              </v:shape>
            </v:group>
            <v:group style="position:absolute;left:8923;top:2580;width:20;height:2" coordorigin="8923,2580" coordsize="20,2">
              <v:shape style="position:absolute;left:8923;top:2580;width:20;height:2" coordorigin="8923,2580" coordsize="20,0" path="m8923,2580l8942,2580e" filled="false" stroked="true" strokeweight=".47998pt" strokecolor="#000000">
                <v:path arrowok="t"/>
              </v:shape>
            </v:group>
            <v:group style="position:absolute;left:8942;top:2580;width:20;height:2" coordorigin="8942,2580" coordsize="20,2">
              <v:shape style="position:absolute;left:8942;top:2580;width:20;height:2" coordorigin="8942,2580" coordsize="20,0" path="m8942,2580l8961,2580e" filled="false" stroked="true" strokeweight=".47998pt" strokecolor="#000000">
                <v:path arrowok="t"/>
              </v:shape>
            </v:group>
            <v:group style="position:absolute;left:8961;top:2580;width:20;height:2" coordorigin="8961,2580" coordsize="20,2">
              <v:shape style="position:absolute;left:8961;top:2580;width:20;height:2" coordorigin="8961,2580" coordsize="20,0" path="m8961,2580l8980,2580e" filled="false" stroked="true" strokeweight=".47998pt" strokecolor="#000000">
                <v:path arrowok="t"/>
              </v:shape>
            </v:group>
            <v:group style="position:absolute;left:8980;top:2580;width:20;height:2" coordorigin="8980,2580" coordsize="20,2">
              <v:shape style="position:absolute;left:8980;top:2580;width:20;height:2" coordorigin="8980,2580" coordsize="20,0" path="m8980,2580l9000,2580e" filled="false" stroked="true" strokeweight=".47998pt" strokecolor="#000000">
                <v:path arrowok="t"/>
              </v:shape>
            </v:group>
            <v:group style="position:absolute;left:9000;top:2580;width:20;height:2" coordorigin="9000,2580" coordsize="20,2">
              <v:shape style="position:absolute;left:9000;top:2580;width:20;height:2" coordorigin="9000,2580" coordsize="20,0" path="m9000,2580l9019,2580e" filled="false" stroked="true" strokeweight=".47998pt" strokecolor="#000000">
                <v:path arrowok="t"/>
              </v:shape>
            </v:group>
            <v:group style="position:absolute;left:9019;top:2580;width:20;height:2" coordorigin="9019,2580" coordsize="20,2">
              <v:shape style="position:absolute;left:9019;top:2580;width:20;height:2" coordorigin="9019,2580" coordsize="20,0" path="m9019,2580l9038,2580e" filled="false" stroked="true" strokeweight=".47998pt" strokecolor="#000000">
                <v:path arrowok="t"/>
              </v:shape>
            </v:group>
            <v:group style="position:absolute;left:9038;top:2580;width:20;height:2" coordorigin="9038,2580" coordsize="20,2">
              <v:shape style="position:absolute;left:9038;top:2580;width:20;height:2" coordorigin="9038,2580" coordsize="20,0" path="m9038,2580l9057,2580e" filled="false" stroked="true" strokeweight=".47998pt" strokecolor="#000000">
                <v:path arrowok="t"/>
              </v:shape>
            </v:group>
            <v:group style="position:absolute;left:9057;top:2580;width:20;height:2" coordorigin="9057,2580" coordsize="20,2">
              <v:shape style="position:absolute;left:9057;top:2580;width:20;height:2" coordorigin="9057,2580" coordsize="20,0" path="m9057,2580l9076,2580e" filled="false" stroked="true" strokeweight=".47998pt" strokecolor="#000000">
                <v:path arrowok="t"/>
              </v:shape>
            </v:group>
            <v:group style="position:absolute;left:9076;top:2580;width:20;height:2" coordorigin="9076,2580" coordsize="20,2">
              <v:shape style="position:absolute;left:9076;top:2580;width:20;height:2" coordorigin="9076,2580" coordsize="20,0" path="m9076,2580l9096,2580e" filled="false" stroked="true" strokeweight=".47998pt" strokecolor="#000000">
                <v:path arrowok="t"/>
              </v:shape>
            </v:group>
            <v:group style="position:absolute;left:9096;top:2580;width:20;height:2" coordorigin="9096,2580" coordsize="20,2">
              <v:shape style="position:absolute;left:9096;top:2580;width:20;height:2" coordorigin="9096,2580" coordsize="20,0" path="m9096,2580l9115,2580e" filled="false" stroked="true" strokeweight=".47998pt" strokecolor="#000000">
                <v:path arrowok="t"/>
              </v:shape>
            </v:group>
            <v:group style="position:absolute;left:9115;top:2580;width:20;height:2" coordorigin="9115,2580" coordsize="20,2">
              <v:shape style="position:absolute;left:9115;top:2580;width:20;height:2" coordorigin="9115,2580" coordsize="20,0" path="m9115,2580l9134,2580e" filled="false" stroked="true" strokeweight=".47998pt" strokecolor="#000000">
                <v:path arrowok="t"/>
              </v:shape>
            </v:group>
            <v:group style="position:absolute;left:9134;top:2580;width:20;height:2" coordorigin="9134,2580" coordsize="20,2">
              <v:shape style="position:absolute;left:9134;top:2580;width:20;height:2" coordorigin="9134,2580" coordsize="20,0" path="m9134,2580l9153,2580e" filled="false" stroked="true" strokeweight=".47998pt" strokecolor="#000000">
                <v:path arrowok="t"/>
              </v:shape>
            </v:group>
            <v:group style="position:absolute;left:9153;top:2580;width:20;height:2" coordorigin="9153,2580" coordsize="20,2">
              <v:shape style="position:absolute;left:9153;top:2580;width:20;height:2" coordorigin="9153,2580" coordsize="20,0" path="m9153,2580l9172,2580e" filled="false" stroked="true" strokeweight=".47998pt" strokecolor="#000000">
                <v:path arrowok="t"/>
              </v:shape>
            </v:group>
            <v:group style="position:absolute;left:9172;top:2580;width:20;height:2" coordorigin="9172,2580" coordsize="20,2">
              <v:shape style="position:absolute;left:9172;top:2580;width:20;height:2" coordorigin="9172,2580" coordsize="20,0" path="m9172,2580l9192,2580e" filled="false" stroked="true" strokeweight=".47998pt" strokecolor="#000000">
                <v:path arrowok="t"/>
              </v:shape>
            </v:group>
            <v:group style="position:absolute;left:9192;top:2580;width:20;height:2" coordorigin="9192,2580" coordsize="20,2">
              <v:shape style="position:absolute;left:9192;top:2580;width:20;height:2" coordorigin="9192,2580" coordsize="20,0" path="m9192,2580l9211,2580e" filled="false" stroked="true" strokeweight=".47998pt" strokecolor="#000000">
                <v:path arrowok="t"/>
              </v:shape>
            </v:group>
            <v:group style="position:absolute;left:9211;top:2580;width:20;height:2" coordorigin="9211,2580" coordsize="20,2">
              <v:shape style="position:absolute;left:9211;top:2580;width:20;height:2" coordorigin="9211,2580" coordsize="20,0" path="m9211,2580l9230,2580e" filled="false" stroked="true" strokeweight=".47998pt" strokecolor="#000000">
                <v:path arrowok="t"/>
              </v:shape>
            </v:group>
            <v:group style="position:absolute;left:9230;top:2580;width:20;height:2" coordorigin="9230,2580" coordsize="20,2">
              <v:shape style="position:absolute;left:9230;top:2580;width:20;height:2" coordorigin="9230,2580" coordsize="20,0" path="m9230,2580l9249,2580e" filled="false" stroked="true" strokeweight=".47998pt" strokecolor="#000000">
                <v:path arrowok="t"/>
              </v:shape>
            </v:group>
            <v:group style="position:absolute;left:9249;top:2580;width:20;height:2" coordorigin="9249,2580" coordsize="20,2">
              <v:shape style="position:absolute;left:9249;top:2580;width:20;height:2" coordorigin="9249,2580" coordsize="20,0" path="m9249,2580l9268,2580e" filled="false" stroked="true" strokeweight=".47998pt" strokecolor="#000000">
                <v:path arrowok="t"/>
              </v:shape>
            </v:group>
            <v:group style="position:absolute;left:9268;top:2580;width:20;height:2" coordorigin="9268,2580" coordsize="20,2">
              <v:shape style="position:absolute;left:9268;top:2580;width:20;height:2" coordorigin="9268,2580" coordsize="20,0" path="m9268,2580l9288,2580e" filled="false" stroked="true" strokeweight=".47998pt" strokecolor="#000000">
                <v:path arrowok="t"/>
              </v:shape>
            </v:group>
            <v:group style="position:absolute;left:9288;top:2580;width:20;height:2" coordorigin="9288,2580" coordsize="20,2">
              <v:shape style="position:absolute;left:9288;top:2580;width:20;height:2" coordorigin="9288,2580" coordsize="20,0" path="m9288,2580l9307,2580e" filled="false" stroked="true" strokeweight=".47998pt" strokecolor="#000000">
                <v:path arrowok="t"/>
              </v:shape>
            </v:group>
            <v:group style="position:absolute;left:9307;top:2580;width:20;height:2" coordorigin="9307,2580" coordsize="20,2">
              <v:shape style="position:absolute;left:9307;top:2580;width:20;height:2" coordorigin="9307,2580" coordsize="20,0" path="m9307,2580l9326,2580e" filled="false" stroked="true" strokeweight=".47998pt" strokecolor="#000000">
                <v:path arrowok="t"/>
              </v:shape>
            </v:group>
            <v:group style="position:absolute;left:9326;top:2580;width:20;height:2" coordorigin="9326,2580" coordsize="20,2">
              <v:shape style="position:absolute;left:9326;top:2580;width:20;height:2" coordorigin="9326,2580" coordsize="20,0" path="m9326,2580l9345,2580e" filled="false" stroked="true" strokeweight=".47998pt" strokecolor="#000000">
                <v:path arrowok="t"/>
              </v:shape>
            </v:group>
            <v:group style="position:absolute;left:9345;top:2580;width:20;height:2" coordorigin="9345,2580" coordsize="20,2">
              <v:shape style="position:absolute;left:9345;top:2580;width:20;height:2" coordorigin="9345,2580" coordsize="20,0" path="m9345,2580l9364,2580e" filled="false" stroked="true" strokeweight=".47998pt" strokecolor="#000000">
                <v:path arrowok="t"/>
              </v:shape>
            </v:group>
            <v:group style="position:absolute;left:9364;top:2580;width:20;height:2" coordorigin="9364,2580" coordsize="20,2">
              <v:shape style="position:absolute;left:9364;top:2580;width:20;height:2" coordorigin="9364,2580" coordsize="20,0" path="m9364,2580l9384,2580e" filled="false" stroked="true" strokeweight=".47998pt" strokecolor="#000000">
                <v:path arrowok="t"/>
              </v:shape>
            </v:group>
            <v:group style="position:absolute;left:9384;top:2580;width:20;height:2" coordorigin="9384,2580" coordsize="20,2">
              <v:shape style="position:absolute;left:9384;top:2580;width:20;height:2" coordorigin="9384,2580" coordsize="20,0" path="m9384,2580l9403,2580e" filled="false" stroked="true" strokeweight=".47998pt" strokecolor="#000000">
                <v:path arrowok="t"/>
              </v:shape>
            </v:group>
            <v:group style="position:absolute;left:9403;top:2580;width:20;height:2" coordorigin="9403,2580" coordsize="20,2">
              <v:shape style="position:absolute;left:9403;top:2580;width:20;height:2" coordorigin="9403,2580" coordsize="20,0" path="m9403,2580l9422,2580e" filled="false" stroked="true" strokeweight=".47998pt" strokecolor="#000000">
                <v:path arrowok="t"/>
              </v:shape>
            </v:group>
            <v:group style="position:absolute;left:9422;top:2580;width:20;height:2" coordorigin="9422,2580" coordsize="20,2">
              <v:shape style="position:absolute;left:9422;top:2580;width:20;height:2" coordorigin="9422,2580" coordsize="20,0" path="m9422,2580l9441,2580e" filled="false" stroked="true" strokeweight=".47998pt" strokecolor="#000000">
                <v:path arrowok="t"/>
              </v:shape>
            </v:group>
            <v:group style="position:absolute;left:9441;top:2580;width:20;height:2" coordorigin="9441,2580" coordsize="20,2">
              <v:shape style="position:absolute;left:9441;top:2580;width:20;height:2" coordorigin="9441,2580" coordsize="20,0" path="m9441,2580l9460,2580e" filled="false" stroked="true" strokeweight=".47998pt" strokecolor="#000000">
                <v:path arrowok="t"/>
              </v:shape>
            </v:group>
            <v:group style="position:absolute;left:9460;top:2580;width:20;height:2" coordorigin="9460,2580" coordsize="20,2">
              <v:shape style="position:absolute;left:9460;top:2580;width:20;height:2" coordorigin="9460,2580" coordsize="20,0" path="m9460,2580l9480,2580e" filled="false" stroked="true" strokeweight=".47998pt" strokecolor="#000000">
                <v:path arrowok="t"/>
              </v:shape>
            </v:group>
            <v:group style="position:absolute;left:9480;top:2580;width:20;height:2" coordorigin="9480,2580" coordsize="20,2">
              <v:shape style="position:absolute;left:9480;top:2580;width:20;height:2" coordorigin="9480,2580" coordsize="20,0" path="m9480,2580l9499,2580e" filled="false" stroked="true" strokeweight=".47998pt" strokecolor="#000000">
                <v:path arrowok="t"/>
              </v:shape>
            </v:group>
            <v:group style="position:absolute;left:9499;top:2580;width:20;height:2" coordorigin="9499,2580" coordsize="20,2">
              <v:shape style="position:absolute;left:9499;top:2580;width:20;height:2" coordorigin="9499,2580" coordsize="20,0" path="m9499,2580l9518,2580e" filled="false" stroked="true" strokeweight=".47998pt" strokecolor="#000000">
                <v:path arrowok="t"/>
              </v:shape>
            </v:group>
            <v:group style="position:absolute;left:9518;top:2580;width:20;height:2" coordorigin="9518,2580" coordsize="20,2">
              <v:shape style="position:absolute;left:9518;top:2580;width:20;height:2" coordorigin="9518,2580" coordsize="20,0" path="m9518,2580l9537,2580e" filled="false" stroked="true" strokeweight=".47998pt" strokecolor="#000000">
                <v:path arrowok="t"/>
              </v:shape>
            </v:group>
            <v:group style="position:absolute;left:9537;top:2580;width:20;height:2" coordorigin="9537,2580" coordsize="20,2">
              <v:shape style="position:absolute;left:9537;top:2580;width:20;height:2" coordorigin="9537,2580" coordsize="20,0" path="m9537,2580l9556,2580e" filled="false" stroked="true" strokeweight=".47998pt" strokecolor="#000000">
                <v:path arrowok="t"/>
              </v:shape>
            </v:group>
            <v:group style="position:absolute;left:9556;top:2580;width:20;height:2" coordorigin="9556,2580" coordsize="20,2">
              <v:shape style="position:absolute;left:9556;top:2580;width:20;height:2" coordorigin="9556,2580" coordsize="20,0" path="m9556,2580l9576,2580e" filled="false" stroked="true" strokeweight=".47998pt" strokecolor="#000000">
                <v:path arrowok="t"/>
              </v:shape>
            </v:group>
            <v:group style="position:absolute;left:9576;top:2580;width:20;height:2" coordorigin="9576,2580" coordsize="20,2">
              <v:shape style="position:absolute;left:9576;top:2580;width:20;height:2" coordorigin="9576,2580" coordsize="20,0" path="m9576,2580l9595,2580e" filled="false" stroked="true" strokeweight=".47998pt" strokecolor="#000000">
                <v:path arrowok="t"/>
              </v:shape>
            </v:group>
            <v:group style="position:absolute;left:9595;top:2580;width:20;height:2" coordorigin="9595,2580" coordsize="20,2">
              <v:shape style="position:absolute;left:9595;top:2580;width:20;height:2" coordorigin="9595,2580" coordsize="20,0" path="m9595,2580l9614,2580e" filled="false" stroked="true" strokeweight=".47998pt" strokecolor="#000000">
                <v:path arrowok="t"/>
              </v:shape>
            </v:group>
            <v:group style="position:absolute;left:9614;top:2580;width:20;height:2" coordorigin="9614,2580" coordsize="20,2">
              <v:shape style="position:absolute;left:9614;top:2580;width:20;height:2" coordorigin="9614,2580" coordsize="20,0" path="m9614,2580l9633,2580e" filled="false" stroked="true" strokeweight=".47998pt" strokecolor="#000000">
                <v:path arrowok="t"/>
              </v:shape>
            </v:group>
            <v:group style="position:absolute;left:9633;top:2580;width:20;height:2" coordorigin="9633,2580" coordsize="20,2">
              <v:shape style="position:absolute;left:9633;top:2580;width:20;height:2" coordorigin="9633,2580" coordsize="20,0" path="m9633,2580l9652,2580e" filled="false" stroked="true" strokeweight=".47998pt" strokecolor="#000000">
                <v:path arrowok="t"/>
              </v:shape>
            </v:group>
            <v:group style="position:absolute;left:9652;top:2580;width:20;height:2" coordorigin="9652,2580" coordsize="20,2">
              <v:shape style="position:absolute;left:9652;top:2580;width:20;height:2" coordorigin="9652,2580" coordsize="20,0" path="m9652,2580l9672,2580e" filled="false" stroked="true" strokeweight=".47998pt" strokecolor="#000000">
                <v:path arrowok="t"/>
              </v:shape>
            </v:group>
            <v:group style="position:absolute;left:9672;top:2580;width:20;height:2" coordorigin="9672,2580" coordsize="20,2">
              <v:shape style="position:absolute;left:9672;top:2580;width:20;height:2" coordorigin="9672,2580" coordsize="20,0" path="m9672,2580l9691,2580e" filled="false" stroked="true" strokeweight=".47998pt" strokecolor="#000000">
                <v:path arrowok="t"/>
              </v:shape>
            </v:group>
            <v:group style="position:absolute;left:9691;top:2580;width:20;height:2" coordorigin="9691,2580" coordsize="20,2">
              <v:shape style="position:absolute;left:9691;top:2580;width:20;height:2" coordorigin="9691,2580" coordsize="20,0" path="m9691,2580l9710,2580e" filled="false" stroked="true" strokeweight=".47998pt" strokecolor="#000000">
                <v:path arrowok="t"/>
              </v:shape>
            </v:group>
            <v:group style="position:absolute;left:9710;top:2580;width:20;height:2" coordorigin="9710,2580" coordsize="20,2">
              <v:shape style="position:absolute;left:9710;top:2580;width:20;height:2" coordorigin="9710,2580" coordsize="20,0" path="m9710,2580l9729,2580e" filled="false" stroked="true" strokeweight=".47998pt" strokecolor="#000000">
                <v:path arrowok="t"/>
              </v:shape>
            </v:group>
            <v:group style="position:absolute;left:9729;top:2580;width:20;height:2" coordorigin="9729,2580" coordsize="20,2">
              <v:shape style="position:absolute;left:9729;top:2580;width:20;height:2" coordorigin="9729,2580" coordsize="20,0" path="m9729,2580l9748,2580e" filled="false" stroked="true" strokeweight=".47998pt" strokecolor="#000000">
                <v:path arrowok="t"/>
              </v:shape>
            </v:group>
            <v:group style="position:absolute;left:9748;top:2580;width:20;height:2" coordorigin="9748,2580" coordsize="20,2">
              <v:shape style="position:absolute;left:9748;top:2580;width:20;height:2" coordorigin="9748,2580" coordsize="20,0" path="m9748,2580l9768,2580e" filled="false" stroked="true" strokeweight=".47998pt" strokecolor="#000000">
                <v:path arrowok="t"/>
              </v:shape>
            </v:group>
            <v:group style="position:absolute;left:9768;top:2580;width:20;height:2" coordorigin="9768,2580" coordsize="20,2">
              <v:shape style="position:absolute;left:9768;top:2580;width:20;height:2" coordorigin="9768,2580" coordsize="20,0" path="m9768,2580l9787,2580e" filled="false" stroked="true" strokeweight=".47998pt" strokecolor="#000000">
                <v:path arrowok="t"/>
              </v:shape>
            </v:group>
            <v:group style="position:absolute;left:9787;top:2580;width:20;height:2" coordorigin="9787,2580" coordsize="20,2">
              <v:shape style="position:absolute;left:9787;top:2580;width:20;height:2" coordorigin="9787,2580" coordsize="20,0" path="m9787,2580l9806,2580e" filled="false" stroked="true" strokeweight=".47998pt" strokecolor="#000000">
                <v:path arrowok="t"/>
              </v:shape>
            </v:group>
            <v:group style="position:absolute;left:9806;top:2580;width:20;height:2" coordorigin="9806,2580" coordsize="20,2">
              <v:shape style="position:absolute;left:9806;top:2580;width:20;height:2" coordorigin="9806,2580" coordsize="20,0" path="m9806,2580l9825,2580e" filled="false" stroked="true" strokeweight=".47998pt" strokecolor="#000000">
                <v:path arrowok="t"/>
              </v:shape>
            </v:group>
            <v:group style="position:absolute;left:9825;top:2580;width:20;height:2" coordorigin="9825,2580" coordsize="20,2">
              <v:shape style="position:absolute;left:9825;top:2580;width:20;height:2" coordorigin="9825,2580" coordsize="20,0" path="m9825,2580l9844,2580e" filled="false" stroked="true" strokeweight=".47998pt" strokecolor="#000000">
                <v:path arrowok="t"/>
              </v:shape>
            </v:group>
            <v:group style="position:absolute;left:9844;top:2580;width:20;height:2" coordorigin="9844,2580" coordsize="20,2">
              <v:shape style="position:absolute;left:9844;top:2580;width:20;height:2" coordorigin="9844,2580" coordsize="20,0" path="m9844,2580l9864,2580e" filled="false" stroked="true" strokeweight=".47998pt" strokecolor="#000000">
                <v:path arrowok="t"/>
              </v:shape>
            </v:group>
            <v:group style="position:absolute;left:9864;top:2580;width:20;height:2" coordorigin="9864,2580" coordsize="20,2">
              <v:shape style="position:absolute;left:9864;top:2580;width:20;height:2" coordorigin="9864,2580" coordsize="20,0" path="m9864,2580l9883,2580e" filled="false" stroked="true" strokeweight=".47998pt" strokecolor="#000000">
                <v:path arrowok="t"/>
              </v:shape>
            </v:group>
            <v:group style="position:absolute;left:9883;top:2580;width:20;height:2" coordorigin="9883,2580" coordsize="20,2">
              <v:shape style="position:absolute;left:9883;top:2580;width:20;height:2" coordorigin="9883,2580" coordsize="20,0" path="m9883,2580l9902,2580e" filled="false" stroked="true" strokeweight=".47998pt" strokecolor="#000000">
                <v:path arrowok="t"/>
              </v:shape>
            </v:group>
            <v:group style="position:absolute;left:9902;top:2580;width:20;height:2" coordorigin="9902,2580" coordsize="20,2">
              <v:shape style="position:absolute;left:9902;top:2580;width:20;height:2" coordorigin="9902,2580" coordsize="20,0" path="m9902,2580l9921,2580e" filled="false" stroked="true" strokeweight=".47998pt" strokecolor="#000000">
                <v:path arrowok="t"/>
              </v:shape>
            </v:group>
            <v:group style="position:absolute;left:9921;top:2580;width:20;height:2" coordorigin="9921,2580" coordsize="20,2">
              <v:shape style="position:absolute;left:9921;top:2580;width:20;height:2" coordorigin="9921,2580" coordsize="20,0" path="m9921,2580l9940,2580e" filled="false" stroked="true" strokeweight=".47998pt" strokecolor="#000000">
                <v:path arrowok="t"/>
              </v:shape>
            </v:group>
            <v:group style="position:absolute;left:9940;top:2580;width:20;height:2" coordorigin="9940,2580" coordsize="20,2">
              <v:shape style="position:absolute;left:9940;top:2580;width:20;height:2" coordorigin="9940,2580" coordsize="20,0" path="m9940,2580l9960,2580e" filled="false" stroked="true" strokeweight=".47998pt" strokecolor="#000000">
                <v:path arrowok="t"/>
              </v:shape>
            </v:group>
            <v:group style="position:absolute;left:9960;top:2580;width:20;height:2" coordorigin="9960,2580" coordsize="20,2">
              <v:shape style="position:absolute;left:9960;top:2580;width:20;height:2" coordorigin="9960,2580" coordsize="20,0" path="m9960,2580l9979,2580e" filled="false" stroked="true" strokeweight=".47998pt" strokecolor="#000000">
                <v:path arrowok="t"/>
              </v:shape>
            </v:group>
            <v:group style="position:absolute;left:9979;top:2580;width:20;height:2" coordorigin="9979,2580" coordsize="20,2">
              <v:shape style="position:absolute;left:9979;top:2580;width:20;height:2" coordorigin="9979,2580" coordsize="20,0" path="m9979,2580l9998,2580e" filled="false" stroked="true" strokeweight=".47998pt" strokecolor="#000000">
                <v:path arrowok="t"/>
              </v:shape>
            </v:group>
            <v:group style="position:absolute;left:9998;top:2580;width:20;height:2" coordorigin="9998,2580" coordsize="20,2">
              <v:shape style="position:absolute;left:9998;top:2580;width:20;height:2" coordorigin="9998,2580" coordsize="20,0" path="m9998,2580l10017,2580e" filled="false" stroked="true" strokeweight=".47998pt" strokecolor="#000000">
                <v:path arrowok="t"/>
              </v:shape>
            </v:group>
            <v:group style="position:absolute;left:10017;top:2580;width:20;height:2" coordorigin="10017,2580" coordsize="20,2">
              <v:shape style="position:absolute;left:10017;top:2580;width:20;height:2" coordorigin="10017,2580" coordsize="20,0" path="m10017,2580l10036,2580e" filled="false" stroked="true" strokeweight=".47998pt" strokecolor="#000000">
                <v:path arrowok="t"/>
              </v:shape>
            </v:group>
            <v:group style="position:absolute;left:10036;top:2580;width:20;height:2" coordorigin="10036,2580" coordsize="20,2">
              <v:shape style="position:absolute;left:10036;top:2580;width:20;height:2" coordorigin="10036,2580" coordsize="20,0" path="m10036,2580l10056,2580e" filled="false" stroked="true" strokeweight=".47998pt" strokecolor="#000000">
                <v:path arrowok="t"/>
              </v:shape>
            </v:group>
            <v:group style="position:absolute;left:10056;top:2580;width:20;height:2" coordorigin="10056,2580" coordsize="20,2">
              <v:shape style="position:absolute;left:10056;top:2580;width:20;height:2" coordorigin="10056,2580" coordsize="20,0" path="m10056,2580l10075,2580e" filled="false" stroked="true" strokeweight=".47998pt" strokecolor="#000000">
                <v:path arrowok="t"/>
              </v:shape>
            </v:group>
            <v:group style="position:absolute;left:10075;top:2580;width:20;height:2" coordorigin="10075,2580" coordsize="20,2">
              <v:shape style="position:absolute;left:10075;top:2580;width:20;height:2" coordorigin="10075,2580" coordsize="20,0" path="m10075,2580l10094,2580e" filled="false" stroked="true" strokeweight=".47998pt" strokecolor="#000000">
                <v:path arrowok="t"/>
              </v:shape>
            </v:group>
            <v:group style="position:absolute;left:10094;top:2580;width:20;height:2" coordorigin="10094,2580" coordsize="20,2">
              <v:shape style="position:absolute;left:10094;top:2580;width:20;height:2" coordorigin="10094,2580" coordsize="20,0" path="m10094,2580l10113,2580e" filled="false" stroked="true" strokeweight=".47998pt" strokecolor="#000000">
                <v:path arrowok="t"/>
              </v:shape>
            </v:group>
            <v:group style="position:absolute;left:10113;top:2580;width:20;height:2" coordorigin="10113,2580" coordsize="20,2">
              <v:shape style="position:absolute;left:10113;top:2580;width:20;height:2" coordorigin="10113,2580" coordsize="20,0" path="m10113,2580l10132,2580e" filled="false" stroked="true" strokeweight=".47998pt" strokecolor="#000000">
                <v:path arrowok="t"/>
              </v:shape>
            </v:group>
            <v:group style="position:absolute;left:10132;top:2580;width:20;height:2" coordorigin="10132,2580" coordsize="20,2">
              <v:shape style="position:absolute;left:10132;top:2580;width:20;height:2" coordorigin="10132,2580" coordsize="20,0" path="m10132,2580l10152,2580e" filled="false" stroked="true" strokeweight=".47998pt" strokecolor="#000000">
                <v:path arrowok="t"/>
              </v:shape>
            </v:group>
            <v:group style="position:absolute;left:10152;top:2580;width:20;height:2" coordorigin="10152,2580" coordsize="20,2">
              <v:shape style="position:absolute;left:10152;top:2580;width:20;height:2" coordorigin="10152,2580" coordsize="20,0" path="m10152,2580l10171,2580e" filled="false" stroked="true" strokeweight=".47998pt" strokecolor="#000000">
                <v:path arrowok="t"/>
              </v:shape>
            </v:group>
            <v:group style="position:absolute;left:10171;top:2580;width:20;height:2" coordorigin="10171,2580" coordsize="20,2">
              <v:shape style="position:absolute;left:10171;top:2580;width:20;height:2" coordorigin="10171,2580" coordsize="20,0" path="m10171,2580l10190,2580e" filled="false" stroked="true" strokeweight=".47998pt" strokecolor="#000000">
                <v:path arrowok="t"/>
              </v:shape>
            </v:group>
            <v:group style="position:absolute;left:10190;top:2580;width:20;height:2" coordorigin="10190,2580" coordsize="20,2">
              <v:shape style="position:absolute;left:10190;top:2580;width:20;height:2" coordorigin="10190,2580" coordsize="20,0" path="m10190,2580l10209,2580e" filled="false" stroked="true" strokeweight=".47998pt" strokecolor="#000000">
                <v:path arrowok="t"/>
              </v:shape>
            </v:group>
            <v:group style="position:absolute;left:10209;top:2580;width:20;height:2" coordorigin="10209,2580" coordsize="20,2">
              <v:shape style="position:absolute;left:10209;top:2580;width:20;height:2" coordorigin="10209,2580" coordsize="20,0" path="m10209,2580l10228,2580e" filled="false" stroked="true" strokeweight=".47998pt" strokecolor="#000000">
                <v:path arrowok="t"/>
              </v:shape>
            </v:group>
            <v:group style="position:absolute;left:10228;top:2580;width:20;height:2" coordorigin="10228,2580" coordsize="20,2">
              <v:shape style="position:absolute;left:10228;top:2580;width:20;height:2" coordorigin="10228,2580" coordsize="20,0" path="m10228,2580l10248,2580e" filled="false" stroked="true" strokeweight=".47998pt" strokecolor="#000000">
                <v:path arrowok="t"/>
              </v:shape>
            </v:group>
            <v:group style="position:absolute;left:10248;top:2580;width:20;height:2" coordorigin="10248,2580" coordsize="20,2">
              <v:shape style="position:absolute;left:10248;top:2580;width:20;height:2" coordorigin="10248,2580" coordsize="20,0" path="m10248,2580l10267,2580e" filled="false" stroked="true" strokeweight=".47998pt" strokecolor="#000000">
                <v:path arrowok="t"/>
              </v:shape>
            </v:group>
            <v:group style="position:absolute;left:10267;top:2580;width:20;height:2" coordorigin="10267,2580" coordsize="20,2">
              <v:shape style="position:absolute;left:10267;top:2580;width:20;height:2" coordorigin="10267,2580" coordsize="20,0" path="m10267,2580l10286,2580e" filled="false" stroked="true" strokeweight=".47998pt" strokecolor="#000000">
                <v:path arrowok="t"/>
              </v:shape>
            </v:group>
            <v:group style="position:absolute;left:10286;top:2580;width:20;height:2" coordorigin="10286,2580" coordsize="20,2">
              <v:shape style="position:absolute;left:10286;top:2580;width:20;height:2" coordorigin="10286,2580" coordsize="20,0" path="m10286,2580l10305,2580e" filled="false" stroked="true" strokeweight=".47998pt" strokecolor="#000000">
                <v:path arrowok="t"/>
              </v:shape>
            </v:group>
            <v:group style="position:absolute;left:10305;top:2580;width:20;height:2" coordorigin="10305,2580" coordsize="20,2">
              <v:shape style="position:absolute;left:10305;top:2580;width:20;height:2" coordorigin="10305,2580" coordsize="20,0" path="m10305,2580l10324,2580e" filled="false" stroked="true" strokeweight=".47998pt" strokecolor="#000000">
                <v:path arrowok="t"/>
              </v:shape>
            </v:group>
            <v:group style="position:absolute;left:10324;top:2580;width:20;height:2" coordorigin="10324,2580" coordsize="20,2">
              <v:shape style="position:absolute;left:10324;top:2580;width:20;height:2" coordorigin="10324,2580" coordsize="20,0" path="m10324,2580l10344,2580e" filled="false" stroked="true" strokeweight=".47998pt" strokecolor="#000000">
                <v:path arrowok="t"/>
              </v:shape>
            </v:group>
            <v:group style="position:absolute;left:10344;top:2580;width:20;height:2" coordorigin="10344,2580" coordsize="20,2">
              <v:shape style="position:absolute;left:10344;top:2580;width:20;height:2" coordorigin="10344,2580" coordsize="20,0" path="m10344,2580l10363,2580e" filled="false" stroked="true" strokeweight=".47998pt" strokecolor="#000000">
                <v:path arrowok="t"/>
              </v:shape>
            </v:group>
            <v:group style="position:absolute;left:10363;top:2580;width:20;height:2" coordorigin="10363,2580" coordsize="20,2">
              <v:shape style="position:absolute;left:10363;top:2580;width:20;height:2" coordorigin="10363,2580" coordsize="20,0" path="m10363,2580l10382,2580e" filled="false" stroked="true" strokeweight=".47998pt" strokecolor="#000000">
                <v:path arrowok="t"/>
              </v:shape>
            </v:group>
            <v:group style="position:absolute;left:10382;top:2580;width:20;height:2" coordorigin="10382,2580" coordsize="20,2">
              <v:shape style="position:absolute;left:10382;top:2580;width:20;height:2" coordorigin="10382,2580" coordsize="20,0" path="m10382,2580l10401,2580e" filled="false" stroked="true" strokeweight=".47998pt" strokecolor="#000000">
                <v:path arrowok="t"/>
              </v:shape>
            </v:group>
            <v:group style="position:absolute;left:10401;top:2580;width:20;height:2" coordorigin="10401,2580" coordsize="20,2">
              <v:shape style="position:absolute;left:10401;top:2580;width:20;height:2" coordorigin="10401,2580" coordsize="20,0" path="m10401,2580l10420,2580e" filled="false" stroked="true" strokeweight=".47998pt" strokecolor="#000000">
                <v:path arrowok="t"/>
              </v:shape>
            </v:group>
            <v:group style="position:absolute;left:10420;top:2580;width:20;height:2" coordorigin="10420,2580" coordsize="20,2">
              <v:shape style="position:absolute;left:10420;top:2580;width:20;height:2" coordorigin="10420,2580" coordsize="20,0" path="m10420,2580l10440,2580e" filled="false" stroked="true" strokeweight=".47998pt" strokecolor="#000000">
                <v:path arrowok="t"/>
              </v:shape>
            </v:group>
            <v:group style="position:absolute;left:10440;top:2580;width:20;height:2" coordorigin="10440,2580" coordsize="20,2">
              <v:shape style="position:absolute;left:10440;top:2580;width:20;height:2" coordorigin="10440,2580" coordsize="20,0" path="m10440,2580l10459,2580e" filled="false" stroked="true" strokeweight=".47998pt" strokecolor="#000000">
                <v:path arrowok="t"/>
              </v:shape>
            </v:group>
            <v:group style="position:absolute;left:10459;top:2580;width:20;height:2" coordorigin="10459,2580" coordsize="20,2">
              <v:shape style="position:absolute;left:10459;top:2580;width:20;height:2" coordorigin="10459,2580" coordsize="20,0" path="m10459,2580l10478,2580e" filled="false" stroked="true" strokeweight=".47998pt" strokecolor="#000000">
                <v:path arrowok="t"/>
              </v:shape>
            </v:group>
            <v:group style="position:absolute;left:10478;top:2580;width:20;height:2" coordorigin="10478,2580" coordsize="20,2">
              <v:shape style="position:absolute;left:10478;top:2580;width:20;height:2" coordorigin="10478,2580" coordsize="20,0" path="m10478,2580l10497,2580e" filled="false" stroked="true" strokeweight=".47998pt" strokecolor="#000000">
                <v:path arrowok="t"/>
              </v:shape>
            </v:group>
            <v:group style="position:absolute;left:10497;top:2580;width:20;height:2" coordorigin="10497,2580" coordsize="20,2">
              <v:shape style="position:absolute;left:10497;top:2580;width:20;height:2" coordorigin="10497,2580" coordsize="20,0" path="m10497,2580l10516,2580e" filled="false" stroked="true" strokeweight=".47998pt" strokecolor="#000000">
                <v:path arrowok="t"/>
              </v:shape>
            </v:group>
            <v:group style="position:absolute;left:10516;top:2580;width:20;height:2" coordorigin="10516,2580" coordsize="20,2">
              <v:shape style="position:absolute;left:10516;top:2580;width:20;height:2" coordorigin="10516,2580" coordsize="20,0" path="m10516,2580l10536,2580e" filled="false" stroked="true" strokeweight=".47998pt" strokecolor="#000000">
                <v:path arrowok="t"/>
              </v:shape>
            </v:group>
            <v:group style="position:absolute;left:10536;top:2580;width:20;height:2" coordorigin="10536,2580" coordsize="20,2">
              <v:shape style="position:absolute;left:10536;top:2580;width:20;height:2" coordorigin="10536,2580" coordsize="20,0" path="m10536,2580l10555,2580e" filled="false" stroked="true" strokeweight=".47998pt" strokecolor="#000000">
                <v:path arrowok="t"/>
              </v:shape>
            </v:group>
            <v:group style="position:absolute;left:10555;top:2580;width:20;height:2" coordorigin="10555,2580" coordsize="20,2">
              <v:shape style="position:absolute;left:10555;top:2580;width:20;height:2" coordorigin="10555,2580" coordsize="20,0" path="m10555,2580l10574,2580e" filled="false" stroked="true" strokeweight=".47998pt" strokecolor="#000000">
                <v:path arrowok="t"/>
              </v:shape>
            </v:group>
            <v:group style="position:absolute;left:10574;top:2580;width:20;height:2" coordorigin="10574,2580" coordsize="20,2">
              <v:shape style="position:absolute;left:10574;top:2580;width:20;height:2" coordorigin="10574,2580" coordsize="20,0" path="m10574,2580l10593,2580e" filled="false" stroked="true" strokeweight=".47998pt" strokecolor="#000000">
                <v:path arrowok="t"/>
              </v:shape>
            </v:group>
            <v:group style="position:absolute;left:10593;top:2580;width:20;height:2" coordorigin="10593,2580" coordsize="20,2">
              <v:shape style="position:absolute;left:10593;top:2580;width:20;height:2" coordorigin="10593,2580" coordsize="20,0" path="m10593,2580l10612,2580e" filled="false" stroked="true" strokeweight=".47998pt" strokecolor="#000000">
                <v:path arrowok="t"/>
              </v:shape>
            </v:group>
            <v:group style="position:absolute;left:10612;top:2580;width:20;height:2" coordorigin="10612,2580" coordsize="20,2">
              <v:shape style="position:absolute;left:10612;top:2580;width:20;height:2" coordorigin="10612,2580" coordsize="20,0" path="m10612,2580l10632,2580e" filled="false" stroked="true" strokeweight=".47998pt" strokecolor="#000000">
                <v:path arrowok="t"/>
              </v:shape>
            </v:group>
            <v:group style="position:absolute;left:10632;top:2580;width:20;height:2" coordorigin="10632,2580" coordsize="20,2">
              <v:shape style="position:absolute;left:10632;top:2580;width:20;height:2" coordorigin="10632,2580" coordsize="20,0" path="m10632,2580l10651,2580e" filled="false" stroked="true" strokeweight=".47998pt" strokecolor="#000000">
                <v:path arrowok="t"/>
              </v:shape>
            </v:group>
            <v:group style="position:absolute;left:10651;top:2580;width:20;height:2" coordorigin="10651,2580" coordsize="20,2">
              <v:shape style="position:absolute;left:10651;top:2580;width:20;height:2" coordorigin="10651,2580" coordsize="20,0" path="m10651,2580l10670,2580e" filled="false" stroked="true" strokeweight=".47998pt" strokecolor="#000000">
                <v:path arrowok="t"/>
              </v:shape>
            </v:group>
            <v:group style="position:absolute;left:10670;top:2580;width:20;height:2" coordorigin="10670,2580" coordsize="20,2">
              <v:shape style="position:absolute;left:10670;top:2580;width:20;height:2" coordorigin="10670,2580" coordsize="20,0" path="m10670,2580l10689,2580e" filled="false" stroked="true" strokeweight=".47998pt" strokecolor="#000000">
                <v:path arrowok="t"/>
              </v:shape>
            </v:group>
            <v:group style="position:absolute;left:10689;top:2580;width:20;height:2" coordorigin="10689,2580" coordsize="20,2">
              <v:shape style="position:absolute;left:10689;top:2580;width:20;height:2" coordorigin="10689,2580" coordsize="20,0" path="m10689,2580l10708,2580e" filled="false" stroked="true" strokeweight=".47998pt" strokecolor="#000000">
                <v:path arrowok="t"/>
              </v:shape>
            </v:group>
            <v:group style="position:absolute;left:10708;top:2580;width:20;height:2" coordorigin="10708,2580" coordsize="20,2">
              <v:shape style="position:absolute;left:10708;top:2580;width:20;height:2" coordorigin="10708,2580" coordsize="20,0" path="m10708,2580l10728,2580e" filled="false" stroked="true" strokeweight=".47998pt" strokecolor="#000000">
                <v:path arrowok="t"/>
              </v:shape>
            </v:group>
            <v:group style="position:absolute;left:10728;top:2580;width:20;height:2" coordorigin="10728,2580" coordsize="20,2">
              <v:shape style="position:absolute;left:10728;top:2580;width:20;height:2" coordorigin="10728,2580" coordsize="20,0" path="m10728,2580l10747,2580e" filled="false" stroked="true" strokeweight=".47998pt" strokecolor="#000000">
                <v:path arrowok="t"/>
              </v:shape>
            </v:group>
            <v:group style="position:absolute;left:10747;top:2580;width:20;height:2" coordorigin="10747,2580" coordsize="20,2">
              <v:shape style="position:absolute;left:10747;top:2580;width:20;height:2" coordorigin="10747,2580" coordsize="20,0" path="m10747,2580l10766,2580e" filled="false" stroked="true" strokeweight=".47998pt" strokecolor="#000000">
                <v:path arrowok="t"/>
              </v:shape>
            </v:group>
            <v:group style="position:absolute;left:10766;top:2580;width:8;height:2" coordorigin="10766,2580" coordsize="8,2">
              <v:shape style="position:absolute;left:10766;top:2580;width:8;height:2" coordorigin="10766,2580" coordsize="8,0" path="m10766,2580l10773,2580e" filled="false" stroked="true" strokeweight=".47998pt" strokecolor="#000000">
                <v:path arrowok="t"/>
              </v:shape>
            </v:group>
            <v:group style="position:absolute;left:8548;top:2585;width:10;height:20" coordorigin="8548,2585" coordsize="10,20">
              <v:shape style="position:absolute;left:8548;top:2585;width:10;height:20" coordorigin="8548,2585" coordsize="10,20" path="m8548,2604l8557,2604,8557,2585,8548,2585,8548,2604xe" filled="true" fillcolor="#000000" stroked="false">
                <v:path arrowok="t"/>
                <v:fill type="solid"/>
              </v:shape>
            </v:group>
            <v:group style="position:absolute;left:8548;top:2604;width:10;height:20" coordorigin="8548,2604" coordsize="10,20">
              <v:shape style="position:absolute;left:8548;top:2604;width:10;height:20" coordorigin="8548,2604" coordsize="10,20" path="m8548,2624l8557,2624,8557,2604,8548,2604,8548,2624xe" filled="true" fillcolor="#000000" stroked="false">
                <v:path arrowok="t"/>
                <v:fill type="solid"/>
              </v:shape>
            </v:group>
            <v:group style="position:absolute;left:8548;top:2624;width:10;height:20" coordorigin="8548,2624" coordsize="10,20">
              <v:shape style="position:absolute;left:8548;top:2624;width:10;height:20" coordorigin="8548,2624" coordsize="10,20" path="m8548,2643l8557,2643,8557,2624,8548,2624,8548,2643xe" filled="true" fillcolor="#000000" stroked="false">
                <v:path arrowok="t"/>
                <v:fill type="solid"/>
              </v:shape>
            </v:group>
            <v:group style="position:absolute;left:8548;top:2643;width:10;height:20" coordorigin="8548,2643" coordsize="10,20">
              <v:shape style="position:absolute;left:8548;top:2643;width:10;height:20" coordorigin="8548,2643" coordsize="10,20" path="m8548,2662l8557,2662,8557,2643,8548,2643,8548,2662xe" filled="true" fillcolor="#000000" stroked="false">
                <v:path arrowok="t"/>
                <v:fill type="solid"/>
              </v:shape>
            </v:group>
            <v:group style="position:absolute;left:8548;top:2662;width:10;height:20" coordorigin="8548,2662" coordsize="10,20">
              <v:shape style="position:absolute;left:8548;top:2662;width:10;height:20" coordorigin="8548,2662" coordsize="10,20" path="m8548,2681l8557,2681,8557,2662,8548,2662,8548,2681xe" filled="true" fillcolor="#000000" stroked="false">
                <v:path arrowok="t"/>
                <v:fill type="solid"/>
              </v:shape>
            </v:group>
            <v:group style="position:absolute;left:8548;top:2681;width:10;height:20" coordorigin="8548,2681" coordsize="10,20">
              <v:shape style="position:absolute;left:8548;top:2681;width:10;height:20" coordorigin="8548,2681" coordsize="10,20" path="m8548,2700l8557,2700,8557,2681,8548,2681,8548,2700xe" filled="true" fillcolor="#000000" stroked="false">
                <v:path arrowok="t"/>
                <v:fill type="solid"/>
              </v:shape>
            </v:group>
            <v:group style="position:absolute;left:8548;top:2700;width:10;height:20" coordorigin="8548,2700" coordsize="10,20">
              <v:shape style="position:absolute;left:8548;top:2700;width:10;height:20" coordorigin="8548,2700" coordsize="10,20" path="m8548,2720l8557,2720,8557,2700,8548,2700,8548,2720xe" filled="true" fillcolor="#000000" stroked="false">
                <v:path arrowok="t"/>
                <v:fill type="solid"/>
              </v:shape>
            </v:group>
            <v:group style="position:absolute;left:8548;top:2720;width:10;height:20" coordorigin="8548,2720" coordsize="10,20">
              <v:shape style="position:absolute;left:8548;top:2720;width:10;height:20" coordorigin="8548,2720" coordsize="10,20" path="m8548,2739l8557,2739,8557,2720,8548,2720,8548,2739xe" filled="true" fillcolor="#000000" stroked="false">
                <v:path arrowok="t"/>
                <v:fill type="solid"/>
              </v:shape>
            </v:group>
            <v:group style="position:absolute;left:8548;top:2739;width:10;height:20" coordorigin="8548,2739" coordsize="10,20">
              <v:shape style="position:absolute;left:8548;top:2739;width:10;height:20" coordorigin="8548,2739" coordsize="10,20" path="m8548,2758l8557,2758,8557,2739,8548,2739,8548,2758xe" filled="true" fillcolor="#000000" stroked="false">
                <v:path arrowok="t"/>
                <v:fill type="solid"/>
              </v:shape>
            </v:group>
            <v:group style="position:absolute;left:8548;top:2758;width:10;height:20" coordorigin="8548,2758" coordsize="10,20">
              <v:shape style="position:absolute;left:8548;top:2758;width:10;height:20" coordorigin="8548,2758" coordsize="10,20" path="m8548,2777l8557,2777,8557,2758,8548,2758,8548,2777xe" filled="true" fillcolor="#000000" stroked="false">
                <v:path arrowok="t"/>
                <v:fill type="solid"/>
              </v:shape>
            </v:group>
            <v:group style="position:absolute;left:8548;top:2777;width:10;height:20" coordorigin="8548,2777" coordsize="10,20">
              <v:shape style="position:absolute;left:8548;top:2777;width:10;height:20" coordorigin="8548,2777" coordsize="10,20" path="m8548,2796l8557,2796,8557,2777,8548,2777,8548,2796xe" filled="true" fillcolor="#000000" stroked="false">
                <v:path arrowok="t"/>
                <v:fill type="solid"/>
              </v:shape>
            </v:group>
            <v:group style="position:absolute;left:8548;top:2796;width:10;height:20" coordorigin="8548,2796" coordsize="10,20">
              <v:shape style="position:absolute;left:8548;top:2796;width:10;height:20" coordorigin="8548,2796" coordsize="10,20" path="m8548,2816l8557,2816,8557,2796,8548,2796,8548,2816xe" filled="true" fillcolor="#000000" stroked="false">
                <v:path arrowok="t"/>
                <v:fill type="solid"/>
              </v:shape>
            </v:group>
            <v:group style="position:absolute;left:8548;top:2816;width:10;height:20" coordorigin="8548,2816" coordsize="10,20">
              <v:shape style="position:absolute;left:8548;top:2816;width:10;height:20" coordorigin="8548,2816" coordsize="10,20" path="m8548,2835l8557,2835,8557,2816,8548,2816,8548,2835xe" filled="true" fillcolor="#000000" stroked="false">
                <v:path arrowok="t"/>
                <v:fill type="solid"/>
              </v:shape>
              <v:shape style="position:absolute;left:6369;top:1870;width:4513;height:10" type="#_x0000_t75" stroked="false">
                <v:imagedata r:id="rId17" o:title=""/>
              </v:shape>
              <v:shape style="position:absolute;left:2621;top:1612;width:21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xbxContent>
                </v:textbox>
                <w10:wrap type="none"/>
              </v:shape>
              <v:shape style="position:absolute;left:7461;top:1612;width:23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受影响的报表项目名称及金额</w:t>
                      </w:r>
                    </w:p>
                  </w:txbxContent>
                </v:textbox>
                <w10:wrap type="none"/>
              </v:shape>
            </v:group>
            <w10:wrap type="none"/>
          </v:group>
        </w:pict>
      </w:r>
      <w:r>
        <w:rPr/>
        <w:pict>
          <v:group style="position:absolute;margin-left:330.670013pt;margin-top:141.740021pt;width:208pt;height:22.7pt;mso-position-horizontal-relative:page;mso-position-vertical-relative:page;z-index:-1289824" coordorigin="6613,2835" coordsize="4160,454">
            <v:shape style="position:absolute;left:6613;top:2835;width:1954;height:101" type="#_x0000_t75" stroked="false">
              <v:imagedata r:id="rId18" o:title=""/>
            </v:shape>
            <v:shape style="position:absolute;left:8543;top:2926;width:2230;height:10" type="#_x0000_t75" stroked="false">
              <v:imagedata r:id="rId19" o:title=""/>
            </v:shape>
            <v:group style="position:absolute;left:8548;top:2936;width:10;height:20" coordorigin="8548,2936" coordsize="10,20">
              <v:shape style="position:absolute;left:8548;top:2936;width:10;height:20" coordorigin="8548,2936" coordsize="10,20" path="m8548,2955l8557,2955,8557,2936,8548,2936,8548,2955xe" filled="true" fillcolor="#000000" stroked="false">
                <v:path arrowok="t"/>
                <v:fill type="solid"/>
              </v:shape>
            </v:group>
            <v:group style="position:absolute;left:8548;top:2955;width:10;height:20" coordorigin="8548,2955" coordsize="10,20">
              <v:shape style="position:absolute;left:8548;top:2955;width:10;height:20" coordorigin="8548,2955" coordsize="10,20" path="m8548,2974l8557,2974,8557,2955,8548,2955,8548,2974xe" filled="true" fillcolor="#000000" stroked="false">
                <v:path arrowok="t"/>
                <v:fill type="solid"/>
              </v:shape>
            </v:group>
            <v:group style="position:absolute;left:8548;top:2974;width:10;height:20" coordorigin="8548,2974" coordsize="10,20">
              <v:shape style="position:absolute;left:8548;top:2974;width:10;height:20" coordorigin="8548,2974" coordsize="10,20" path="m8548,2993l8557,2993,8557,2974,8548,2974,8548,2993xe" filled="true" fillcolor="#000000" stroked="false">
                <v:path arrowok="t"/>
                <v:fill type="solid"/>
              </v:shape>
            </v:group>
            <v:group style="position:absolute;left:8548;top:2993;width:10;height:20" coordorigin="8548,2993" coordsize="10,20">
              <v:shape style="position:absolute;left:8548;top:2993;width:10;height:20" coordorigin="8548,2993" coordsize="10,20" path="m8548,3012l8557,3012,8557,2993,8548,2993,8548,3012xe" filled="true" fillcolor="#000000" stroked="false">
                <v:path arrowok="t"/>
                <v:fill type="solid"/>
              </v:shape>
            </v:group>
            <v:group style="position:absolute;left:8548;top:3012;width:10;height:20" coordorigin="8548,3012" coordsize="10,20">
              <v:shape style="position:absolute;left:8548;top:3012;width:10;height:20" coordorigin="8548,3012" coordsize="10,20" path="m8548,3032l8557,3032,8557,3012,8548,3012,8548,3032xe" filled="true" fillcolor="#000000" stroked="false">
                <v:path arrowok="t"/>
                <v:fill type="solid"/>
              </v:shape>
            </v:group>
            <v:group style="position:absolute;left:8548;top:3032;width:10;height:20" coordorigin="8548,3032" coordsize="10,20">
              <v:shape style="position:absolute;left:8548;top:3032;width:10;height:20" coordorigin="8548,3032" coordsize="10,20" path="m8548,3051l8557,3051,8557,3032,8548,3032,8548,3051xe" filled="true" fillcolor="#000000" stroked="false">
                <v:path arrowok="t"/>
                <v:fill type="solid"/>
              </v:shape>
            </v:group>
            <v:group style="position:absolute;left:8548;top:3051;width:10;height:20" coordorigin="8548,3051" coordsize="10,20">
              <v:shape style="position:absolute;left:8548;top:3051;width:10;height:20" coordorigin="8548,3051" coordsize="10,20" path="m8548,3070l8557,3070,8557,3051,8548,3051,8548,3070xe" filled="true" fillcolor="#000000" stroked="false">
                <v:path arrowok="t"/>
                <v:fill type="solid"/>
              </v:shape>
            </v:group>
            <v:group style="position:absolute;left:8548;top:3070;width:10;height:20" coordorigin="8548,3070" coordsize="10,20">
              <v:shape style="position:absolute;left:8548;top:3070;width:10;height:20" coordorigin="8548,3070" coordsize="10,20" path="m8548,3089l8557,3089,8557,3070,8548,3070,8548,3089xe" filled="true" fillcolor="#000000" stroked="false">
                <v:path arrowok="t"/>
                <v:fill type="solid"/>
              </v:shape>
            </v:group>
            <v:group style="position:absolute;left:8548;top:3089;width:10;height:20" coordorigin="8548,3089" coordsize="10,20">
              <v:shape style="position:absolute;left:8548;top:3089;width:10;height:20" coordorigin="8548,3089" coordsize="10,20" path="m8548,3108l8557,3108,8557,3089,8548,3089,8548,3108xe" filled="true" fillcolor="#000000" stroked="false">
                <v:path arrowok="t"/>
                <v:fill type="solid"/>
              </v:shape>
            </v:group>
            <v:group style="position:absolute;left:8548;top:3108;width:10;height:20" coordorigin="8548,3108" coordsize="10,20">
              <v:shape style="position:absolute;left:8548;top:3108;width:10;height:20" coordorigin="8548,3108" coordsize="10,20" path="m8548,3128l8557,3128,8557,3108,8548,3108,8548,3128xe" filled="true" fillcolor="#000000" stroked="false">
                <v:path arrowok="t"/>
                <v:fill type="solid"/>
              </v:shape>
            </v:group>
            <v:group style="position:absolute;left:8548;top:3128;width:10;height:20" coordorigin="8548,3128" coordsize="10,20">
              <v:shape style="position:absolute;left:8548;top:3128;width:10;height:20" coordorigin="8548,3128" coordsize="10,20" path="m8548,3147l8557,3147,8557,3128,8548,3128,8548,3147xe" filled="true" fillcolor="#000000" stroked="false">
                <v:path arrowok="t"/>
                <v:fill type="solid"/>
              </v:shape>
            </v:group>
            <v:group style="position:absolute;left:8548;top:3147;width:10;height:20" coordorigin="8548,3147" coordsize="10,20">
              <v:shape style="position:absolute;left:8548;top:3147;width:10;height:20" coordorigin="8548,3147" coordsize="10,20" path="m8548,3166l8557,3166,8557,3147,8548,3147,8548,3166xe" filled="true" fillcolor="#000000" stroked="false">
                <v:path arrowok="t"/>
                <v:fill type="solid"/>
              </v:shape>
            </v:group>
            <v:group style="position:absolute;left:8548;top:3166;width:10;height:20" coordorigin="8548,3166" coordsize="10,20">
              <v:shape style="position:absolute;left:8548;top:3166;width:10;height:20" coordorigin="8548,3166" coordsize="10,20" path="m8548,3185l8557,3185,8557,3166,8548,3166,8548,3185xe" filled="true" fillcolor="#000000" stroked="false">
                <v:path arrowok="t"/>
                <v:fill type="solid"/>
              </v:shape>
              <v:shape style="position:absolute;left:6613;top:3185;width:1954;height:103" type="#_x0000_t75" stroked="false">
                <v:imagedata r:id="rId20" o:title=""/>
              </v:shape>
              <v:shape style="position:absolute;left:8543;top:3279;width:2230;height:10" type="#_x0000_t75" stroked="false">
                <v:imagedata r:id="rId19" o:title=""/>
              </v:shape>
            </v:group>
            <w10:wrap type="none"/>
          </v:group>
        </w:pic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tbl>
      <w:tblPr>
        <w:tblW w:w="0" w:type="auto"/>
        <w:jc w:val="left"/>
        <w:tblInd w:w="110" w:type="dxa"/>
        <w:tblLayout w:type="fixed"/>
        <w:tblCellMar>
          <w:top w:w="0" w:type="dxa"/>
          <w:left w:w="0" w:type="dxa"/>
          <w:bottom w:w="0" w:type="dxa"/>
          <w:right w:w="0" w:type="dxa"/>
        </w:tblCellMar>
        <w:tblLook w:val="01E0"/>
      </w:tblPr>
      <w:tblGrid>
        <w:gridCol w:w="5353"/>
        <w:gridCol w:w="4503"/>
      </w:tblGrid>
      <w:tr>
        <w:trPr>
          <w:trHeight w:val="1325" w:hRule="exact"/>
        </w:trPr>
        <w:tc>
          <w:tcPr>
            <w:tcW w:w="5353" w:type="dxa"/>
            <w:tcBorders>
              <w:top w:val="nil" w:sz="6" w:space="0" w:color="auto"/>
              <w:left w:val="nil" w:sz="6" w:space="0" w:color="auto"/>
              <w:bottom w:val="single" w:sz="4" w:space="0" w:color="000000"/>
              <w:right w:val="single" w:sz="4" w:space="0" w:color="000000"/>
            </w:tcBorders>
          </w:tcPr>
          <w:p>
            <w:pPr>
              <w:pStyle w:val="TableParagraph"/>
              <w:spacing w:line="326" w:lineRule="auto" w:before="46"/>
              <w:ind w:left="108" w:right="99"/>
              <w:jc w:val="both"/>
              <w:rPr>
                <w:rFonts w:ascii="宋体" w:hAnsi="宋体" w:cs="宋体" w:eastAsia="宋体" w:hint="default"/>
                <w:sz w:val="18"/>
                <w:szCs w:val="18"/>
              </w:rPr>
            </w:pPr>
            <w:r>
              <w:rPr>
                <w:rFonts w:ascii="宋体" w:hAnsi="宋体" w:cs="宋体" w:eastAsia="宋体" w:hint="default"/>
                <w:spacing w:val="-3"/>
                <w:sz w:val="18"/>
                <w:szCs w:val="18"/>
              </w:rPr>
              <w:t>收款”列示；“应付利息”和“应付股利”并入“其他应付款”列</w:t>
            </w:r>
            <w:r>
              <w:rPr>
                <w:rFonts w:ascii="宋体" w:hAnsi="宋体" w:cs="宋体" w:eastAsia="宋体" w:hint="default"/>
                <w:sz w:val="18"/>
                <w:szCs w:val="18"/>
              </w:rPr>
              <w:t> </w:t>
            </w:r>
            <w:r>
              <w:rPr>
                <w:rFonts w:ascii="宋体" w:hAnsi="宋体" w:cs="宋体" w:eastAsia="宋体" w:hint="default"/>
                <w:spacing w:val="-3"/>
                <w:sz w:val="18"/>
                <w:szCs w:val="18"/>
              </w:rPr>
              <w:t>示；“固定资产清理”并入“固定资产”列示；“工程物资”并入</w:t>
            </w:r>
            <w:r>
              <w:rPr>
                <w:rFonts w:ascii="宋体" w:hAnsi="宋体" w:cs="宋体" w:eastAsia="宋体" w:hint="default"/>
                <w:sz w:val="18"/>
                <w:szCs w:val="18"/>
              </w:rPr>
              <w:t> </w:t>
            </w:r>
            <w:r>
              <w:rPr>
                <w:rFonts w:ascii="宋体" w:hAnsi="宋体" w:cs="宋体" w:eastAsia="宋体" w:hint="default"/>
                <w:spacing w:val="-4"/>
                <w:sz w:val="18"/>
                <w:szCs w:val="18"/>
              </w:rPr>
              <w:t>“在建工程”列示；“专项应付款”并入“长期应付款”列示。比</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较期数据相应调整。</w:t>
            </w:r>
          </w:p>
        </w:tc>
        <w:tc>
          <w:tcPr>
            <w:tcW w:w="4503" w:type="dxa"/>
            <w:vMerge w:val="restart"/>
            <w:tcBorders>
              <w:top w:val="nil" w:sz="6" w:space="0" w:color="auto"/>
              <w:left w:val="single" w:sz="4" w:space="0" w:color="000000"/>
              <w:right w:val="nil" w:sz="6" w:space="0" w:color="auto"/>
            </w:tcBorders>
          </w:tcPr>
          <w:p>
            <w:pPr>
              <w:pStyle w:val="TableParagraph"/>
              <w:tabs>
                <w:tab w:pos="3096" w:val="left" w:leader="none"/>
              </w:tabs>
              <w:spacing w:line="240" w:lineRule="auto" w:before="25"/>
              <w:ind w:left="33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w:t>
              <w:tab/>
            </w:r>
            <w:r>
              <w:rPr>
                <w:rFonts w:ascii="Times New Roman" w:hAnsi="Times New Roman" w:cs="Times New Roman" w:eastAsia="Times New Roman" w:hint="default"/>
                <w:sz w:val="18"/>
                <w:szCs w:val="18"/>
              </w:rPr>
              <w:t>-800,262,574.88</w:t>
            </w:r>
          </w:p>
          <w:p>
            <w:pPr>
              <w:pStyle w:val="TableParagraph"/>
              <w:tabs>
                <w:tab w:pos="3156" w:val="left" w:leader="none"/>
              </w:tabs>
              <w:spacing w:line="240" w:lineRule="auto" w:before="101"/>
              <w:ind w:left="33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应收账款及应收票据</w:t>
              <w:tab/>
            </w:r>
            <w:r>
              <w:rPr>
                <w:rFonts w:ascii="Times New Roman" w:hAnsi="Times New Roman" w:cs="Times New Roman" w:eastAsia="Times New Roman" w:hint="default"/>
                <w:sz w:val="18"/>
                <w:szCs w:val="18"/>
              </w:rPr>
              <w:t>812,890,632.88</w:t>
            </w:r>
          </w:p>
          <w:p>
            <w:pPr>
              <w:pStyle w:val="TableParagraph"/>
              <w:tabs>
                <w:tab w:pos="3187" w:val="left" w:leader="none"/>
              </w:tabs>
              <w:spacing w:line="240" w:lineRule="auto" w:before="103"/>
              <w:ind w:left="33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应付票据</w:t>
              <w:tab/>
            </w:r>
            <w:r>
              <w:rPr>
                <w:rFonts w:ascii="Times New Roman" w:hAnsi="Times New Roman" w:cs="Times New Roman" w:eastAsia="Times New Roman" w:hint="default"/>
                <w:sz w:val="18"/>
                <w:szCs w:val="18"/>
              </w:rPr>
              <w:t>-69,445,798.97</w:t>
            </w:r>
          </w:p>
          <w:p>
            <w:pPr>
              <w:pStyle w:val="TableParagraph"/>
              <w:tabs>
                <w:tab w:pos="3096" w:val="left" w:leader="none"/>
              </w:tabs>
              <w:spacing w:line="240" w:lineRule="auto" w:before="103"/>
              <w:ind w:left="33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应付账款</w:t>
              <w:tab/>
            </w:r>
            <w:r>
              <w:rPr>
                <w:rFonts w:ascii="Times New Roman" w:hAnsi="Times New Roman" w:cs="Times New Roman" w:eastAsia="Times New Roman" w:hint="default"/>
                <w:sz w:val="18"/>
                <w:szCs w:val="18"/>
              </w:rPr>
              <w:t>-437,761,073.18</w:t>
            </w:r>
          </w:p>
        </w:tc>
      </w:tr>
      <w:tr>
        <w:trPr>
          <w:trHeight w:val="1392" w:hRule="exact"/>
        </w:trPr>
        <w:tc>
          <w:tcPr>
            <w:tcW w:w="5353"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109"/>
              <w:ind w:left="108" w:right="10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）在利润表中新增“研发费用”项目，将原“管理费用”中的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研发费用重分类至“研发费用”单独列示；在利润表中财务费用项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下新增“其中：利息费用”和“利息收入”项目。比较期数据相应</w:t>
            </w:r>
            <w:r>
              <w:rPr>
                <w:rFonts w:ascii="宋体" w:hAnsi="宋体" w:cs="宋体" w:eastAsia="宋体" w:hint="default"/>
                <w:sz w:val="18"/>
                <w:szCs w:val="18"/>
              </w:rPr>
              <w:t> 调整。</w:t>
            </w:r>
          </w:p>
        </w:tc>
        <w:tc>
          <w:tcPr>
            <w:tcW w:w="4503" w:type="dxa"/>
            <w:vMerge/>
            <w:tcBorders>
              <w:left w:val="single" w:sz="4" w:space="0" w:color="000000"/>
              <w:right w:val="nil" w:sz="6" w:space="0" w:color="auto"/>
            </w:tcBorders>
          </w:tcPr>
          <w:p>
            <w:pPr/>
          </w:p>
        </w:tc>
      </w:tr>
      <w:tr>
        <w:trPr>
          <w:trHeight w:val="761" w:hRule="exact"/>
        </w:trPr>
        <w:tc>
          <w:tcPr>
            <w:tcW w:w="5353" w:type="dxa"/>
            <w:tcBorders>
              <w:top w:val="single" w:sz="4" w:space="0" w:color="000000"/>
              <w:left w:val="nil" w:sz="6" w:space="0" w:color="auto"/>
              <w:bottom w:val="single" w:sz="12" w:space="0" w:color="000000"/>
              <w:right w:val="single" w:sz="4" w:space="0" w:color="000000"/>
            </w:tcBorders>
          </w:tcPr>
          <w:p>
            <w:pPr>
              <w:pStyle w:val="TableParagraph"/>
              <w:spacing w:line="307" w:lineRule="auto" w:before="107"/>
              <w:ind w:left="108" w:right="10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）所有者权益变动表中新增“设定受益计划变动额结转留存收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益”项目。比较期数据相应调整。</w:t>
            </w:r>
          </w:p>
        </w:tc>
        <w:tc>
          <w:tcPr>
            <w:tcW w:w="4503" w:type="dxa"/>
            <w:vMerge/>
            <w:tcBorders>
              <w:left w:val="single" w:sz="4"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left="232" w:right="0"/>
        <w:jc w:val="left"/>
        <w:rPr>
          <w:b w:val="0"/>
          <w:bCs w:val="0"/>
        </w:rPr>
      </w:pPr>
      <w:r>
        <w:rPr/>
        <w:pict>
          <v:group style="position:absolute;margin-left:330.670013pt;margin-top:-68.354332pt;width:208pt;height:5.2pt;mso-position-horizontal-relative:page;mso-position-vertical-relative:paragraph;z-index:-1289800" coordorigin="6613,-1367" coordsize="4160,104">
            <v:shape style="position:absolute;left:6613;top:-1367;width:1954;height:103" type="#_x0000_t75" stroked="false">
              <v:imagedata r:id="rId21" o:title=""/>
            </v:shape>
            <v:shape style="position:absolute;left:8543;top:-1273;width:2230;height:10" type="#_x0000_t75" stroked="false">
              <v:imagedata r:id="rId19" o:title=""/>
            </v:shape>
            <w10:wrap type="none"/>
          </v:group>
        </w:pict>
      </w:r>
      <w:r>
        <w:rPr/>
        <w:pict>
          <v:shape style="position:absolute;margin-left:330.670013pt;margin-top:-115.994331pt;width:208pt;height:47.6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39"/>
                    <w:gridCol w:w="2221"/>
                  </w:tblGrid>
                  <w:tr>
                    <w:trPr>
                      <w:trHeight w:val="348" w:hRule="exact"/>
                    </w:trPr>
                    <w:tc>
                      <w:tcPr>
                        <w:tcW w:w="1939" w:type="dxa"/>
                        <w:tcBorders>
                          <w:top w:val="nil" w:sz="6" w:space="0" w:color="auto"/>
                          <w:left w:val="nil" w:sz="6" w:space="0" w:color="auto"/>
                          <w:bottom w:val="single" w:sz="4" w:space="0" w:color="000000"/>
                          <w:right w:val="single" w:sz="4" w:space="0" w:color="000000"/>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221" w:type="dxa"/>
                        <w:tcBorders>
                          <w:top w:val="nil" w:sz="6" w:space="0" w:color="auto"/>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spacing w:val="-1"/>
                            <w:sz w:val="18"/>
                          </w:rPr>
                          <w:t>507,206,872.15</w:t>
                        </w:r>
                      </w:p>
                    </w:tc>
                  </w:tr>
                  <w:tr>
                    <w:trPr>
                      <w:trHeight w:val="350"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2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-908,067.08</w:t>
                        </w:r>
                      </w:p>
                    </w:tc>
                  </w:tr>
                  <w:tr>
                    <w:trPr>
                      <w:trHeight w:val="254" w:hRule="exact"/>
                    </w:trPr>
                    <w:tc>
                      <w:tcPr>
                        <w:tcW w:w="1939" w:type="dxa"/>
                        <w:tcBorders>
                          <w:top w:val="single" w:sz="4" w:space="0" w:color="000000"/>
                          <w:left w:val="nil" w:sz="6" w:space="0" w:color="auto"/>
                          <w:bottom w:val="nil" w:sz="6" w:space="0" w:color="auto"/>
                          <w:right w:val="single" w:sz="4" w:space="0" w:color="000000"/>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21" w:type="dxa"/>
                        <w:tcBorders>
                          <w:top w:val="single" w:sz="4" w:space="0" w:color="000000"/>
                          <w:left w:val="single" w:sz="4" w:space="0" w:color="000000"/>
                          <w:bottom w:val="nil" w:sz="6" w:space="0" w:color="auto"/>
                          <w:right w:val="nil" w:sz="6" w:space="0" w:color="auto"/>
                        </w:tcBorders>
                      </w:tcPr>
                      <w:p>
                        <w:pPr>
                          <w:pStyle w:val="TableParagraph"/>
                          <w:spacing w:line="240" w:lineRule="auto" w:before="67"/>
                          <w:ind w:right="105"/>
                          <w:jc w:val="right"/>
                          <w:rPr>
                            <w:rFonts w:ascii="Times New Roman" w:hAnsi="Times New Roman" w:cs="Times New Roman" w:eastAsia="Times New Roman" w:hint="default"/>
                            <w:sz w:val="18"/>
                            <w:szCs w:val="18"/>
                          </w:rPr>
                        </w:pPr>
                        <w:r>
                          <w:rPr>
                            <w:rFonts w:ascii="Times New Roman"/>
                            <w:spacing w:val="-1"/>
                            <w:sz w:val="18"/>
                          </w:rPr>
                          <w:t>908,067.08</w:t>
                        </w:r>
                      </w:p>
                    </w:tc>
                  </w:tr>
                </w:tbl>
                <w:p>
                  <w:pPr/>
                </w:p>
              </w:txbxContent>
            </v:textbox>
            <w10:wrap type="none"/>
          </v:shape>
        </w:pict>
      </w:r>
      <w:r>
        <w:rPr/>
        <w:pict>
          <v:shape style="position:absolute;margin-left:329.230011pt;margin-top:-63.194393pt;width:210.9pt;height:36.3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54"/>
                    <w:gridCol w:w="2221"/>
                  </w:tblGrid>
                  <w:tr>
                    <w:trPr>
                      <w:trHeight w:val="348" w:hRule="exact"/>
                    </w:trPr>
                    <w:tc>
                      <w:tcPr>
                        <w:tcW w:w="1954" w:type="dxa"/>
                        <w:tcBorders>
                          <w:top w:val="nil" w:sz="6" w:space="0" w:color="auto"/>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21" w:type="dxa"/>
                        <w:tcBorders>
                          <w:top w:val="nil" w:sz="6" w:space="0" w:color="auto"/>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spacing w:val="-1"/>
                            <w:sz w:val="18"/>
                          </w:rPr>
                          <w:t>-308,413,840.28</w:t>
                        </w:r>
                      </w:p>
                    </w:tc>
                  </w:tr>
                  <w:tr>
                    <w:trPr>
                      <w:trHeight w:val="363" w:hRule="exact"/>
                    </w:trPr>
                    <w:tc>
                      <w:tcPr>
                        <w:tcW w:w="195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22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18"/>
                            <w:szCs w:val="18"/>
                          </w:rPr>
                        </w:pPr>
                        <w:r>
                          <w:rPr>
                            <w:rFonts w:ascii="Times New Roman"/>
                            <w:spacing w:val="-1"/>
                            <w:sz w:val="18"/>
                          </w:rPr>
                          <w:t>308,413,840.28</w:t>
                        </w:r>
                      </w:p>
                    </w:tc>
                  </w:tr>
                </w:tbl>
                <w:p>
                  <w:pPr/>
                </w:p>
              </w:txbxContent>
            </v:textbox>
            <w10:wrap type="none"/>
          </v:shape>
        </w:pict>
      </w:r>
      <w:r>
        <w:rPr/>
        <w:t>七、报告期内发生重大会计差错更正需追溯重述的情况说明</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232"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公司报告期无重大会计差错更正需追溯重述的情况。</w:t>
      </w:r>
    </w:p>
    <w:p>
      <w:pPr>
        <w:spacing w:line="240" w:lineRule="auto" w:before="4"/>
        <w:rPr>
          <w:rFonts w:ascii="宋体" w:hAnsi="宋体" w:cs="宋体" w:eastAsia="宋体" w:hint="default"/>
          <w:sz w:val="19"/>
          <w:szCs w:val="19"/>
        </w:rPr>
      </w:pPr>
    </w:p>
    <w:p>
      <w:pPr>
        <w:pStyle w:val="Heading2"/>
        <w:spacing w:line="240" w:lineRule="auto"/>
        <w:ind w:left="232" w:right="0"/>
        <w:jc w:val="left"/>
        <w:rPr>
          <w:b w:val="0"/>
          <w:bCs w:val="0"/>
        </w:rPr>
      </w:pP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4" w:lineRule="auto" w:before="104"/>
        <w:ind w:left="232" w:right="1135" w:firstLine="360"/>
        <w:jc w:val="both"/>
      </w:pPr>
      <w:r>
        <w:rPr/>
        <w:t>与上年度相比本年度新增合并单位</w:t>
      </w:r>
      <w:r>
        <w:rPr>
          <w:rFonts w:ascii="Times New Roman" w:hAnsi="Times New Roman" w:cs="Times New Roman" w:eastAsia="Times New Roman" w:hint="default"/>
        </w:rPr>
        <w:t>15</w:t>
      </w:r>
      <w:r>
        <w:rPr/>
        <w:t>家，减少合并单位</w:t>
      </w:r>
      <w:r>
        <w:rPr>
          <w:rFonts w:ascii="Times New Roman" w:hAnsi="Times New Roman" w:cs="Times New Roman" w:eastAsia="Times New Roman" w:hint="default"/>
        </w:rPr>
        <w:t>2</w:t>
      </w:r>
      <w:r>
        <w:rPr/>
        <w:t>家，原因为：新设立</w:t>
      </w:r>
      <w:r>
        <w:rPr>
          <w:rFonts w:ascii="Times New Roman" w:hAnsi="Times New Roman" w:cs="Times New Roman" w:eastAsia="Times New Roman" w:hint="default"/>
        </w:rPr>
        <w:t>5</w:t>
      </w:r>
      <w:r>
        <w:rPr/>
        <w:t>家公司</w:t>
      </w:r>
      <w:r>
        <w:rPr>
          <w:rFonts w:ascii="Times New Roman" w:hAnsi="Times New Roman" w:cs="Times New Roman" w:eastAsia="Times New Roman" w:hint="default"/>
        </w:rPr>
        <w:t>-</w:t>
      </w:r>
      <w:r>
        <w:rPr/>
        <w:t>运通购快、成都平云小匠网络有 限公司、</w:t>
      </w:r>
      <w:r>
        <w:rPr>
          <w:rFonts w:ascii="Times New Roman" w:hAnsi="Times New Roman" w:cs="Times New Roman" w:eastAsia="Times New Roman" w:hint="default"/>
        </w:rPr>
        <w:t>GRG AMERICA INC.</w:t>
      </w:r>
      <w:r>
        <w:rPr/>
        <w:t>（</w:t>
      </w:r>
      <w:r>
        <w:rPr>
          <w:rFonts w:ascii="Times New Roman" w:hAnsi="Times New Roman" w:cs="Times New Roman" w:eastAsia="Times New Roman" w:hint="default"/>
        </w:rPr>
        <w:t>GRG</w:t>
      </w:r>
      <w:r>
        <w:rPr/>
        <w:t>美国）、</w:t>
      </w:r>
      <w:r>
        <w:rPr>
          <w:rFonts w:ascii="Times New Roman" w:hAnsi="Times New Roman" w:cs="Times New Roman" w:eastAsia="Times New Roman" w:hint="default"/>
        </w:rPr>
        <w:t>GRGBanking</w:t>
      </w:r>
      <w:r>
        <w:rPr>
          <w:rFonts w:ascii="Times New Roman" w:hAnsi="Times New Roman" w:cs="Times New Roman" w:eastAsia="Times New Roman" w:hint="default"/>
          <w:spacing w:val="-8"/>
        </w:rPr>
        <w:t> </w:t>
      </w:r>
      <w:r>
        <w:rPr>
          <w:rFonts w:ascii="Times New Roman" w:hAnsi="Times New Roman" w:cs="Times New Roman" w:eastAsia="Times New Roman" w:hint="default"/>
        </w:rPr>
        <w:t>LLC.</w:t>
      </w:r>
      <w:r>
        <w:rPr/>
        <w:t>（</w:t>
      </w:r>
      <w:r>
        <w:rPr>
          <w:rFonts w:ascii="Times New Roman" w:hAnsi="Times New Roman" w:cs="Times New Roman" w:eastAsia="Times New Roman" w:hint="default"/>
        </w:rPr>
        <w:t>GRG</w:t>
      </w:r>
      <w:r>
        <w:rPr/>
        <w:t>俄罗斯）、广电运通国际商贸（广州）有限公司， 并购</w:t>
      </w:r>
      <w:r>
        <w:rPr>
          <w:rFonts w:ascii="Times New Roman" w:hAnsi="Times New Roman" w:cs="Times New Roman" w:eastAsia="Times New Roman" w:hint="default"/>
        </w:rPr>
        <w:t>10</w:t>
      </w:r>
      <w:r>
        <w:rPr/>
        <w:t>家公司</w:t>
      </w:r>
      <w:r>
        <w:rPr>
          <w:rFonts w:ascii="Times New Roman" w:hAnsi="Times New Roman" w:cs="Times New Roman" w:eastAsia="Times New Roman" w:hint="default"/>
        </w:rPr>
        <w:t>-</w:t>
      </w:r>
      <w:r>
        <w:rPr/>
        <w:t>中科江南、北京中科江南政易信息技术有限公司、云南云财科技技术有限公司、石家庄翰海信息技术有限公 </w:t>
      </w:r>
      <w:r>
        <w:rPr>
          <w:spacing w:val="-2"/>
        </w:rPr>
        <w:t>司、信义科技、深圳市深安信信息技术有限公司、锡林郭勒盟保安、锡林郭勒盟金盾押运服务有限公司、锡林郭勒盟安逸物</w:t>
      </w:r>
      <w:r>
        <w:rPr>
          <w:spacing w:val="-67"/>
        </w:rPr>
        <w:t> </w:t>
      </w:r>
      <w:r>
        <w:rPr>
          <w:spacing w:val="-67"/>
        </w:rPr>
      </w:r>
      <w:r>
        <w:rPr/>
        <w:t>业服务有限责任公司、湖北融信；注销</w:t>
      </w:r>
      <w:r>
        <w:rPr>
          <w:rFonts w:ascii="Times New Roman" w:hAnsi="Times New Roman" w:cs="Times New Roman" w:eastAsia="Times New Roman" w:hint="default"/>
        </w:rPr>
        <w:t>2</w:t>
      </w:r>
      <w:r>
        <w:rPr/>
        <w:t>家公司</w:t>
      </w:r>
      <w:r>
        <w:rPr>
          <w:rFonts w:ascii="Times New Roman" w:hAnsi="Times New Roman" w:cs="Times New Roman" w:eastAsia="Times New Roman" w:hint="default"/>
        </w:rPr>
        <w:t>-</w:t>
      </w:r>
      <w:r>
        <w:rPr/>
        <w:t>安化保安、北京广电运通科技有限公司。</w:t>
      </w:r>
    </w:p>
    <w:p>
      <w:pPr>
        <w:spacing w:line="240" w:lineRule="auto" w:before="1"/>
        <w:rPr>
          <w:rFonts w:ascii="宋体" w:hAnsi="宋体" w:cs="宋体" w:eastAsia="宋体" w:hint="default"/>
          <w:sz w:val="20"/>
          <w:szCs w:val="20"/>
        </w:rPr>
      </w:pPr>
    </w:p>
    <w:p>
      <w:pPr>
        <w:pStyle w:val="Heading2"/>
        <w:spacing w:line="240" w:lineRule="auto"/>
        <w:ind w:left="232" w:right="0"/>
        <w:jc w:val="left"/>
        <w:rPr>
          <w:b w:val="0"/>
          <w:bCs w:val="0"/>
        </w:rPr>
      </w:pPr>
      <w:r>
        <w:rPr/>
        <w:t>九、聘任、解聘会计师事务所情况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32" w:right="0"/>
        <w:jc w:val="left"/>
      </w:pPr>
      <w:r>
        <w:rPr/>
        <w:t>现聘任的会计师事务所</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4395"/>
        <w:gridCol w:w="5175"/>
      </w:tblGrid>
      <w:tr>
        <w:trPr>
          <w:trHeight w:val="404"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王建民、滕海军</w:t>
            </w:r>
          </w:p>
        </w:tc>
      </w:tr>
      <w:tr>
        <w:trPr>
          <w:trHeight w:val="40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49"/>
        <w:ind w:left="232" w:right="0"/>
        <w:jc w:val="left"/>
      </w:pPr>
      <w:r>
        <w:rPr/>
        <w:t>当期是否改聘会计师事务所</w:t>
      </w:r>
    </w:p>
    <w:p>
      <w:pPr>
        <w:pStyle w:val="BodyText"/>
        <w:spacing w:line="340" w:lineRule="auto" w:before="115"/>
        <w:ind w:left="232"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39"/>
        <w:ind w:left="2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79" w:top="1100" w:bottom="1160" w:left="900" w:right="0"/>
        </w:sectPr>
      </w:pPr>
    </w:p>
    <w:p>
      <w:pPr>
        <w:spacing w:line="240" w:lineRule="auto" w:before="10"/>
        <w:rPr>
          <w:rFonts w:ascii="宋体" w:hAnsi="宋体" w:cs="宋体" w:eastAsia="宋体" w:hint="default"/>
          <w:sz w:val="19"/>
          <w:szCs w:val="19"/>
        </w:rPr>
      </w:pPr>
    </w:p>
    <w:p>
      <w:pPr>
        <w:pStyle w:val="Heading2"/>
        <w:spacing w:line="240" w:lineRule="auto" w:before="26"/>
        <w:ind w:right="1034"/>
        <w:jc w:val="left"/>
        <w:rPr>
          <w:b w:val="0"/>
          <w:bCs w:val="0"/>
        </w:rPr>
      </w:pP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34"/>
        <w:jc w:val="left"/>
        <w:rPr>
          <w:b w:val="0"/>
          <w:bCs w:val="0"/>
        </w:rPr>
      </w:pPr>
      <w:r>
        <w:rPr/>
        <w:t>十一、破产重整相关事项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1034"/>
        <w:jc w:val="left"/>
        <w:rPr>
          <w:b w:val="0"/>
          <w:bCs w:val="0"/>
        </w:rPr>
      </w:pPr>
      <w:r>
        <w:rPr/>
        <w:t>十二、重大诉讼、仲裁事项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本报告期公司无重大诉讼、仲裁事项。</w:t>
      </w:r>
    </w:p>
    <w:p>
      <w:pPr>
        <w:spacing w:line="240" w:lineRule="auto" w:before="6"/>
        <w:rPr>
          <w:rFonts w:ascii="宋体" w:hAnsi="宋体" w:cs="宋体" w:eastAsia="宋体" w:hint="default"/>
          <w:sz w:val="19"/>
          <w:szCs w:val="19"/>
        </w:rPr>
      </w:pPr>
    </w:p>
    <w:p>
      <w:pPr>
        <w:pStyle w:val="Heading2"/>
        <w:spacing w:line="240" w:lineRule="auto"/>
        <w:ind w:right="1034"/>
        <w:jc w:val="left"/>
        <w:rPr>
          <w:b w:val="0"/>
          <w:bCs w:val="0"/>
        </w:rPr>
      </w:pPr>
      <w:r>
        <w:rPr/>
        <w:t>十三、处罚及整改情况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1034"/>
        <w:jc w:val="left"/>
        <w:rPr>
          <w:b w:val="0"/>
          <w:bCs w:val="0"/>
        </w:rPr>
      </w:pP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34"/>
        <w:jc w:val="left"/>
        <w:rPr>
          <w:b w:val="0"/>
          <w:bCs w:val="0"/>
        </w:rPr>
      </w:pP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4" w:lineRule="auto" w:before="103"/>
        <w:ind w:right="1034"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日公司召开第四届董事会第二次会议及</w:t>
      </w:r>
      <w:r>
        <w:rPr>
          <w:rFonts w:ascii="Times New Roman" w:hAnsi="Times New Roman" w:cs="Times New Roman" w:eastAsia="Times New Roman" w:hint="default"/>
        </w:rPr>
        <w:t>2014</w:t>
      </w:r>
      <w:r>
        <w:rPr/>
        <w:t>年度股东大会相继审议通过《关于</w:t>
      </w:r>
      <w:r>
        <w:rPr>
          <w:rFonts w:ascii="Times New Roman" w:hAnsi="Times New Roman" w:cs="Times New Roman" w:eastAsia="Times New Roman" w:hint="default"/>
        </w:rPr>
        <w:t>&lt;</w:t>
      </w:r>
      <w:r>
        <w:rPr/>
        <w:t>广州广电 运通金融电子股份有限公司第一期员工持股计划（草案）（认购非公开发行股票方式）</w:t>
      </w:r>
      <w:r>
        <w:rPr>
          <w:rFonts w:ascii="Times New Roman" w:hAnsi="Times New Roman" w:cs="Times New Roman" w:eastAsia="Times New Roman" w:hint="default"/>
        </w:rPr>
        <w:t>&gt;</w:t>
      </w:r>
      <w:r>
        <w:rPr/>
        <w:t>的议案》；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日公司召 开第四届董事会第十次会议审议通过了《关于公司与广州证券股份有限公司签订</w:t>
      </w:r>
      <w:r>
        <w:rPr>
          <w:rFonts w:ascii="Times New Roman" w:hAnsi="Times New Roman" w:cs="Times New Roman" w:eastAsia="Times New Roman" w:hint="default"/>
        </w:rPr>
        <w:t>&lt;</w:t>
      </w:r>
      <w:r>
        <w:rPr/>
        <w:t>附条件生效的非公开发行股份认购合同之 补充合同</w:t>
      </w:r>
      <w:r>
        <w:rPr>
          <w:rFonts w:ascii="Times New Roman" w:hAnsi="Times New Roman" w:cs="Times New Roman" w:eastAsia="Times New Roman" w:hint="default"/>
        </w:rPr>
        <w:t>&gt;</w:t>
      </w:r>
      <w:r>
        <w:rPr/>
        <w:t>的议案》；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日公司召开第四届董事会第十二次会议及</w:t>
      </w:r>
      <w:r>
        <w:rPr>
          <w:rFonts w:ascii="Times New Roman" w:hAnsi="Times New Roman" w:cs="Times New Roman" w:eastAsia="Times New Roman" w:hint="default"/>
        </w:rPr>
        <w:t>2015</w:t>
      </w:r>
      <w:r>
        <w:rPr/>
        <w:t>年第三次临时股东大会 </w:t>
      </w:r>
      <w:r>
        <w:rPr>
          <w:spacing w:val="-2"/>
        </w:rPr>
        <w:t>相继审议通过《关于修订公司第一期员工持股计划（草案）（认购非公开发行股票方式）的议案》；公司本次非公开发行股</w:t>
      </w:r>
      <w:r>
        <w:rPr>
          <w:spacing w:val="-71"/>
        </w:rPr>
        <w:t> </w:t>
      </w:r>
      <w:r>
        <w:rPr>
          <w:spacing w:val="-71"/>
        </w:rPr>
      </w:r>
      <w:r>
        <w:rPr/>
        <w:t>票的发行对象之一为鲲鹏运通</w:t>
      </w:r>
      <w:r>
        <w:rPr>
          <w:rFonts w:ascii="Times New Roman" w:hAnsi="Times New Roman" w:cs="Times New Roman" w:eastAsia="Times New Roman" w:hint="default"/>
        </w:rPr>
        <w:t>1</w:t>
      </w:r>
      <w:r>
        <w:rPr/>
        <w:t>号定向资产管理计划（以下简称</w:t>
      </w:r>
      <w:r>
        <w:rPr>
          <w:rFonts w:ascii="Times New Roman" w:hAnsi="Times New Roman" w:cs="Times New Roman" w:eastAsia="Times New Roman" w:hint="default"/>
        </w:rPr>
        <w:t>“</w:t>
      </w:r>
      <w:r>
        <w:rPr/>
        <w:t>运通资管计划</w:t>
      </w:r>
      <w:r>
        <w:rPr>
          <w:rFonts w:ascii="Times New Roman" w:hAnsi="Times New Roman" w:cs="Times New Roman" w:eastAsia="Times New Roman" w:hint="default"/>
        </w:rPr>
        <w:t>”</w:t>
      </w:r>
      <w:r>
        <w:rPr/>
        <w:t>），由广州证券股份有限公司为管理人，运 通资管计划的认购对象为广电运通第一期员工持股计划，由包括公司董事、监事、高级管理人员叶子瑜、罗攀峰、陈振光、</w:t>
      </w:r>
      <w:r>
        <w:rPr>
          <w:spacing w:val="-86"/>
        </w:rPr>
        <w:t> </w:t>
      </w:r>
      <w:r>
        <w:rPr>
          <w:spacing w:val="-86"/>
        </w:rPr>
      </w:r>
      <w:r>
        <w:rPr>
          <w:spacing w:val="-2"/>
        </w:rPr>
        <w:t>束萌、陈建良、李叶东、魏东、蒋春晨、解永生、任斌、冯丰穗共</w:t>
      </w:r>
      <w:r>
        <w:rPr>
          <w:rFonts w:ascii="Times New Roman" w:hAnsi="Times New Roman" w:cs="Times New Roman" w:eastAsia="Times New Roman" w:hint="default"/>
          <w:spacing w:val="-2"/>
        </w:rPr>
        <w:t>11</w:t>
      </w:r>
      <w:r>
        <w:rPr>
          <w:spacing w:val="-2"/>
        </w:rPr>
        <w:t>人及其他核心骨干员工出资</w:t>
      </w:r>
      <w:r>
        <w:rPr>
          <w:rFonts w:ascii="Times New Roman" w:hAnsi="Times New Roman" w:cs="Times New Roman" w:eastAsia="Times New Roman" w:hint="default"/>
          <w:spacing w:val="-2"/>
        </w:rPr>
        <w:t>74,697.48</w:t>
      </w:r>
      <w:r>
        <w:rPr>
          <w:spacing w:val="-2"/>
        </w:rPr>
        <w:t>万元认购非公开发</w:t>
      </w:r>
      <w:r>
        <w:rPr>
          <w:spacing w:val="-63"/>
        </w:rPr>
        <w:t> </w:t>
      </w:r>
      <w:r>
        <w:rPr>
          <w:spacing w:val="-63"/>
        </w:rPr>
      </w:r>
      <w:r>
        <w:rPr/>
        <w:t>行股票</w:t>
      </w:r>
      <w:r>
        <w:rPr>
          <w:rFonts w:ascii="Times New Roman" w:hAnsi="Times New Roman" w:cs="Times New Roman" w:eastAsia="Times New Roman" w:hint="default"/>
        </w:rPr>
        <w:t>43,530,000</w:t>
      </w:r>
      <w:r>
        <w:rPr/>
        <w:t>股。其中公司董事、监事和高级管理人员叶子瑜、罗攀峰、陈振光、束萌、陈建良、李叶东、魏东、蒋春 </w:t>
      </w:r>
      <w:r>
        <w:rPr>
          <w:spacing w:val="-5"/>
        </w:rPr>
        <w:t>晨、解永生、任斌、冯丰穗</w:t>
      </w:r>
      <w:r>
        <w:rPr>
          <w:rFonts w:ascii="Times New Roman" w:hAnsi="Times New Roman" w:cs="Times New Roman" w:eastAsia="Times New Roman" w:hint="default"/>
          <w:spacing w:val="-5"/>
        </w:rPr>
        <w:t>11</w:t>
      </w:r>
      <w:r>
        <w:rPr>
          <w:spacing w:val="-5"/>
        </w:rPr>
        <w:t>人合计出资</w:t>
      </w:r>
      <w:r>
        <w:rPr>
          <w:rFonts w:ascii="Times New Roman" w:hAnsi="Times New Roman" w:cs="Times New Roman" w:eastAsia="Times New Roman" w:hint="default"/>
          <w:spacing w:val="-5"/>
        </w:rPr>
        <w:t>68,640,000</w:t>
      </w:r>
      <w:r>
        <w:rPr>
          <w:spacing w:val="-5"/>
        </w:rPr>
        <w:t>元，对应认购非公开发行股票数量</w:t>
      </w:r>
      <w:r>
        <w:rPr>
          <w:rFonts w:ascii="Times New Roman" w:hAnsi="Times New Roman" w:cs="Times New Roman" w:eastAsia="Times New Roman" w:hint="default"/>
          <w:spacing w:val="-5"/>
        </w:rPr>
        <w:t>4,000,000</w:t>
      </w:r>
      <w:r>
        <w:rPr>
          <w:spacing w:val="-5"/>
        </w:rPr>
        <w:t>股，占运通资管计划的</w:t>
      </w:r>
      <w:r>
        <w:rPr>
          <w:rFonts w:ascii="Times New Roman" w:hAnsi="Times New Roman" w:cs="Times New Roman" w:eastAsia="Times New Roman" w:hint="default"/>
          <w:spacing w:val="-5"/>
        </w:rPr>
        <w:t>9.19%</w:t>
      </w:r>
      <w:r>
        <w:rPr>
          <w:spacing w:val="-5"/>
        </w:rPr>
        <w:t>；</w:t>
      </w:r>
      <w:r>
        <w:rPr>
          <w:spacing w:val="-34"/>
        </w:rPr>
        <w:t> </w:t>
      </w:r>
      <w:r>
        <w:rPr/>
        <w:t>其他员工合计出资</w:t>
      </w:r>
      <w:r>
        <w:rPr>
          <w:rFonts w:ascii="Times New Roman" w:hAnsi="Times New Roman" w:cs="Times New Roman" w:eastAsia="Times New Roman" w:hint="default"/>
        </w:rPr>
        <w:t>678,334,800</w:t>
      </w:r>
      <w:r>
        <w:rPr/>
        <w:t>元，对应认购非公开发行股票数量</w:t>
      </w:r>
      <w:r>
        <w:rPr>
          <w:rFonts w:ascii="Times New Roman" w:hAnsi="Times New Roman" w:cs="Times New Roman" w:eastAsia="Times New Roman" w:hint="default"/>
        </w:rPr>
        <w:t>39,530,000</w:t>
      </w:r>
      <w:r>
        <w:rPr/>
        <w:t>股，占运通资管计划的</w:t>
      </w:r>
      <w:r>
        <w:rPr>
          <w:rFonts w:ascii="Times New Roman" w:hAnsi="Times New Roman" w:cs="Times New Roman" w:eastAsia="Times New Roman" w:hint="default"/>
        </w:rPr>
        <w:t>90.81%</w:t>
      </w:r>
      <w:r>
        <w:rPr/>
        <w:t>。</w:t>
      </w:r>
    </w:p>
    <w:p>
      <w:pPr>
        <w:pStyle w:val="BodyText"/>
        <w:spacing w:line="300" w:lineRule="auto" w:before="50"/>
        <w:ind w:right="1131"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日公司收到中国证券监督管理委员会《关于核准广州广电运通金融电子股份有限公司非公开发行股票的批</w:t>
      </w:r>
      <w:r>
        <w:rPr/>
        <w:t> </w:t>
      </w:r>
      <w:r>
        <w:rPr>
          <w:spacing w:val="-2"/>
        </w:rPr>
        <w:t>复》（证监许可【</w:t>
      </w:r>
      <w:r>
        <w:rPr>
          <w:rFonts w:ascii="Times New Roman" w:hAnsi="Times New Roman" w:cs="Times New Roman" w:eastAsia="Times New Roman" w:hint="default"/>
          <w:spacing w:val="-2"/>
        </w:rPr>
        <w:t>2015</w:t>
      </w:r>
      <w:r>
        <w:rPr>
          <w:spacing w:val="-2"/>
        </w:rPr>
        <w:t>】</w:t>
      </w:r>
      <w:r>
        <w:rPr>
          <w:rFonts w:ascii="Times New Roman" w:hAnsi="Times New Roman" w:cs="Times New Roman" w:eastAsia="Times New Roman" w:hint="default"/>
          <w:spacing w:val="-2"/>
        </w:rPr>
        <w:t>3135</w:t>
      </w:r>
      <w:r>
        <w:rPr>
          <w:spacing w:val="-2"/>
        </w:rPr>
        <w:t>号）。公司在中国证券登记结算有限责任公司深圳分公司已办理完毕本次非公开发行股份登记</w:t>
      </w:r>
      <w:r>
        <w:rPr>
          <w:spacing w:val="-61"/>
        </w:rPr>
        <w:t> </w:t>
      </w:r>
      <w:r>
        <w:rPr>
          <w:spacing w:val="-61"/>
        </w:rPr>
      </w:r>
      <w:r>
        <w:rPr>
          <w:spacing w:val="-2"/>
        </w:rPr>
        <w:t>业务，新增股份已于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11</w:t>
      </w:r>
      <w:r>
        <w:rPr>
          <w:spacing w:val="-2"/>
        </w:rPr>
        <w:t>日上市，运通资管计划本次认购的</w:t>
      </w:r>
      <w:r>
        <w:rPr>
          <w:rFonts w:ascii="Times New Roman" w:hAnsi="Times New Roman" w:cs="Times New Roman" w:eastAsia="Times New Roman" w:hint="default"/>
          <w:spacing w:val="-2"/>
        </w:rPr>
        <w:t>43,530,000</w:t>
      </w:r>
      <w:r>
        <w:rPr>
          <w:spacing w:val="-2"/>
        </w:rPr>
        <w:t>股股票自新增股份上市之日起</w:t>
      </w:r>
      <w:r>
        <w:rPr>
          <w:rFonts w:ascii="Times New Roman" w:hAnsi="Times New Roman" w:cs="Times New Roman" w:eastAsia="Times New Roman" w:hint="default"/>
          <w:spacing w:val="-2"/>
        </w:rPr>
        <w:t>36</w:t>
      </w:r>
      <w:r>
        <w:rPr>
          <w:spacing w:val="-2"/>
        </w:rPr>
        <w:t>个月内不得转</w:t>
      </w:r>
      <w:r>
        <w:rPr>
          <w:spacing w:val="-51"/>
        </w:rPr>
        <w:t> </w:t>
      </w:r>
      <w:r>
        <w:rPr>
          <w:spacing w:val="-51"/>
        </w:rPr>
      </w:r>
      <w:r>
        <w:rPr/>
        <w:t>让。</w:t>
      </w:r>
    </w:p>
    <w:p>
      <w:pPr>
        <w:pStyle w:val="BodyText"/>
        <w:spacing w:line="300" w:lineRule="auto" w:before="70"/>
        <w:ind w:right="1134" w:firstLine="360"/>
        <w:jc w:val="left"/>
      </w:pPr>
      <w:r>
        <w:rPr>
          <w:spacing w:val="-2"/>
        </w:rPr>
        <w:t>广电运通第一期员工持股计划锁定期于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11</w:t>
      </w:r>
      <w:r>
        <w:rPr>
          <w:spacing w:val="-2"/>
        </w:rPr>
        <w:t>日届满，公司已于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11</w:t>
      </w:r>
      <w:r>
        <w:rPr>
          <w:spacing w:val="-2"/>
        </w:rPr>
        <w:t>日发布《公司第一期员工持股计划锁</w:t>
      </w:r>
      <w:r>
        <w:rPr/>
        <w:t> 定期届满的提示公告》（公告编号：临</w:t>
      </w:r>
      <w:r>
        <w:rPr>
          <w:rFonts w:ascii="Times New Roman" w:hAnsi="Times New Roman" w:cs="Times New Roman" w:eastAsia="Times New Roman" w:hint="default"/>
        </w:rPr>
        <w:t>2019-017</w:t>
      </w:r>
      <w:r>
        <w:rPr/>
        <w:t>）。</w:t>
      </w:r>
    </w:p>
    <w:p>
      <w:pPr>
        <w:pStyle w:val="BodyText"/>
        <w:spacing w:line="240" w:lineRule="auto" w:before="53"/>
        <w:ind w:left="513" w:right="1034"/>
        <w:jc w:val="left"/>
      </w:pPr>
      <w:r>
        <w:rPr/>
        <w:t>员工持股计划事项临时报告披露网站查询：</w:t>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6121"/>
        <w:gridCol w:w="1536"/>
        <w:gridCol w:w="2065"/>
      </w:tblGrid>
      <w:tr>
        <w:trPr>
          <w:trHeight w:val="428" w:hRule="exact"/>
        </w:trPr>
        <w:tc>
          <w:tcPr>
            <w:tcW w:w="6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5" w:right="0"/>
              <w:jc w:val="left"/>
              <w:rPr>
                <w:rFonts w:ascii="宋体" w:hAnsi="宋体" w:cs="宋体" w:eastAsia="宋体" w:hint="default"/>
                <w:sz w:val="18"/>
                <w:szCs w:val="18"/>
              </w:rPr>
            </w:pPr>
            <w:r>
              <w:rPr>
                <w:rFonts w:ascii="宋体" w:hAnsi="宋体" w:cs="宋体" w:eastAsia="宋体" w:hint="default"/>
                <w:sz w:val="18"/>
                <w:szCs w:val="18"/>
              </w:rPr>
              <w:t>临时公告披露索引</w:t>
            </w:r>
          </w:p>
        </w:tc>
      </w:tr>
      <w:tr>
        <w:trPr>
          <w:trHeight w:val="1675" w:hRule="exact"/>
        </w:trPr>
        <w:tc>
          <w:tcPr>
            <w:tcW w:w="612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8"/>
              <w:ind w:left="4" w:right="0"/>
              <w:jc w:val="left"/>
              <w:rPr>
                <w:rFonts w:ascii="宋体" w:hAnsi="宋体" w:cs="宋体" w:eastAsia="宋体" w:hint="default"/>
                <w:sz w:val="18"/>
                <w:szCs w:val="18"/>
              </w:rPr>
            </w:pPr>
            <w:r>
              <w:rPr>
                <w:rFonts w:ascii="宋体" w:hAnsi="宋体" w:cs="宋体" w:eastAsia="宋体" w:hint="default"/>
                <w:spacing w:val="-6"/>
                <w:sz w:val="18"/>
                <w:szCs w:val="18"/>
              </w:rPr>
              <w:t>《第四届董事会第二次会议决议公告》《第一期员工持股计划（草案）摘要（认</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购非公开发行股票方式）》《</w:t>
            </w:r>
            <w:hyperlink r:id="rId22">
              <w:r>
                <w:rPr>
                  <w:rFonts w:ascii="宋体" w:hAnsi="宋体" w:cs="宋体" w:eastAsia="宋体" w:hint="default"/>
                  <w:spacing w:val="-1"/>
                  <w:sz w:val="18"/>
                  <w:szCs w:val="18"/>
                </w:rPr>
                <w:t>第一期员工持股计划（草案）（认购非公开发行</w:t>
              </w:r>
            </w:hyperlink>
            <w:r>
              <w:rPr>
                <w:rFonts w:ascii="宋体" w:hAnsi="宋体" w:cs="宋体" w:eastAsia="宋体" w:hint="default"/>
                <w:spacing w:val="-77"/>
                <w:sz w:val="18"/>
                <w:szCs w:val="18"/>
              </w:rPr>
              <w:t> </w:t>
            </w:r>
            <w:r>
              <w:rPr>
                <w:rFonts w:ascii="宋体" w:hAnsi="宋体" w:cs="宋体" w:eastAsia="宋体" w:hint="default"/>
                <w:spacing w:val="-77"/>
                <w:sz w:val="18"/>
                <w:szCs w:val="18"/>
              </w:rPr>
            </w:r>
            <w:hyperlink r:id="rId22">
              <w:r>
                <w:rPr>
                  <w:rFonts w:ascii="宋体" w:hAnsi="宋体" w:cs="宋体" w:eastAsia="宋体" w:hint="default"/>
                  <w:spacing w:val="-1"/>
                  <w:sz w:val="18"/>
                  <w:szCs w:val="18"/>
                </w:rPr>
                <w:t>股票方式）</w:t>
              </w:r>
            </w:hyperlink>
            <w:r>
              <w:rPr>
                <w:rFonts w:ascii="宋体" w:hAnsi="宋体" w:cs="宋体" w:eastAsia="宋体" w:hint="default"/>
                <w:spacing w:val="-1"/>
                <w:sz w:val="18"/>
                <w:szCs w:val="18"/>
              </w:rPr>
              <w:t>》《</w:t>
            </w:r>
            <w:hyperlink r:id="rId23">
              <w:r>
                <w:rPr>
                  <w:rFonts w:ascii="宋体" w:hAnsi="宋体" w:cs="宋体" w:eastAsia="宋体" w:hint="default"/>
                  <w:spacing w:val="-1"/>
                  <w:sz w:val="18"/>
                  <w:szCs w:val="18"/>
                </w:rPr>
                <w:t>广东广信君达律师事务所关于公司实施第一期员工持股计划的</w:t>
              </w:r>
            </w:hyperlink>
            <w:r>
              <w:rPr>
                <w:rFonts w:ascii="宋体" w:hAnsi="宋体" w:cs="宋体" w:eastAsia="宋体" w:hint="default"/>
                <w:spacing w:val="-76"/>
                <w:sz w:val="18"/>
                <w:szCs w:val="18"/>
              </w:rPr>
              <w:t> </w:t>
            </w:r>
            <w:r>
              <w:rPr>
                <w:rFonts w:ascii="宋体" w:hAnsi="宋体" w:cs="宋体" w:eastAsia="宋体" w:hint="default"/>
                <w:spacing w:val="-76"/>
                <w:sz w:val="18"/>
                <w:szCs w:val="18"/>
              </w:rPr>
            </w:r>
            <w:hyperlink r:id="rId23">
              <w:r>
                <w:rPr>
                  <w:rFonts w:ascii="宋体" w:hAnsi="宋体" w:cs="宋体" w:eastAsia="宋体" w:hint="default"/>
                  <w:sz w:val="18"/>
                  <w:szCs w:val="18"/>
                </w:rPr>
                <w:t>法律意见书</w:t>
              </w:r>
            </w:hyperlink>
            <w:r>
              <w:rPr>
                <w:rFonts w:ascii="宋体" w:hAnsi="宋体" w:cs="宋体" w:eastAsia="宋体" w:hint="default"/>
                <w:sz w:val="18"/>
                <w:szCs w:val="18"/>
              </w:rPr>
              <w:t>》《</w:t>
            </w:r>
            <w:hyperlink r:id="rId24">
              <w:r>
                <w:rPr>
                  <w:rFonts w:ascii="宋体" w:hAnsi="宋体" w:cs="宋体" w:eastAsia="宋体" w:hint="default"/>
                  <w:sz w:val="18"/>
                  <w:szCs w:val="18"/>
                </w:rPr>
                <w:t>广州证券鲲鹏运通</w:t>
              </w:r>
              <w:r>
                <w:rPr>
                  <w:rFonts w:ascii="Times New Roman" w:hAnsi="Times New Roman" w:cs="Times New Roman" w:eastAsia="Times New Roman" w:hint="default"/>
                  <w:sz w:val="18"/>
                  <w:szCs w:val="18"/>
                </w:rPr>
                <w:t>1</w:t>
              </w:r>
              <w:r>
                <w:rPr>
                  <w:rFonts w:ascii="宋体" w:hAnsi="宋体" w:cs="宋体" w:eastAsia="宋体" w:hint="default"/>
                  <w:sz w:val="18"/>
                  <w:szCs w:val="18"/>
                </w:rPr>
                <w:t>号定向资产管理计划资产管理合同</w:t>
              </w:r>
            </w:hyperlink>
            <w:r>
              <w:rPr>
                <w:rFonts w:ascii="宋体" w:hAnsi="宋体" w:cs="宋体" w:eastAsia="宋体" w:hint="default"/>
                <w:sz w:val="18"/>
                <w:szCs w:val="18"/>
              </w:rPr>
              <w:t>》《</w:t>
            </w:r>
            <w:hyperlink r:id="rId25">
              <w:r>
                <w:rPr>
                  <w:rFonts w:ascii="宋体" w:hAnsi="宋体" w:cs="宋体" w:eastAsia="宋体" w:hint="default"/>
                  <w:sz w:val="18"/>
                  <w:szCs w:val="18"/>
                </w:rPr>
                <w:t>监</w:t>
              </w:r>
            </w:hyperlink>
            <w:r>
              <w:rPr>
                <w:rFonts w:ascii="宋体" w:hAnsi="宋体" w:cs="宋体" w:eastAsia="宋体" w:hint="default"/>
                <w:sz w:val="18"/>
                <w:szCs w:val="18"/>
              </w:rPr>
              <w:t> </w:t>
            </w:r>
            <w:hyperlink r:id="rId25">
              <w:r>
                <w:rPr>
                  <w:rFonts w:ascii="宋体" w:hAnsi="宋体" w:cs="宋体" w:eastAsia="宋体" w:hint="default"/>
                  <w:sz w:val="18"/>
                  <w:szCs w:val="18"/>
                </w:rPr>
                <w:t>事会关于公司第一期员工持股计划相关事项的审核意见</w:t>
              </w:r>
            </w:hyperlink>
            <w:r>
              <w:rPr>
                <w:rFonts w:ascii="宋体" w:hAnsi="宋体" w:cs="宋体" w:eastAsia="宋体" w:hint="default"/>
                <w:sz w:val="18"/>
                <w:szCs w:val="18"/>
              </w:rPr>
              <w:t>》</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06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56"/>
              <w:ind w:left="2" w:right="401"/>
              <w:jc w:val="left"/>
              <w:rPr>
                <w:rFonts w:ascii="宋体" w:hAnsi="宋体" w:cs="宋体" w:eastAsia="宋体" w:hint="default"/>
                <w:sz w:val="18"/>
                <w:szCs w:val="18"/>
              </w:rPr>
            </w:pPr>
            <w:r>
              <w:rPr>
                <w:rFonts w:ascii="宋体" w:hAnsi="宋体" w:cs="宋体" w:eastAsia="宋体" w:hint="default"/>
                <w:sz w:val="18"/>
                <w:szCs w:val="18"/>
              </w:rPr>
              <w:t>刊登在《证券时报》 及巨潮资讯网 </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 的相关公告</w:t>
            </w:r>
          </w:p>
        </w:tc>
      </w:tr>
      <w:tr>
        <w:trPr>
          <w:trHeight w:val="427" w:hRule="exact"/>
        </w:trPr>
        <w:tc>
          <w:tcPr>
            <w:tcW w:w="6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w:t>
            </w:r>
            <w:hyperlink r:id="rId26">
              <w:r>
                <w:rPr>
                  <w:rFonts w:ascii="Times New Roman" w:hAnsi="Times New Roman" w:cs="Times New Roman" w:eastAsia="Times New Roman" w:hint="default"/>
                  <w:sz w:val="18"/>
                  <w:szCs w:val="18"/>
                </w:rPr>
                <w:t>2014</w:t>
              </w:r>
              <w:r>
                <w:rPr>
                  <w:rFonts w:ascii="宋体" w:hAnsi="宋体" w:cs="宋体" w:eastAsia="宋体" w:hint="default"/>
                  <w:sz w:val="18"/>
                  <w:szCs w:val="18"/>
                </w:rPr>
                <w:t>年度股东大会决议公告</w:t>
              </w:r>
            </w:hyperlink>
            <w:r>
              <w:rPr>
                <w:rFonts w:ascii="宋体" w:hAnsi="宋体" w:cs="宋体" w:eastAsia="宋体" w:hint="default"/>
                <w:sz w:val="18"/>
                <w:szCs w:val="18"/>
              </w:rPr>
              <w:t>》</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065" w:type="dxa"/>
            <w:vMerge/>
            <w:tcBorders>
              <w:left w:val="single" w:sz="6" w:space="0" w:color="000000"/>
              <w:right w:val="single" w:sz="6" w:space="0" w:color="000000"/>
            </w:tcBorders>
          </w:tcPr>
          <w:p>
            <w:pPr/>
          </w:p>
        </w:tc>
      </w:tr>
      <w:tr>
        <w:trPr>
          <w:trHeight w:val="1052" w:hRule="exact"/>
        </w:trPr>
        <w:tc>
          <w:tcPr>
            <w:tcW w:w="612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58"/>
              <w:jc w:val="both"/>
              <w:rPr>
                <w:rFonts w:ascii="宋体" w:hAnsi="宋体" w:cs="宋体" w:eastAsia="宋体" w:hint="default"/>
                <w:sz w:val="18"/>
                <w:szCs w:val="18"/>
              </w:rPr>
            </w:pPr>
            <w:hyperlink r:id="rId27">
              <w:r>
                <w:rPr>
                  <w:rFonts w:ascii="宋体" w:hAnsi="宋体" w:cs="宋体" w:eastAsia="宋体" w:hint="default"/>
                  <w:sz w:val="18"/>
                  <w:szCs w:val="18"/>
                </w:rPr>
                <w:t>《第四届董事会第十次会议决议公告</w:t>
              </w:r>
            </w:hyperlink>
            <w:r>
              <w:rPr>
                <w:rFonts w:ascii="宋体" w:hAnsi="宋体" w:cs="宋体" w:eastAsia="宋体" w:hint="default"/>
                <w:sz w:val="18"/>
                <w:szCs w:val="18"/>
              </w:rPr>
              <w:t>》《广州证券鲲鹏运通</w:t>
            </w:r>
            <w:r>
              <w:rPr>
                <w:rFonts w:ascii="Times New Roman" w:hAnsi="Times New Roman" w:cs="Times New Roman" w:eastAsia="Times New Roman" w:hint="default"/>
                <w:sz w:val="18"/>
                <w:szCs w:val="18"/>
              </w:rPr>
              <w:t>1</w:t>
            </w:r>
            <w:r>
              <w:rPr>
                <w:rFonts w:ascii="宋体" w:hAnsi="宋体" w:cs="宋体" w:eastAsia="宋体" w:hint="default"/>
                <w:sz w:val="18"/>
                <w:szCs w:val="18"/>
              </w:rPr>
              <w:t>号定向资产管理 计划资产管理合同之补充合同》《</w:t>
            </w:r>
            <w:hyperlink r:id="rId28">
              <w:r>
                <w:rPr>
                  <w:rFonts w:ascii="宋体" w:hAnsi="宋体" w:cs="宋体" w:eastAsia="宋体" w:hint="default"/>
                  <w:sz w:val="18"/>
                  <w:szCs w:val="18"/>
                </w:rPr>
                <w:t>关于签订</w:t>
              </w:r>
              <w:r>
                <w:rPr>
                  <w:rFonts w:ascii="Times New Roman" w:hAnsi="Times New Roman" w:cs="Times New Roman" w:eastAsia="Times New Roman" w:hint="default"/>
                  <w:sz w:val="18"/>
                  <w:szCs w:val="18"/>
                </w:rPr>
                <w:t>&lt;</w:t>
              </w:r>
              <w:r>
                <w:rPr>
                  <w:rFonts w:ascii="宋体" w:hAnsi="宋体" w:cs="宋体" w:eastAsia="宋体" w:hint="default"/>
                  <w:sz w:val="18"/>
                  <w:szCs w:val="18"/>
                </w:rPr>
                <w:t>附条件生效的非公开发行股份认</w:t>
              </w:r>
            </w:hyperlink>
            <w:r>
              <w:rPr>
                <w:rFonts w:ascii="宋体" w:hAnsi="宋体" w:cs="宋体" w:eastAsia="宋体" w:hint="default"/>
                <w:sz w:val="18"/>
                <w:szCs w:val="18"/>
              </w:rPr>
              <w:t> </w:t>
            </w:r>
            <w:hyperlink r:id="rId28">
              <w:r>
                <w:rPr>
                  <w:rFonts w:ascii="宋体" w:hAnsi="宋体" w:cs="宋体" w:eastAsia="宋体" w:hint="default"/>
                  <w:sz w:val="18"/>
                  <w:szCs w:val="18"/>
                </w:rPr>
                <w:t>购合同之补充合同</w:t>
              </w:r>
              <w:r>
                <w:rPr>
                  <w:rFonts w:ascii="Times New Roman" w:hAnsi="Times New Roman" w:cs="Times New Roman" w:eastAsia="Times New Roman" w:hint="default"/>
                  <w:sz w:val="18"/>
                  <w:szCs w:val="18"/>
                </w:rPr>
                <w:t>&gt;</w:t>
              </w:r>
              <w:r>
                <w:rPr>
                  <w:rFonts w:ascii="宋体" w:hAnsi="宋体" w:cs="宋体" w:eastAsia="宋体" w:hint="default"/>
                  <w:sz w:val="18"/>
                  <w:szCs w:val="18"/>
                </w:rPr>
                <w:t>的公告</w:t>
              </w:r>
            </w:hyperlink>
            <w:r>
              <w:rPr>
                <w:rFonts w:ascii="宋体" w:hAnsi="宋体" w:cs="宋体" w:eastAsia="宋体" w:hint="default"/>
                <w:sz w:val="18"/>
                <w:szCs w:val="18"/>
              </w:rPr>
              <w:t>》</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03</w:t>
            </w:r>
            <w:r>
              <w:rPr>
                <w:rFonts w:ascii="宋体" w:hAnsi="宋体" w:cs="宋体" w:eastAsia="宋体" w:hint="default"/>
                <w:sz w:val="18"/>
                <w:szCs w:val="18"/>
              </w:rPr>
              <w:t>日</w:t>
            </w:r>
          </w:p>
        </w:tc>
        <w:tc>
          <w:tcPr>
            <w:tcW w:w="2065" w:type="dxa"/>
            <w:vMerge/>
            <w:tcBorders>
              <w:left w:val="single" w:sz="6" w:space="0" w:color="000000"/>
              <w:right w:val="single" w:sz="6" w:space="0" w:color="000000"/>
            </w:tcBorders>
          </w:tcPr>
          <w:p>
            <w:pPr/>
          </w:p>
        </w:tc>
      </w:tr>
      <w:tr>
        <w:trPr>
          <w:trHeight w:val="1363" w:hRule="exact"/>
        </w:trPr>
        <w:tc>
          <w:tcPr>
            <w:tcW w:w="61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0"/>
              <w:jc w:val="both"/>
              <w:rPr>
                <w:rFonts w:ascii="宋体" w:hAnsi="宋体" w:cs="宋体" w:eastAsia="宋体" w:hint="default"/>
                <w:sz w:val="18"/>
                <w:szCs w:val="18"/>
              </w:rPr>
            </w:pPr>
            <w:hyperlink r:id="rId29">
              <w:r>
                <w:rPr>
                  <w:rFonts w:ascii="宋体" w:hAnsi="宋体" w:cs="宋体" w:eastAsia="宋体" w:hint="default"/>
                  <w:spacing w:val="-1"/>
                  <w:sz w:val="18"/>
                  <w:szCs w:val="18"/>
                </w:rPr>
                <w:t>《第四届董事会第十二次（临时）会议决议公告</w:t>
              </w:r>
            </w:hyperlink>
            <w:r>
              <w:rPr>
                <w:rFonts w:ascii="宋体" w:hAnsi="宋体" w:cs="宋体" w:eastAsia="宋体" w:hint="default"/>
                <w:spacing w:val="-1"/>
                <w:sz w:val="18"/>
                <w:szCs w:val="18"/>
              </w:rPr>
              <w:t>》《第一期员工持股计划（草</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案）（认购非公开发行股票方式）（修订稿）》《</w:t>
            </w:r>
            <w:hyperlink r:id="rId30">
              <w:r>
                <w:rPr>
                  <w:rFonts w:ascii="宋体" w:hAnsi="宋体" w:cs="宋体" w:eastAsia="宋体" w:hint="default"/>
                  <w:spacing w:val="-1"/>
                  <w:sz w:val="18"/>
                  <w:szCs w:val="18"/>
                </w:rPr>
                <w:t>关于调减公司第一期员工持</w:t>
              </w:r>
            </w:hyperlink>
            <w:r>
              <w:rPr>
                <w:rFonts w:ascii="宋体" w:hAnsi="宋体" w:cs="宋体" w:eastAsia="宋体" w:hint="default"/>
                <w:spacing w:val="-76"/>
                <w:sz w:val="18"/>
                <w:szCs w:val="18"/>
              </w:rPr>
              <w:t> </w:t>
            </w:r>
            <w:r>
              <w:rPr>
                <w:rFonts w:ascii="宋体" w:hAnsi="宋体" w:cs="宋体" w:eastAsia="宋体" w:hint="default"/>
                <w:spacing w:val="-76"/>
                <w:sz w:val="18"/>
                <w:szCs w:val="18"/>
              </w:rPr>
            </w:r>
            <w:hyperlink r:id="rId30">
              <w:r>
                <w:rPr>
                  <w:rFonts w:ascii="宋体" w:hAnsi="宋体" w:cs="宋体" w:eastAsia="宋体" w:hint="default"/>
                  <w:spacing w:val="-1"/>
                  <w:sz w:val="18"/>
                  <w:szCs w:val="18"/>
                </w:rPr>
                <w:t>股计划计划认购金额的公告</w:t>
              </w:r>
            </w:hyperlink>
            <w:r>
              <w:rPr>
                <w:rFonts w:ascii="宋体" w:hAnsi="宋体" w:cs="宋体" w:eastAsia="宋体" w:hint="default"/>
                <w:spacing w:val="-1"/>
                <w:sz w:val="18"/>
                <w:szCs w:val="18"/>
              </w:rPr>
              <w:t>》《</w:t>
            </w:r>
            <w:hyperlink r:id="rId31">
              <w:r>
                <w:rPr>
                  <w:rFonts w:ascii="宋体" w:hAnsi="宋体" w:cs="宋体" w:eastAsia="宋体" w:hint="default"/>
                  <w:spacing w:val="-1"/>
                  <w:sz w:val="18"/>
                  <w:szCs w:val="18"/>
                </w:rPr>
                <w:t>广东广信君达律师事务所关于公司实施第一期</w:t>
              </w:r>
            </w:hyperlink>
            <w:r>
              <w:rPr>
                <w:rFonts w:ascii="宋体" w:hAnsi="宋体" w:cs="宋体" w:eastAsia="宋体" w:hint="default"/>
                <w:spacing w:val="-76"/>
                <w:sz w:val="18"/>
                <w:szCs w:val="18"/>
              </w:rPr>
              <w:t> </w:t>
            </w:r>
            <w:r>
              <w:rPr>
                <w:rFonts w:ascii="宋体" w:hAnsi="宋体" w:cs="宋体" w:eastAsia="宋体" w:hint="default"/>
                <w:spacing w:val="-76"/>
                <w:sz w:val="18"/>
                <w:szCs w:val="18"/>
              </w:rPr>
            </w:r>
            <w:hyperlink r:id="rId31">
              <w:r>
                <w:rPr>
                  <w:rFonts w:ascii="宋体" w:hAnsi="宋体" w:cs="宋体" w:eastAsia="宋体" w:hint="default"/>
                  <w:sz w:val="18"/>
                  <w:szCs w:val="18"/>
                </w:rPr>
                <w:t>员工持股计划的补充法律意见书</w:t>
              </w:r>
            </w:hyperlink>
            <w:r>
              <w:rPr>
                <w:rFonts w:ascii="宋体" w:hAnsi="宋体" w:cs="宋体" w:eastAsia="宋体" w:hint="default"/>
                <w:sz w:val="18"/>
                <w:szCs w:val="18"/>
              </w:rPr>
              <w:t>》</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2065" w:type="dxa"/>
            <w:vMerge/>
            <w:tcBorders>
              <w:left w:val="single" w:sz="6" w:space="0" w:color="000000"/>
              <w:right w:val="single" w:sz="6" w:space="0" w:color="000000"/>
            </w:tcBorders>
          </w:tcPr>
          <w:p>
            <w:pPr/>
          </w:p>
        </w:tc>
      </w:tr>
      <w:tr>
        <w:trPr>
          <w:trHeight w:val="425" w:hRule="exact"/>
        </w:trPr>
        <w:tc>
          <w:tcPr>
            <w:tcW w:w="6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w:t>
            </w:r>
            <w:hyperlink r:id="rId32">
              <w:r>
                <w:rPr>
                  <w:rFonts w:ascii="Times New Roman" w:hAnsi="Times New Roman" w:cs="Times New Roman" w:eastAsia="Times New Roman" w:hint="default"/>
                  <w:sz w:val="18"/>
                  <w:szCs w:val="18"/>
                </w:rPr>
                <w:t>2015</w:t>
              </w:r>
              <w:r>
                <w:rPr>
                  <w:rFonts w:ascii="宋体" w:hAnsi="宋体" w:cs="宋体" w:eastAsia="宋体" w:hint="default"/>
                  <w:sz w:val="18"/>
                  <w:szCs w:val="18"/>
                </w:rPr>
                <w:t>年第三次临时股东大会决议公告</w:t>
              </w:r>
            </w:hyperlink>
            <w:r>
              <w:rPr>
                <w:rFonts w:ascii="宋体" w:hAnsi="宋体" w:cs="宋体" w:eastAsia="宋体" w:hint="default"/>
                <w:sz w:val="18"/>
                <w:szCs w:val="18"/>
              </w:rPr>
              <w:t>》</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065" w:type="dxa"/>
            <w:vMerge/>
            <w:tcBorders>
              <w:left w:val="single" w:sz="6" w:space="0" w:color="000000"/>
              <w:right w:val="single" w:sz="6" w:space="0" w:color="000000"/>
            </w:tcBorders>
          </w:tcPr>
          <w:p>
            <w:pPr/>
          </w:p>
        </w:tc>
      </w:tr>
      <w:tr>
        <w:trPr>
          <w:trHeight w:val="427" w:hRule="exact"/>
        </w:trPr>
        <w:tc>
          <w:tcPr>
            <w:tcW w:w="6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hyperlink r:id="rId33">
              <w:r>
                <w:rPr>
                  <w:rFonts w:ascii="宋体" w:hAnsi="宋体" w:cs="宋体" w:eastAsia="宋体" w:hint="default"/>
                  <w:sz w:val="18"/>
                  <w:szCs w:val="18"/>
                </w:rPr>
                <w:t>《关于非公开发行股票获得中国证监会核准批复的公告</w:t>
              </w:r>
            </w:hyperlink>
            <w:r>
              <w:rPr>
                <w:rFonts w:ascii="宋体" w:hAnsi="宋体" w:cs="宋体" w:eastAsia="宋体" w:hint="default"/>
                <w:sz w:val="18"/>
                <w:szCs w:val="18"/>
              </w:rPr>
              <w:t>》</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04</w:t>
            </w:r>
            <w:r>
              <w:rPr>
                <w:rFonts w:ascii="宋体" w:hAnsi="宋体" w:cs="宋体" w:eastAsia="宋体" w:hint="default"/>
                <w:sz w:val="18"/>
                <w:szCs w:val="18"/>
              </w:rPr>
              <w:t>日</w:t>
            </w:r>
          </w:p>
        </w:tc>
        <w:tc>
          <w:tcPr>
            <w:tcW w:w="2065" w:type="dxa"/>
            <w:vMerge/>
            <w:tcBorders>
              <w:left w:val="single" w:sz="6" w:space="0" w:color="000000"/>
              <w:right w:val="single" w:sz="6" w:space="0" w:color="000000"/>
            </w:tcBorders>
          </w:tcPr>
          <w:p>
            <w:pPr/>
          </w:p>
        </w:tc>
      </w:tr>
      <w:tr>
        <w:trPr>
          <w:trHeight w:val="427" w:hRule="exact"/>
        </w:trPr>
        <w:tc>
          <w:tcPr>
            <w:tcW w:w="6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《发行情况报告暨上市公告书》</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065" w:type="dxa"/>
            <w:vMerge/>
            <w:tcBorders>
              <w:left w:val="single" w:sz="6" w:space="0" w:color="000000"/>
              <w:bottom w:val="single" w:sz="6" w:space="0" w:color="000000"/>
              <w:right w:val="single" w:sz="6" w:space="0" w:color="000000"/>
            </w:tcBorders>
          </w:tcPr>
          <w:p>
            <w:pPr/>
          </w:p>
        </w:tc>
      </w:tr>
      <w:tr>
        <w:trPr>
          <w:trHeight w:val="1284" w:hRule="exact"/>
        </w:trPr>
        <w:tc>
          <w:tcPr>
            <w:tcW w:w="6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《公司第一期员工持股计划锁定期届满的提示公告》</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2" w:right="41"/>
              <w:jc w:val="both"/>
              <w:rPr>
                <w:rFonts w:ascii="宋体" w:hAnsi="宋体" w:cs="宋体" w:eastAsia="宋体" w:hint="default"/>
                <w:sz w:val="18"/>
                <w:szCs w:val="18"/>
              </w:rPr>
            </w:pPr>
            <w:r>
              <w:rPr>
                <w:rFonts w:ascii="宋体" w:hAnsi="宋体" w:cs="宋体" w:eastAsia="宋体" w:hint="default"/>
                <w:sz w:val="18"/>
                <w:szCs w:val="18"/>
              </w:rPr>
              <w:t>刊登在《证券时报》《中 国证券报》及巨潮资讯网 </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上的相 关公告</w:t>
            </w:r>
          </w:p>
        </w:tc>
      </w:tr>
    </w:tbl>
    <w:p>
      <w:pPr>
        <w:spacing w:line="240" w:lineRule="auto" w:before="1"/>
        <w:rPr>
          <w:rFonts w:ascii="宋体" w:hAnsi="宋体" w:cs="宋体" w:eastAsia="宋体" w:hint="default"/>
          <w:sz w:val="18"/>
          <w:szCs w:val="18"/>
        </w:rPr>
      </w:pPr>
    </w:p>
    <w:p>
      <w:pPr>
        <w:pStyle w:val="Heading2"/>
        <w:spacing w:line="240" w:lineRule="auto" w:before="26"/>
        <w:ind w:right="1034"/>
        <w:jc w:val="left"/>
        <w:rPr>
          <w:b w:val="0"/>
          <w:bCs w:val="0"/>
        </w:rPr>
      </w:pPr>
      <w:r>
        <w:rPr/>
        <w:t>十六、重大关联交易</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right="1034"/>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567"/>
        <w:gridCol w:w="710"/>
        <w:gridCol w:w="878"/>
        <w:gridCol w:w="704"/>
        <w:gridCol w:w="682"/>
        <w:gridCol w:w="430"/>
        <w:gridCol w:w="917"/>
        <w:gridCol w:w="675"/>
        <w:gridCol w:w="674"/>
        <w:gridCol w:w="674"/>
        <w:gridCol w:w="674"/>
        <w:gridCol w:w="673"/>
        <w:gridCol w:w="672"/>
        <w:gridCol w:w="641"/>
      </w:tblGrid>
      <w:tr>
        <w:trPr>
          <w:trHeight w:val="1337"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8" w:right="96"/>
              <w:jc w:val="both"/>
              <w:rPr>
                <w:rFonts w:ascii="宋体" w:hAnsi="宋体" w:cs="宋体" w:eastAsia="宋体" w:hint="default"/>
                <w:sz w:val="18"/>
                <w:szCs w:val="18"/>
              </w:rPr>
            </w:pPr>
            <w:r>
              <w:rPr>
                <w:rFonts w:ascii="宋体" w:hAnsi="宋体" w:cs="宋体" w:eastAsia="宋体" w:hint="default"/>
                <w:sz w:val="18"/>
                <w:szCs w:val="18"/>
              </w:rPr>
              <w:t>关联 交易 方</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59" w:right="79"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54" w:right="72"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76" w:right="7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4"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31" w:right="26"/>
              <w:jc w:val="both"/>
              <w:rPr>
                <w:rFonts w:ascii="宋体" w:hAnsi="宋体" w:cs="宋体" w:eastAsia="宋体" w:hint="default"/>
                <w:sz w:val="18"/>
                <w:szCs w:val="18"/>
              </w:rPr>
            </w:pPr>
            <w:r>
              <w:rPr>
                <w:rFonts w:ascii="宋体" w:hAnsi="宋体" w:cs="宋体" w:eastAsia="宋体" w:hint="default"/>
                <w:sz w:val="18"/>
                <w:szCs w:val="18"/>
              </w:rPr>
              <w:t>关联 交易 价格</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2"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2" w:right="58"/>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2"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5" w:right="43"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715"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广电 智能</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79" w:right="79"/>
              <w:jc w:val="center"/>
              <w:rPr>
                <w:rFonts w:ascii="宋体" w:hAnsi="宋体" w:cs="宋体" w:eastAsia="宋体" w:hint="default"/>
                <w:sz w:val="18"/>
                <w:szCs w:val="18"/>
              </w:rPr>
            </w:pPr>
            <w:r>
              <w:rPr>
                <w:rFonts w:ascii="宋体" w:hAnsi="宋体" w:cs="宋体" w:eastAsia="宋体" w:hint="default"/>
                <w:sz w:val="18"/>
                <w:szCs w:val="18"/>
              </w:rPr>
              <w:t>同一最 终母公 司</w:t>
            </w:r>
          </w:p>
        </w:tc>
        <w:tc>
          <w:tcPr>
            <w:tcW w:w="8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37"/>
              <w:ind w:left="50" w:right="46" w:hanging="2"/>
              <w:jc w:val="center"/>
              <w:rPr>
                <w:rFonts w:ascii="宋体" w:hAnsi="宋体" w:cs="宋体" w:eastAsia="宋体" w:hint="default"/>
                <w:sz w:val="18"/>
                <w:szCs w:val="18"/>
              </w:rPr>
            </w:pPr>
            <w:r>
              <w:rPr>
                <w:rFonts w:ascii="宋体" w:hAnsi="宋体" w:cs="宋体" w:eastAsia="宋体" w:hint="default"/>
                <w:sz w:val="18"/>
                <w:szCs w:val="18"/>
              </w:rPr>
              <w:t>向关联人 采购商品</w:t>
            </w:r>
            <w:r>
              <w:rPr>
                <w:rFonts w:ascii="Times New Roman" w:hAnsi="Times New Roman" w:cs="Times New Roman" w:eastAsia="Times New Roman" w:hint="default"/>
                <w:sz w:val="18"/>
                <w:szCs w:val="18"/>
              </w:rPr>
              <w:t>/ </w:t>
            </w:r>
            <w:r>
              <w:rPr>
                <w:rFonts w:ascii="宋体" w:hAnsi="宋体" w:cs="宋体" w:eastAsia="宋体" w:hint="default"/>
                <w:sz w:val="18"/>
                <w:szCs w:val="18"/>
              </w:rPr>
              <w:t>服务</w:t>
            </w:r>
          </w:p>
        </w:tc>
        <w:tc>
          <w:tcPr>
            <w:tcW w:w="7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316" w:lineRule="auto"/>
              <w:ind w:left="52" w:right="50" w:firstLine="24"/>
              <w:jc w:val="left"/>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服务</w:t>
            </w: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357" w:lineRule="auto"/>
              <w:ind w:left="155" w:right="155"/>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4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1,110.42</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0.78%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3,310</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357" w:lineRule="auto"/>
              <w:ind w:left="151" w:right="151"/>
              <w:jc w:val="left"/>
              <w:rPr>
                <w:rFonts w:ascii="宋体" w:hAnsi="宋体" w:cs="宋体" w:eastAsia="宋体" w:hint="default"/>
                <w:sz w:val="18"/>
                <w:szCs w:val="18"/>
              </w:rPr>
            </w:pPr>
            <w:r>
              <w:rPr>
                <w:rFonts w:ascii="宋体" w:hAnsi="宋体" w:cs="宋体" w:eastAsia="宋体" w:hint="default"/>
                <w:sz w:val="18"/>
                <w:szCs w:val="18"/>
              </w:rPr>
              <w:t>转账 结算</w:t>
            </w:r>
          </w:p>
        </w:tc>
        <w:tc>
          <w:tcPr>
            <w:tcW w:w="67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both"/>
              <w:rPr>
                <w:rFonts w:ascii="宋体" w:hAnsi="宋体" w:cs="宋体" w:eastAsia="宋体" w:hint="default"/>
                <w:sz w:val="18"/>
                <w:szCs w:val="18"/>
              </w:rPr>
            </w:pPr>
            <w:r>
              <w:rPr>
                <w:rFonts w:ascii="宋体" w:hAnsi="宋体" w:cs="宋体" w:eastAsia="宋体" w:hint="default"/>
                <w:sz w:val="18"/>
                <w:szCs w:val="18"/>
              </w:rPr>
              <w:t>刊登在</w:t>
            </w:r>
          </w:p>
          <w:p>
            <w:pPr>
              <w:pStyle w:val="TableParagraph"/>
              <w:spacing w:line="340" w:lineRule="auto" w:before="76"/>
              <w:ind w:left="45" w:right="43"/>
              <w:jc w:val="both"/>
              <w:rPr>
                <w:rFonts w:ascii="Times New Roman" w:hAnsi="Times New Roman" w:cs="Times New Roman" w:eastAsia="Times New Roman" w:hint="default"/>
                <w:sz w:val="18"/>
                <w:szCs w:val="18"/>
              </w:rPr>
            </w:pPr>
            <w:r>
              <w:rPr>
                <w:rFonts w:ascii="宋体" w:hAnsi="宋体" w:cs="宋体" w:eastAsia="宋体" w:hint="default"/>
                <w:sz w:val="18"/>
                <w:szCs w:val="18"/>
              </w:rPr>
              <w:t>《证券 时报》 及巨潮 资讯网 </w:t>
            </w:r>
            <w:r>
              <w:rPr>
                <w:rFonts w:ascii="Times New Roman" w:hAnsi="Times New Roman" w:cs="Times New Roman" w:eastAsia="Times New Roman" w:hint="default"/>
                <w:sz w:val="18"/>
                <w:szCs w:val="18"/>
              </w:rPr>
              <w:t>www.c ninfo.c om.cn</w:t>
            </w:r>
          </w:p>
        </w:tc>
      </w:tr>
      <w:tr>
        <w:trPr>
          <w:trHeight w:val="713"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海格 通信</w:t>
            </w:r>
          </w:p>
        </w:tc>
        <w:tc>
          <w:tcPr>
            <w:tcW w:w="710" w:type="dxa"/>
            <w:vMerge/>
            <w:tcBorders>
              <w:left w:val="single" w:sz="4" w:space="0" w:color="000000"/>
              <w:bottom w:val="single" w:sz="4" w:space="0" w:color="000000"/>
              <w:right w:val="single" w:sz="4" w:space="0" w:color="000000"/>
            </w:tcBorders>
          </w:tcPr>
          <w:p>
            <w:pPr/>
          </w:p>
        </w:tc>
        <w:tc>
          <w:tcPr>
            <w:tcW w:w="878" w:type="dxa"/>
            <w:vMerge/>
            <w:tcBorders>
              <w:left w:val="single" w:sz="4" w:space="0" w:color="000000"/>
              <w:right w:val="single" w:sz="4" w:space="0" w:color="000000"/>
            </w:tcBorders>
          </w:tcPr>
          <w:p>
            <w:pPr/>
          </w:p>
        </w:tc>
        <w:tc>
          <w:tcPr>
            <w:tcW w:w="70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430" w:type="dxa"/>
            <w:vMerge/>
            <w:tcBorders>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99.26</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w:t>
            </w: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673" w:type="dxa"/>
            <w:vMerge/>
            <w:tcBorders>
              <w:left w:val="single" w:sz="4" w:space="0" w:color="000000"/>
              <w:bottom w:val="single" w:sz="4" w:space="0" w:color="000000"/>
              <w:right w:val="single" w:sz="4" w:space="0" w:color="000000"/>
            </w:tcBorders>
          </w:tcPr>
          <w:p>
            <w:pPr/>
          </w:p>
        </w:tc>
        <w:tc>
          <w:tcPr>
            <w:tcW w:w="672"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r>
      <w:tr>
        <w:trPr>
          <w:trHeight w:val="715"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广州 辉远</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59" w:right="79" w:hanging="180"/>
              <w:jc w:val="left"/>
              <w:rPr>
                <w:rFonts w:ascii="宋体" w:hAnsi="宋体" w:cs="宋体" w:eastAsia="宋体" w:hint="default"/>
                <w:sz w:val="18"/>
                <w:szCs w:val="18"/>
              </w:rPr>
            </w:pPr>
            <w:r>
              <w:rPr>
                <w:rFonts w:ascii="宋体" w:hAnsi="宋体" w:cs="宋体" w:eastAsia="宋体" w:hint="default"/>
                <w:sz w:val="18"/>
                <w:szCs w:val="18"/>
              </w:rPr>
              <w:t>参股公 司</w:t>
            </w:r>
          </w:p>
        </w:tc>
        <w:tc>
          <w:tcPr>
            <w:tcW w:w="878" w:type="dxa"/>
            <w:vMerge/>
            <w:tcBorders>
              <w:left w:val="single" w:sz="4" w:space="0" w:color="000000"/>
              <w:bottom w:val="single" w:sz="4" w:space="0" w:color="000000"/>
              <w:right w:val="single" w:sz="4" w:space="0" w:color="000000"/>
            </w:tcBorders>
          </w:tcPr>
          <w:p>
            <w:pPr/>
          </w:p>
        </w:tc>
        <w:tc>
          <w:tcPr>
            <w:tcW w:w="70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18.87</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0.01%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w:t>
            </w: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r>
      <w:tr>
        <w:trPr>
          <w:trHeight w:val="716"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海格 通信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8"/>
              <w:ind w:left="79" w:right="79"/>
              <w:jc w:val="left"/>
              <w:rPr>
                <w:rFonts w:ascii="宋体" w:hAnsi="宋体" w:cs="宋体" w:eastAsia="宋体" w:hint="default"/>
                <w:sz w:val="18"/>
                <w:szCs w:val="18"/>
              </w:rPr>
            </w:pPr>
            <w:r>
              <w:rPr>
                <w:rFonts w:ascii="宋体" w:hAnsi="宋体" w:cs="宋体" w:eastAsia="宋体" w:hint="default"/>
                <w:sz w:val="18"/>
                <w:szCs w:val="18"/>
              </w:rPr>
              <w:t>同一最 终母公</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74" w:right="72"/>
              <w:jc w:val="left"/>
              <w:rPr>
                <w:rFonts w:ascii="宋体" w:hAnsi="宋体" w:cs="宋体" w:eastAsia="宋体" w:hint="default"/>
                <w:sz w:val="18"/>
                <w:szCs w:val="18"/>
              </w:rPr>
            </w:pPr>
            <w:r>
              <w:rPr>
                <w:rFonts w:ascii="宋体" w:hAnsi="宋体" w:cs="宋体" w:eastAsia="宋体" w:hint="default"/>
                <w:sz w:val="18"/>
                <w:szCs w:val="18"/>
              </w:rPr>
              <w:t>向关联人 承租房屋</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市场</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113.99</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567"/>
        <w:gridCol w:w="710"/>
        <w:gridCol w:w="878"/>
        <w:gridCol w:w="704"/>
        <w:gridCol w:w="682"/>
        <w:gridCol w:w="430"/>
        <w:gridCol w:w="917"/>
        <w:gridCol w:w="675"/>
        <w:gridCol w:w="674"/>
        <w:gridCol w:w="674"/>
        <w:gridCol w:w="674"/>
        <w:gridCol w:w="673"/>
        <w:gridCol w:w="672"/>
        <w:gridCol w:w="641"/>
      </w:tblGrid>
      <w:tr>
        <w:trPr>
          <w:trHeight w:val="1025"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98" w:right="96"/>
              <w:jc w:val="both"/>
              <w:rPr>
                <w:rFonts w:ascii="宋体" w:hAnsi="宋体" w:cs="宋体" w:eastAsia="宋体" w:hint="default"/>
                <w:sz w:val="18"/>
                <w:szCs w:val="18"/>
              </w:rPr>
            </w:pPr>
            <w:r>
              <w:rPr>
                <w:rFonts w:ascii="宋体" w:hAnsi="宋体" w:cs="宋体" w:eastAsia="宋体" w:hint="default"/>
                <w:sz w:val="18"/>
                <w:szCs w:val="18"/>
              </w:rPr>
              <w:t>广电 城市 服务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司</w:t>
            </w:r>
          </w:p>
        </w:tc>
        <w:tc>
          <w:tcPr>
            <w:tcW w:w="878"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7"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5" w:right="0"/>
              <w:jc w:val="left"/>
              <w:rPr>
                <w:rFonts w:ascii="宋体" w:hAnsi="宋体" w:cs="宋体" w:eastAsia="宋体" w:hint="default"/>
                <w:sz w:val="18"/>
                <w:szCs w:val="18"/>
              </w:rPr>
            </w:pPr>
            <w:r>
              <w:rPr>
                <w:rFonts w:ascii="宋体" w:hAnsi="宋体" w:cs="宋体" w:eastAsia="宋体" w:hint="default"/>
                <w:sz w:val="18"/>
                <w:szCs w:val="18"/>
              </w:rPr>
              <w:t>定价</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0.00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1" w:right="0"/>
              <w:jc w:val="left"/>
              <w:rPr>
                <w:rFonts w:ascii="宋体" w:hAnsi="宋体" w:cs="宋体" w:eastAsia="宋体" w:hint="default"/>
                <w:sz w:val="18"/>
                <w:szCs w:val="18"/>
              </w:rPr>
            </w:pPr>
            <w:r>
              <w:rPr>
                <w:rFonts w:ascii="宋体" w:hAnsi="宋体" w:cs="宋体" w:eastAsia="宋体" w:hint="default"/>
                <w:sz w:val="18"/>
                <w:szCs w:val="18"/>
              </w:rPr>
              <w:t>结算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8"/>
              <w:ind w:left="45" w:right="0"/>
              <w:jc w:val="left"/>
              <w:rPr>
                <w:rFonts w:ascii="宋体" w:hAnsi="宋体" w:cs="宋体" w:eastAsia="宋体" w:hint="default"/>
                <w:sz w:val="18"/>
                <w:szCs w:val="18"/>
              </w:rPr>
            </w:pPr>
            <w:r>
              <w:rPr>
                <w:rFonts w:ascii="宋体" w:hAnsi="宋体" w:cs="宋体" w:eastAsia="宋体" w:hint="default"/>
                <w:sz w:val="18"/>
                <w:szCs w:val="18"/>
              </w:rPr>
              <w:t>上的临</w:t>
            </w:r>
          </w:p>
          <w:p>
            <w:pPr>
              <w:pStyle w:val="TableParagraph"/>
              <w:spacing w:line="240" w:lineRule="auto" w:before="118"/>
              <w:ind w:left="62" w:right="0"/>
              <w:jc w:val="left"/>
              <w:rPr>
                <w:rFonts w:ascii="Times New Roman" w:hAnsi="Times New Roman" w:cs="Times New Roman" w:eastAsia="Times New Roman" w:hint="default"/>
                <w:sz w:val="18"/>
                <w:szCs w:val="18"/>
              </w:rPr>
            </w:pPr>
            <w:r>
              <w:rPr>
                <w:rFonts w:ascii="Times New Roman"/>
                <w:sz w:val="18"/>
              </w:rPr>
              <w:t>2018-0</w:t>
            </w:r>
          </w:p>
          <w:p>
            <w:pPr>
              <w:pStyle w:val="TableParagraph"/>
              <w:spacing w:line="300" w:lineRule="auto" w:before="63"/>
              <w:ind w:left="225" w:right="17" w:hanging="202"/>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 告</w:t>
            </w:r>
          </w:p>
        </w:tc>
      </w:tr>
      <w:tr>
        <w:trPr>
          <w:trHeight w:val="1027"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98" w:right="96"/>
              <w:jc w:val="both"/>
              <w:rPr>
                <w:rFonts w:ascii="宋体" w:hAnsi="宋体" w:cs="宋体" w:eastAsia="宋体" w:hint="default"/>
                <w:sz w:val="18"/>
                <w:szCs w:val="18"/>
              </w:rPr>
            </w:pPr>
            <w:r>
              <w:rPr>
                <w:rFonts w:ascii="宋体" w:hAnsi="宋体" w:cs="宋体" w:eastAsia="宋体" w:hint="default"/>
                <w:sz w:val="18"/>
                <w:szCs w:val="18"/>
              </w:rPr>
              <w:t>无线 电集 团</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59" w:right="79" w:hanging="180"/>
              <w:jc w:val="left"/>
              <w:rPr>
                <w:rFonts w:ascii="宋体" w:hAnsi="宋体" w:cs="宋体" w:eastAsia="宋体" w:hint="default"/>
                <w:sz w:val="18"/>
                <w:szCs w:val="18"/>
              </w:rPr>
            </w:pPr>
            <w:r>
              <w:rPr>
                <w:rFonts w:ascii="宋体" w:hAnsi="宋体" w:cs="宋体" w:eastAsia="宋体" w:hint="default"/>
                <w:sz w:val="18"/>
                <w:szCs w:val="18"/>
              </w:rPr>
              <w:t>控股股 东</w:t>
            </w:r>
          </w:p>
        </w:tc>
        <w:tc>
          <w:tcPr>
            <w:tcW w:w="8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6" w:lineRule="auto"/>
              <w:ind w:left="74" w:right="72"/>
              <w:jc w:val="center"/>
              <w:rPr>
                <w:rFonts w:ascii="宋体" w:hAnsi="宋体" w:cs="宋体" w:eastAsia="宋体" w:hint="default"/>
                <w:sz w:val="18"/>
                <w:szCs w:val="18"/>
              </w:rPr>
            </w:pPr>
            <w:r>
              <w:rPr>
                <w:rFonts w:ascii="宋体" w:hAnsi="宋体" w:cs="宋体" w:eastAsia="宋体" w:hint="default"/>
                <w:sz w:val="18"/>
                <w:szCs w:val="18"/>
              </w:rPr>
              <w:t>接受关联 人提供的 服务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管理服 务</w:t>
            </w: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60" w:lineRule="auto"/>
              <w:ind w:left="155" w:right="155"/>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43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0.00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60" w:lineRule="auto"/>
              <w:ind w:left="151" w:right="151"/>
              <w:jc w:val="left"/>
              <w:rPr>
                <w:rFonts w:ascii="宋体" w:hAnsi="宋体" w:cs="宋体" w:eastAsia="宋体" w:hint="default"/>
                <w:sz w:val="18"/>
                <w:szCs w:val="18"/>
              </w:rPr>
            </w:pPr>
            <w:r>
              <w:rPr>
                <w:rFonts w:ascii="宋体" w:hAnsi="宋体" w:cs="宋体" w:eastAsia="宋体" w:hint="default"/>
                <w:sz w:val="18"/>
                <w:szCs w:val="18"/>
              </w:rPr>
              <w:t>转账 结算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r>
      <w:tr>
        <w:trPr>
          <w:trHeight w:val="1025"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海格 通信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79" w:right="79"/>
              <w:jc w:val="center"/>
              <w:rPr>
                <w:rFonts w:ascii="宋体" w:hAnsi="宋体" w:cs="宋体" w:eastAsia="宋体" w:hint="default"/>
                <w:sz w:val="18"/>
                <w:szCs w:val="18"/>
              </w:rPr>
            </w:pPr>
            <w:r>
              <w:rPr>
                <w:rFonts w:ascii="宋体" w:hAnsi="宋体" w:cs="宋体" w:eastAsia="宋体" w:hint="default"/>
                <w:sz w:val="18"/>
                <w:szCs w:val="18"/>
              </w:rPr>
              <w:t>同一最 终母公 司</w:t>
            </w:r>
          </w:p>
        </w:tc>
        <w:tc>
          <w:tcPr>
            <w:tcW w:w="878" w:type="dxa"/>
            <w:vMerge/>
            <w:tcBorders>
              <w:left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hanging="3"/>
              <w:jc w:val="center"/>
              <w:rPr>
                <w:rFonts w:ascii="宋体" w:hAnsi="宋体" w:cs="宋体" w:eastAsia="宋体" w:hint="default"/>
                <w:sz w:val="18"/>
                <w:szCs w:val="18"/>
              </w:rPr>
            </w:pPr>
            <w:r>
              <w:rPr>
                <w:rFonts w:ascii="宋体" w:hAnsi="宋体" w:cs="宋体" w:eastAsia="宋体" w:hint="default"/>
                <w:sz w:val="18"/>
                <w:szCs w:val="18"/>
              </w:rPr>
              <w:t>软件测 </w:t>
            </w:r>
            <w:r>
              <w:rPr>
                <w:rFonts w:ascii="宋体" w:hAnsi="宋体" w:cs="宋体" w:eastAsia="宋体" w:hint="default"/>
                <w:spacing w:val="-18"/>
                <w:sz w:val="18"/>
                <w:szCs w:val="18"/>
              </w:rPr>
              <w:t>试、技术</w:t>
            </w:r>
            <w:r>
              <w:rPr>
                <w:rFonts w:ascii="宋体" w:hAnsi="宋体" w:cs="宋体" w:eastAsia="宋体" w:hint="default"/>
                <w:sz w:val="18"/>
                <w:szCs w:val="18"/>
              </w:rPr>
              <w:t> 服务</w:t>
            </w:r>
          </w:p>
        </w:tc>
        <w:tc>
          <w:tcPr>
            <w:tcW w:w="682" w:type="dxa"/>
            <w:vMerge/>
            <w:tcBorders>
              <w:left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6"/>
              <w:jc w:val="right"/>
              <w:rPr>
                <w:rFonts w:ascii="Times New Roman" w:hAnsi="Times New Roman" w:cs="Times New Roman" w:eastAsia="Times New Roman" w:hint="default"/>
                <w:sz w:val="18"/>
                <w:szCs w:val="18"/>
              </w:rPr>
            </w:pPr>
            <w:r>
              <w:rPr>
                <w:rFonts w:ascii="Times New Roman"/>
                <w:sz w:val="18"/>
              </w:rPr>
              <w:t>18.11</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4.88%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w:t>
            </w: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r>
      <w:tr>
        <w:trPr>
          <w:trHeight w:val="1028"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98" w:right="96"/>
              <w:jc w:val="both"/>
              <w:rPr>
                <w:rFonts w:ascii="宋体" w:hAnsi="宋体" w:cs="宋体" w:eastAsia="宋体" w:hint="default"/>
                <w:sz w:val="18"/>
                <w:szCs w:val="18"/>
              </w:rPr>
            </w:pPr>
            <w:r>
              <w:rPr>
                <w:rFonts w:ascii="宋体" w:hAnsi="宋体" w:cs="宋体" w:eastAsia="宋体" w:hint="default"/>
                <w:sz w:val="18"/>
                <w:szCs w:val="18"/>
              </w:rPr>
              <w:t>广电 城市 服务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9" w:right="79"/>
              <w:jc w:val="center"/>
              <w:rPr>
                <w:rFonts w:ascii="宋体" w:hAnsi="宋体" w:cs="宋体" w:eastAsia="宋体" w:hint="default"/>
                <w:sz w:val="18"/>
                <w:szCs w:val="18"/>
              </w:rPr>
            </w:pPr>
            <w:r>
              <w:rPr>
                <w:rFonts w:ascii="宋体" w:hAnsi="宋体" w:cs="宋体" w:eastAsia="宋体" w:hint="default"/>
                <w:sz w:val="18"/>
                <w:szCs w:val="18"/>
              </w:rPr>
              <w:t>同一最 终母公 司</w:t>
            </w:r>
          </w:p>
        </w:tc>
        <w:tc>
          <w:tcPr>
            <w:tcW w:w="878" w:type="dxa"/>
            <w:vMerge/>
            <w:tcBorders>
              <w:left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60" w:lineRule="auto"/>
              <w:ind w:left="167" w:right="164"/>
              <w:jc w:val="left"/>
              <w:rPr>
                <w:rFonts w:ascii="宋体" w:hAnsi="宋体" w:cs="宋体" w:eastAsia="宋体" w:hint="default"/>
                <w:sz w:val="18"/>
                <w:szCs w:val="18"/>
              </w:rPr>
            </w:pPr>
            <w:r>
              <w:rPr>
                <w:rFonts w:ascii="宋体" w:hAnsi="宋体" w:cs="宋体" w:eastAsia="宋体" w:hint="default"/>
                <w:sz w:val="18"/>
                <w:szCs w:val="18"/>
              </w:rPr>
              <w:t>物业 管理</w:t>
            </w:r>
          </w:p>
        </w:tc>
        <w:tc>
          <w:tcPr>
            <w:tcW w:w="682" w:type="dxa"/>
            <w:vMerge/>
            <w:tcBorders>
              <w:left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Times New Roman" w:hAnsi="Times New Roman" w:cs="Times New Roman" w:eastAsia="Times New Roman" w:hint="default"/>
                <w:sz w:val="18"/>
                <w:szCs w:val="18"/>
              </w:rPr>
            </w:pPr>
            <w:r>
              <w:rPr>
                <w:rFonts w:ascii="Times New Roman"/>
                <w:spacing w:val="-1"/>
                <w:sz w:val="18"/>
              </w:rPr>
              <w:t>775.30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10.69%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820</w:t>
            </w: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r>
      <w:tr>
        <w:trPr>
          <w:trHeight w:val="1025"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广电 计量</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79" w:right="79"/>
              <w:jc w:val="center"/>
              <w:rPr>
                <w:rFonts w:ascii="宋体" w:hAnsi="宋体" w:cs="宋体" w:eastAsia="宋体" w:hint="default"/>
                <w:sz w:val="18"/>
                <w:szCs w:val="18"/>
              </w:rPr>
            </w:pPr>
            <w:r>
              <w:rPr>
                <w:rFonts w:ascii="宋体" w:hAnsi="宋体" w:cs="宋体" w:eastAsia="宋体" w:hint="default"/>
                <w:sz w:val="18"/>
                <w:szCs w:val="18"/>
              </w:rPr>
              <w:t>同一最 终母公 司</w:t>
            </w:r>
          </w:p>
        </w:tc>
        <w:tc>
          <w:tcPr>
            <w:tcW w:w="878" w:type="dxa"/>
            <w:vMerge/>
            <w:tcBorders>
              <w:left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57" w:lineRule="auto"/>
              <w:ind w:left="167" w:right="164"/>
              <w:jc w:val="left"/>
              <w:rPr>
                <w:rFonts w:ascii="宋体" w:hAnsi="宋体" w:cs="宋体" w:eastAsia="宋体" w:hint="default"/>
                <w:sz w:val="18"/>
                <w:szCs w:val="18"/>
              </w:rPr>
            </w:pPr>
            <w:r>
              <w:rPr>
                <w:rFonts w:ascii="宋体" w:hAnsi="宋体" w:cs="宋体" w:eastAsia="宋体" w:hint="default"/>
                <w:sz w:val="18"/>
                <w:szCs w:val="18"/>
              </w:rPr>
              <w:t>计量 检测</w:t>
            </w:r>
          </w:p>
        </w:tc>
        <w:tc>
          <w:tcPr>
            <w:tcW w:w="682" w:type="dxa"/>
            <w:vMerge/>
            <w:tcBorders>
              <w:left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6"/>
              <w:jc w:val="right"/>
              <w:rPr>
                <w:rFonts w:ascii="Times New Roman" w:hAnsi="Times New Roman" w:cs="Times New Roman" w:eastAsia="Times New Roman" w:hint="default"/>
                <w:sz w:val="18"/>
                <w:szCs w:val="18"/>
              </w:rPr>
            </w:pPr>
            <w:r>
              <w:rPr>
                <w:rFonts w:ascii="Times New Roman"/>
                <w:sz w:val="18"/>
              </w:rPr>
              <w:t>12.30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3.31%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w:t>
            </w: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r>
      <w:tr>
        <w:trPr>
          <w:trHeight w:val="1027"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98" w:right="96"/>
              <w:jc w:val="both"/>
              <w:rPr>
                <w:rFonts w:ascii="宋体" w:hAnsi="宋体" w:cs="宋体" w:eastAsia="宋体" w:hint="default"/>
                <w:sz w:val="18"/>
                <w:szCs w:val="18"/>
              </w:rPr>
            </w:pPr>
            <w:r>
              <w:rPr>
                <w:rFonts w:ascii="宋体" w:hAnsi="宋体" w:cs="宋体" w:eastAsia="宋体" w:hint="default"/>
                <w:sz w:val="18"/>
                <w:szCs w:val="18"/>
              </w:rPr>
              <w:t>广电 国际 商贸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9" w:right="79"/>
              <w:jc w:val="center"/>
              <w:rPr>
                <w:rFonts w:ascii="宋体" w:hAnsi="宋体" w:cs="宋体" w:eastAsia="宋体" w:hint="default"/>
                <w:sz w:val="18"/>
                <w:szCs w:val="18"/>
              </w:rPr>
            </w:pPr>
            <w:r>
              <w:rPr>
                <w:rFonts w:ascii="宋体" w:hAnsi="宋体" w:cs="宋体" w:eastAsia="宋体" w:hint="default"/>
                <w:sz w:val="18"/>
                <w:szCs w:val="18"/>
              </w:rPr>
              <w:t>同一最 终母公 司</w:t>
            </w:r>
          </w:p>
        </w:tc>
        <w:tc>
          <w:tcPr>
            <w:tcW w:w="878" w:type="dxa"/>
            <w:vMerge/>
            <w:tcBorders>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出口代 理</w:t>
            </w:r>
          </w:p>
        </w:tc>
        <w:tc>
          <w:tcPr>
            <w:tcW w:w="682" w:type="dxa"/>
            <w:vMerge/>
            <w:tcBorders>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0.00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w:t>
            </w: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r>
      <w:tr>
        <w:trPr>
          <w:trHeight w:val="1133"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19" w:lineRule="auto"/>
              <w:ind w:left="98" w:right="96"/>
              <w:jc w:val="left"/>
              <w:rPr>
                <w:rFonts w:ascii="宋体" w:hAnsi="宋体" w:cs="宋体" w:eastAsia="宋体" w:hint="default"/>
                <w:sz w:val="18"/>
                <w:szCs w:val="18"/>
              </w:rPr>
            </w:pPr>
            <w:r>
              <w:rPr>
                <w:rFonts w:ascii="宋体" w:hAnsi="宋体" w:cs="宋体" w:eastAsia="宋体" w:hint="default"/>
                <w:sz w:val="18"/>
                <w:szCs w:val="18"/>
              </w:rPr>
              <w:t>海格 通信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1"/>
              <w:ind w:left="79" w:right="79"/>
              <w:jc w:val="center"/>
              <w:rPr>
                <w:rFonts w:ascii="宋体" w:hAnsi="宋体" w:cs="宋体" w:eastAsia="宋体" w:hint="default"/>
                <w:sz w:val="18"/>
                <w:szCs w:val="18"/>
              </w:rPr>
            </w:pPr>
            <w:r>
              <w:rPr>
                <w:rFonts w:ascii="宋体" w:hAnsi="宋体" w:cs="宋体" w:eastAsia="宋体" w:hint="default"/>
                <w:sz w:val="18"/>
                <w:szCs w:val="18"/>
              </w:rPr>
              <w:t>同一最 终母公 司</w:t>
            </w:r>
          </w:p>
        </w:tc>
        <w:tc>
          <w:tcPr>
            <w:tcW w:w="8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14" w:lineRule="auto"/>
              <w:ind w:left="74" w:right="72"/>
              <w:jc w:val="left"/>
              <w:rPr>
                <w:rFonts w:ascii="宋体" w:hAnsi="宋体" w:cs="宋体" w:eastAsia="宋体" w:hint="default"/>
                <w:sz w:val="18"/>
                <w:szCs w:val="18"/>
              </w:rPr>
            </w:pPr>
            <w:r>
              <w:rPr>
                <w:rFonts w:ascii="宋体" w:hAnsi="宋体" w:cs="宋体" w:eastAsia="宋体" w:hint="default"/>
                <w:sz w:val="18"/>
                <w:szCs w:val="18"/>
              </w:rPr>
              <w:t>向关联人 提供服务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357" w:lineRule="auto"/>
              <w:ind w:left="167" w:right="164"/>
              <w:jc w:val="left"/>
              <w:rPr>
                <w:rFonts w:ascii="宋体" w:hAnsi="宋体" w:cs="宋体" w:eastAsia="宋体" w:hint="default"/>
                <w:sz w:val="18"/>
                <w:szCs w:val="18"/>
              </w:rPr>
            </w:pPr>
            <w:r>
              <w:rPr>
                <w:rFonts w:ascii="宋体" w:hAnsi="宋体" w:cs="宋体" w:eastAsia="宋体" w:hint="default"/>
                <w:sz w:val="18"/>
                <w:szCs w:val="18"/>
              </w:rPr>
              <w:t>试验 检测</w:t>
            </w: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60" w:lineRule="auto"/>
              <w:ind w:left="155" w:right="155"/>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0.00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60" w:lineRule="auto"/>
              <w:ind w:left="151" w:right="151"/>
              <w:jc w:val="left"/>
              <w:rPr>
                <w:rFonts w:ascii="宋体" w:hAnsi="宋体" w:cs="宋体" w:eastAsia="宋体" w:hint="default"/>
                <w:sz w:val="18"/>
                <w:szCs w:val="18"/>
              </w:rPr>
            </w:pPr>
            <w:r>
              <w:rPr>
                <w:rFonts w:ascii="宋体" w:hAnsi="宋体" w:cs="宋体" w:eastAsia="宋体" w:hint="default"/>
                <w:sz w:val="18"/>
                <w:szCs w:val="18"/>
              </w:rPr>
              <w:t>转账 结算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r>
      <w:tr>
        <w:trPr>
          <w:trHeight w:val="1130"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171"/>
              <w:jc w:val="both"/>
              <w:rPr>
                <w:rFonts w:ascii="宋体" w:hAnsi="宋体" w:cs="宋体" w:eastAsia="宋体" w:hint="default"/>
                <w:sz w:val="18"/>
                <w:szCs w:val="18"/>
              </w:rPr>
            </w:pPr>
            <w:r>
              <w:rPr>
                <w:rFonts w:ascii="宋体" w:hAnsi="宋体" w:cs="宋体" w:eastAsia="宋体" w:hint="default"/>
                <w:sz w:val="18"/>
                <w:szCs w:val="18"/>
              </w:rPr>
              <w:t>广电 城市 服务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79" w:right="79"/>
              <w:jc w:val="center"/>
              <w:rPr>
                <w:rFonts w:ascii="宋体" w:hAnsi="宋体" w:cs="宋体" w:eastAsia="宋体" w:hint="default"/>
                <w:sz w:val="18"/>
                <w:szCs w:val="18"/>
              </w:rPr>
            </w:pPr>
            <w:r>
              <w:rPr>
                <w:rFonts w:ascii="宋体" w:hAnsi="宋体" w:cs="宋体" w:eastAsia="宋体" w:hint="default"/>
                <w:sz w:val="18"/>
                <w:szCs w:val="18"/>
              </w:rPr>
              <w:t>同一最 终母公 司</w:t>
            </w:r>
          </w:p>
        </w:tc>
        <w:tc>
          <w:tcPr>
            <w:tcW w:w="878" w:type="dxa"/>
            <w:vMerge/>
            <w:tcBorders>
              <w:left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56" w:right="75" w:hanging="180"/>
              <w:jc w:val="left"/>
              <w:rPr>
                <w:rFonts w:ascii="宋体" w:hAnsi="宋体" w:cs="宋体" w:eastAsia="宋体" w:hint="default"/>
                <w:sz w:val="18"/>
                <w:szCs w:val="18"/>
              </w:rPr>
            </w:pPr>
            <w:r>
              <w:rPr>
                <w:rFonts w:ascii="宋体" w:hAnsi="宋体" w:cs="宋体" w:eastAsia="宋体" w:hint="default"/>
                <w:sz w:val="18"/>
                <w:szCs w:val="18"/>
              </w:rPr>
              <w:t>物业管 理</w:t>
            </w:r>
          </w:p>
        </w:tc>
        <w:tc>
          <w:tcPr>
            <w:tcW w:w="682" w:type="dxa"/>
            <w:vMerge/>
            <w:tcBorders>
              <w:left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0.00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r>
      <w:tr>
        <w:trPr>
          <w:trHeight w:val="1133"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4"/>
              <w:ind w:left="24" w:right="171"/>
              <w:jc w:val="both"/>
              <w:rPr>
                <w:rFonts w:ascii="宋体" w:hAnsi="宋体" w:cs="宋体" w:eastAsia="宋体" w:hint="default"/>
                <w:sz w:val="18"/>
                <w:szCs w:val="18"/>
              </w:rPr>
            </w:pPr>
            <w:r>
              <w:rPr>
                <w:rFonts w:ascii="宋体" w:hAnsi="宋体" w:cs="宋体" w:eastAsia="宋体" w:hint="default"/>
                <w:sz w:val="18"/>
                <w:szCs w:val="18"/>
              </w:rPr>
              <w:t>广电 研究 院</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79" w:right="79"/>
              <w:jc w:val="center"/>
              <w:rPr>
                <w:rFonts w:ascii="宋体" w:hAnsi="宋体" w:cs="宋体" w:eastAsia="宋体" w:hint="default"/>
                <w:sz w:val="18"/>
                <w:szCs w:val="18"/>
              </w:rPr>
            </w:pPr>
            <w:r>
              <w:rPr>
                <w:rFonts w:ascii="宋体" w:hAnsi="宋体" w:cs="宋体" w:eastAsia="宋体" w:hint="default"/>
                <w:sz w:val="18"/>
                <w:szCs w:val="18"/>
              </w:rPr>
              <w:t>同一最 终母公 司</w:t>
            </w:r>
          </w:p>
        </w:tc>
        <w:tc>
          <w:tcPr>
            <w:tcW w:w="878" w:type="dxa"/>
            <w:vMerge/>
            <w:tcBorders>
              <w:left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56" w:right="75" w:hanging="180"/>
              <w:jc w:val="left"/>
              <w:rPr>
                <w:rFonts w:ascii="宋体" w:hAnsi="宋体" w:cs="宋体" w:eastAsia="宋体" w:hint="default"/>
                <w:sz w:val="18"/>
                <w:szCs w:val="18"/>
              </w:rPr>
            </w:pPr>
            <w:r>
              <w:rPr>
                <w:rFonts w:ascii="宋体" w:hAnsi="宋体" w:cs="宋体" w:eastAsia="宋体" w:hint="default"/>
                <w:sz w:val="18"/>
                <w:szCs w:val="18"/>
              </w:rPr>
              <w:t>计量检 测</w:t>
            </w:r>
          </w:p>
        </w:tc>
        <w:tc>
          <w:tcPr>
            <w:tcW w:w="682" w:type="dxa"/>
            <w:vMerge/>
            <w:tcBorders>
              <w:left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3"/>
              <w:jc w:val="right"/>
              <w:rPr>
                <w:rFonts w:ascii="Times New Roman" w:hAnsi="Times New Roman" w:cs="Times New Roman" w:eastAsia="Times New Roman" w:hint="default"/>
                <w:sz w:val="18"/>
                <w:szCs w:val="18"/>
              </w:rPr>
            </w:pPr>
            <w:r>
              <w:rPr>
                <w:rFonts w:ascii="Times New Roman"/>
                <w:spacing w:val="-1"/>
                <w:sz w:val="18"/>
              </w:rPr>
              <w:t>670.38</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0.12%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r>
      <w:tr>
        <w:trPr>
          <w:trHeight w:val="1133"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16" w:lineRule="auto"/>
              <w:ind w:left="24" w:right="171"/>
              <w:jc w:val="left"/>
              <w:rPr>
                <w:rFonts w:ascii="宋体" w:hAnsi="宋体" w:cs="宋体" w:eastAsia="宋体" w:hint="default"/>
                <w:sz w:val="18"/>
                <w:szCs w:val="18"/>
              </w:rPr>
            </w:pPr>
            <w:r>
              <w:rPr>
                <w:rFonts w:ascii="宋体" w:hAnsi="宋体" w:cs="宋体" w:eastAsia="宋体" w:hint="default"/>
                <w:sz w:val="18"/>
                <w:szCs w:val="18"/>
              </w:rPr>
              <w:t>广州 辉远</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79" w:right="79"/>
              <w:jc w:val="center"/>
              <w:rPr>
                <w:rFonts w:ascii="宋体" w:hAnsi="宋体" w:cs="宋体" w:eastAsia="宋体" w:hint="default"/>
                <w:sz w:val="18"/>
                <w:szCs w:val="18"/>
              </w:rPr>
            </w:pPr>
            <w:r>
              <w:rPr>
                <w:rFonts w:ascii="宋体" w:hAnsi="宋体" w:cs="宋体" w:eastAsia="宋体" w:hint="default"/>
                <w:sz w:val="18"/>
                <w:szCs w:val="18"/>
              </w:rPr>
              <w:t>同一最 终母公 司</w:t>
            </w:r>
          </w:p>
        </w:tc>
        <w:tc>
          <w:tcPr>
            <w:tcW w:w="878" w:type="dxa"/>
            <w:vMerge/>
            <w:tcBorders>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56" w:right="75" w:hanging="180"/>
              <w:jc w:val="left"/>
              <w:rPr>
                <w:rFonts w:ascii="宋体" w:hAnsi="宋体" w:cs="宋体" w:eastAsia="宋体" w:hint="default"/>
                <w:sz w:val="18"/>
                <w:szCs w:val="18"/>
              </w:rPr>
            </w:pPr>
            <w:r>
              <w:rPr>
                <w:rFonts w:ascii="宋体" w:hAnsi="宋体" w:cs="宋体" w:eastAsia="宋体" w:hint="default"/>
                <w:sz w:val="18"/>
                <w:szCs w:val="18"/>
              </w:rPr>
              <w:t>出口代 理</w:t>
            </w:r>
          </w:p>
        </w:tc>
        <w:tc>
          <w:tcPr>
            <w:tcW w:w="682" w:type="dxa"/>
            <w:vMerge/>
            <w:tcBorders>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0.00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w:t>
            </w: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r>
      <w:tr>
        <w:trPr>
          <w:trHeight w:val="718"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1"/>
              <w:jc w:val="left"/>
              <w:rPr>
                <w:rFonts w:ascii="宋体" w:hAnsi="宋体" w:cs="宋体" w:eastAsia="宋体" w:hint="default"/>
                <w:sz w:val="18"/>
                <w:szCs w:val="18"/>
              </w:rPr>
            </w:pPr>
            <w:r>
              <w:rPr>
                <w:rFonts w:ascii="宋体" w:hAnsi="宋体" w:cs="宋体" w:eastAsia="宋体" w:hint="default"/>
                <w:sz w:val="18"/>
                <w:szCs w:val="18"/>
              </w:rPr>
              <w:t>广州 辉远</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59" w:right="79" w:hanging="180"/>
              <w:jc w:val="left"/>
              <w:rPr>
                <w:rFonts w:ascii="宋体" w:hAnsi="宋体" w:cs="宋体" w:eastAsia="宋体" w:hint="default"/>
                <w:sz w:val="18"/>
                <w:szCs w:val="18"/>
              </w:rPr>
            </w:pPr>
            <w:r>
              <w:rPr>
                <w:rFonts w:ascii="宋体" w:hAnsi="宋体" w:cs="宋体" w:eastAsia="宋体" w:hint="default"/>
                <w:sz w:val="18"/>
                <w:szCs w:val="18"/>
              </w:rPr>
              <w:t>参股公 司</w:t>
            </w:r>
          </w:p>
        </w:tc>
        <w:tc>
          <w:tcPr>
            <w:tcW w:w="8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6" w:lineRule="auto"/>
              <w:ind w:left="74" w:right="72"/>
              <w:jc w:val="left"/>
              <w:rPr>
                <w:rFonts w:ascii="宋体" w:hAnsi="宋体" w:cs="宋体" w:eastAsia="宋体" w:hint="default"/>
                <w:sz w:val="18"/>
                <w:szCs w:val="18"/>
              </w:rPr>
            </w:pPr>
            <w:r>
              <w:rPr>
                <w:rFonts w:ascii="宋体" w:hAnsi="宋体" w:cs="宋体" w:eastAsia="宋体" w:hint="default"/>
                <w:sz w:val="18"/>
                <w:szCs w:val="18"/>
              </w:rPr>
              <w:t>向关联人 销售商品</w:t>
            </w:r>
          </w:p>
        </w:tc>
        <w:tc>
          <w:tcPr>
            <w:tcW w:w="7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357" w:lineRule="auto"/>
              <w:ind w:left="167" w:right="164"/>
              <w:jc w:val="left"/>
              <w:rPr>
                <w:rFonts w:ascii="宋体" w:hAnsi="宋体" w:cs="宋体" w:eastAsia="宋体" w:hint="default"/>
                <w:sz w:val="18"/>
                <w:szCs w:val="18"/>
              </w:rPr>
            </w:pPr>
            <w:r>
              <w:rPr>
                <w:rFonts w:ascii="宋体" w:hAnsi="宋体" w:cs="宋体" w:eastAsia="宋体" w:hint="default"/>
                <w:sz w:val="18"/>
                <w:szCs w:val="18"/>
              </w:rPr>
              <w:t>出售 商品</w:t>
            </w: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357" w:lineRule="auto"/>
              <w:ind w:left="155" w:right="155"/>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6"/>
              <w:jc w:val="right"/>
              <w:rPr>
                <w:rFonts w:ascii="Times New Roman" w:hAnsi="Times New Roman" w:cs="Times New Roman" w:eastAsia="Times New Roman" w:hint="default"/>
                <w:sz w:val="18"/>
                <w:szCs w:val="18"/>
              </w:rPr>
            </w:pPr>
            <w:r>
              <w:rPr>
                <w:rFonts w:ascii="Times New Roman"/>
                <w:sz w:val="18"/>
              </w:rPr>
              <w:t>97.11</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0.02%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r>
      <w:tr>
        <w:trPr>
          <w:trHeight w:val="1130"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4" w:right="171"/>
              <w:jc w:val="both"/>
              <w:rPr>
                <w:rFonts w:ascii="宋体" w:hAnsi="宋体" w:cs="宋体" w:eastAsia="宋体" w:hint="default"/>
                <w:sz w:val="18"/>
                <w:szCs w:val="18"/>
              </w:rPr>
            </w:pPr>
            <w:r>
              <w:rPr>
                <w:rFonts w:ascii="宋体" w:hAnsi="宋体" w:cs="宋体" w:eastAsia="宋体" w:hint="default"/>
                <w:sz w:val="18"/>
                <w:szCs w:val="18"/>
              </w:rPr>
              <w:t>广电 城市 服务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79" w:right="79"/>
              <w:jc w:val="center"/>
              <w:rPr>
                <w:rFonts w:ascii="宋体" w:hAnsi="宋体" w:cs="宋体" w:eastAsia="宋体" w:hint="default"/>
                <w:sz w:val="18"/>
                <w:szCs w:val="18"/>
              </w:rPr>
            </w:pPr>
            <w:r>
              <w:rPr>
                <w:rFonts w:ascii="宋体" w:hAnsi="宋体" w:cs="宋体" w:eastAsia="宋体" w:hint="default"/>
                <w:sz w:val="18"/>
                <w:szCs w:val="18"/>
              </w:rPr>
              <w:t>同一最 终母公 司</w:t>
            </w:r>
          </w:p>
        </w:tc>
        <w:tc>
          <w:tcPr>
            <w:tcW w:w="878" w:type="dxa"/>
            <w:vMerge/>
            <w:tcBorders>
              <w:left w:val="single" w:sz="4" w:space="0" w:color="000000"/>
              <w:right w:val="single" w:sz="4" w:space="0" w:color="000000"/>
            </w:tcBorders>
          </w:tcPr>
          <w:p>
            <w:pPr/>
          </w:p>
        </w:tc>
        <w:tc>
          <w:tcPr>
            <w:tcW w:w="70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46"/>
              <w:jc w:val="right"/>
              <w:rPr>
                <w:rFonts w:ascii="Times New Roman" w:hAnsi="Times New Roman" w:cs="Times New Roman" w:eastAsia="Times New Roman" w:hint="default"/>
                <w:sz w:val="18"/>
                <w:szCs w:val="18"/>
              </w:rPr>
            </w:pPr>
            <w:r>
              <w:rPr>
                <w:rFonts w:ascii="Times New Roman"/>
                <w:sz w:val="18"/>
              </w:rPr>
              <w:t>23.12</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0" w:lineRule="auto" w:before="129"/>
              <w:ind w:left="151" w:right="151"/>
              <w:jc w:val="left"/>
              <w:rPr>
                <w:rFonts w:ascii="宋体" w:hAnsi="宋体" w:cs="宋体" w:eastAsia="宋体" w:hint="default"/>
                <w:sz w:val="18"/>
                <w:szCs w:val="18"/>
              </w:rPr>
            </w:pPr>
            <w:r>
              <w:rPr>
                <w:rFonts w:ascii="宋体" w:hAnsi="宋体" w:cs="宋体" w:eastAsia="宋体" w:hint="default"/>
                <w:sz w:val="18"/>
                <w:szCs w:val="18"/>
              </w:rPr>
              <w:t>转账 结算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r>
      <w:tr>
        <w:trPr>
          <w:trHeight w:val="1028"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71"/>
              <w:jc w:val="left"/>
              <w:rPr>
                <w:rFonts w:ascii="宋体" w:hAnsi="宋体" w:cs="宋体" w:eastAsia="宋体" w:hint="default"/>
                <w:sz w:val="18"/>
                <w:szCs w:val="18"/>
              </w:rPr>
            </w:pPr>
            <w:r>
              <w:rPr>
                <w:rFonts w:ascii="宋体" w:hAnsi="宋体" w:cs="宋体" w:eastAsia="宋体" w:hint="default"/>
                <w:sz w:val="18"/>
                <w:szCs w:val="18"/>
              </w:rPr>
              <w:t>广电 智能</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79" w:right="79"/>
              <w:jc w:val="center"/>
              <w:rPr>
                <w:rFonts w:ascii="宋体" w:hAnsi="宋体" w:cs="宋体" w:eastAsia="宋体" w:hint="default"/>
                <w:sz w:val="18"/>
                <w:szCs w:val="18"/>
              </w:rPr>
            </w:pPr>
            <w:r>
              <w:rPr>
                <w:rFonts w:ascii="宋体" w:hAnsi="宋体" w:cs="宋体" w:eastAsia="宋体" w:hint="default"/>
                <w:sz w:val="18"/>
                <w:szCs w:val="18"/>
              </w:rPr>
              <w:t>同一最 终母公 司</w:t>
            </w:r>
          </w:p>
        </w:tc>
        <w:tc>
          <w:tcPr>
            <w:tcW w:w="878" w:type="dxa"/>
            <w:vMerge/>
            <w:tcBorders>
              <w:left w:val="single" w:sz="4" w:space="0" w:color="000000"/>
              <w:bottom w:val="single" w:sz="4" w:space="0" w:color="000000"/>
              <w:right w:val="single" w:sz="4" w:space="0" w:color="000000"/>
            </w:tcBorders>
          </w:tcPr>
          <w:p>
            <w:pPr/>
          </w:p>
        </w:tc>
        <w:tc>
          <w:tcPr>
            <w:tcW w:w="70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1.54</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567"/>
        <w:gridCol w:w="710"/>
        <w:gridCol w:w="878"/>
        <w:gridCol w:w="704"/>
        <w:gridCol w:w="682"/>
        <w:gridCol w:w="430"/>
        <w:gridCol w:w="917"/>
        <w:gridCol w:w="675"/>
        <w:gridCol w:w="674"/>
        <w:gridCol w:w="674"/>
        <w:gridCol w:w="674"/>
        <w:gridCol w:w="673"/>
        <w:gridCol w:w="672"/>
        <w:gridCol w:w="641"/>
      </w:tblGrid>
      <w:tr>
        <w:trPr>
          <w:trHeight w:val="718"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1"/>
              <w:jc w:val="left"/>
              <w:rPr>
                <w:rFonts w:ascii="宋体" w:hAnsi="宋体" w:cs="宋体" w:eastAsia="宋体" w:hint="default"/>
                <w:sz w:val="18"/>
                <w:szCs w:val="18"/>
              </w:rPr>
            </w:pPr>
            <w:r>
              <w:rPr>
                <w:rFonts w:ascii="宋体" w:hAnsi="宋体" w:cs="宋体" w:eastAsia="宋体" w:hint="default"/>
                <w:sz w:val="18"/>
                <w:szCs w:val="18"/>
              </w:rPr>
              <w:t>链达 金服</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59" w:right="79" w:hanging="180"/>
              <w:jc w:val="left"/>
              <w:rPr>
                <w:rFonts w:ascii="宋体" w:hAnsi="宋体" w:cs="宋体" w:eastAsia="宋体" w:hint="default"/>
                <w:sz w:val="18"/>
                <w:szCs w:val="18"/>
              </w:rPr>
            </w:pPr>
            <w:r>
              <w:rPr>
                <w:rFonts w:ascii="宋体" w:hAnsi="宋体" w:cs="宋体" w:eastAsia="宋体" w:hint="default"/>
                <w:sz w:val="18"/>
                <w:szCs w:val="18"/>
              </w:rPr>
              <w:t>参股公 司</w:t>
            </w:r>
          </w:p>
        </w:tc>
        <w:tc>
          <w:tcPr>
            <w:tcW w:w="878" w:type="dxa"/>
            <w:vMerge w:val="restart"/>
            <w:tcBorders>
              <w:top w:val="single" w:sz="4" w:space="0" w:color="000000"/>
              <w:left w:val="single" w:sz="4" w:space="0" w:color="000000"/>
              <w:right w:val="single" w:sz="4" w:space="0" w:color="000000"/>
            </w:tcBorders>
          </w:tcPr>
          <w:p>
            <w:pPr/>
          </w:p>
        </w:tc>
        <w:tc>
          <w:tcPr>
            <w:tcW w:w="70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2.00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vMerge w:val="restart"/>
            <w:tcBorders>
              <w:top w:val="single" w:sz="4" w:space="0" w:color="000000"/>
              <w:left w:val="single" w:sz="4" w:space="0" w:color="000000"/>
              <w:right w:val="single" w:sz="4" w:space="0" w:color="000000"/>
            </w:tcBorders>
          </w:tcPr>
          <w:p>
            <w:pPr/>
          </w:p>
        </w:tc>
        <w:tc>
          <w:tcPr>
            <w:tcW w:w="674" w:type="dxa"/>
            <w:vMerge w:val="restart"/>
            <w:tcBorders>
              <w:top w:val="single" w:sz="4" w:space="0" w:color="000000"/>
              <w:left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1"/>
              <w:jc w:val="both"/>
              <w:rPr>
                <w:rFonts w:ascii="宋体" w:hAnsi="宋体" w:cs="宋体" w:eastAsia="宋体" w:hint="default"/>
                <w:sz w:val="18"/>
                <w:szCs w:val="18"/>
              </w:rPr>
            </w:pPr>
            <w:r>
              <w:rPr>
                <w:rFonts w:ascii="宋体" w:hAnsi="宋体" w:cs="宋体" w:eastAsia="宋体" w:hint="default"/>
                <w:sz w:val="18"/>
                <w:szCs w:val="18"/>
              </w:rPr>
              <w:t>无线 电集 团</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79" w:right="79"/>
              <w:jc w:val="center"/>
              <w:rPr>
                <w:rFonts w:ascii="宋体" w:hAnsi="宋体" w:cs="宋体" w:eastAsia="宋体" w:hint="default"/>
                <w:sz w:val="18"/>
                <w:szCs w:val="18"/>
              </w:rPr>
            </w:pPr>
            <w:r>
              <w:rPr>
                <w:rFonts w:ascii="宋体" w:hAnsi="宋体" w:cs="宋体" w:eastAsia="宋体" w:hint="default"/>
                <w:sz w:val="18"/>
                <w:szCs w:val="18"/>
              </w:rPr>
              <w:t>同一最 终母公 司</w:t>
            </w:r>
          </w:p>
        </w:tc>
        <w:tc>
          <w:tcPr>
            <w:tcW w:w="878" w:type="dxa"/>
            <w:vMerge/>
            <w:tcBorders>
              <w:left w:val="single" w:sz="4" w:space="0" w:color="000000"/>
              <w:bottom w:val="single" w:sz="4" w:space="0" w:color="000000"/>
              <w:right w:val="single" w:sz="4" w:space="0" w:color="000000"/>
            </w:tcBorders>
          </w:tcPr>
          <w:p>
            <w:pPr/>
          </w:p>
        </w:tc>
        <w:tc>
          <w:tcPr>
            <w:tcW w:w="70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10.45</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1" w:right="0"/>
              <w:jc w:val="left"/>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left="243" w:right="0"/>
              <w:jc w:val="left"/>
              <w:rPr>
                <w:rFonts w:ascii="Times New Roman" w:hAnsi="Times New Roman" w:cs="Times New Roman" w:eastAsia="Times New Roman" w:hint="default"/>
                <w:sz w:val="18"/>
                <w:szCs w:val="18"/>
              </w:rPr>
            </w:pPr>
            <w:r>
              <w:rPr>
                <w:rFonts w:ascii="Times New Roman"/>
                <w:sz w:val="18"/>
              </w:rPr>
              <w:t>2,952.85</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left="235" w:right="0"/>
              <w:jc w:val="left"/>
              <w:rPr>
                <w:rFonts w:ascii="Times New Roman" w:hAnsi="Times New Roman" w:cs="Times New Roman" w:eastAsia="Times New Roman" w:hint="default"/>
                <w:sz w:val="18"/>
                <w:szCs w:val="18"/>
              </w:rPr>
            </w:pPr>
            <w:r>
              <w:rPr>
                <w:rFonts w:ascii="Times New Roman"/>
                <w:sz w:val="18"/>
              </w:rPr>
              <w:t>8,483</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192" w:hRule="exact"/>
        </w:trPr>
        <w:tc>
          <w:tcPr>
            <w:tcW w:w="2859"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11" w:type="dxa"/>
            <w:gridSpan w:val="10"/>
            <w:vMerge w:val="restart"/>
            <w:tcBorders>
              <w:top w:val="single" w:sz="4" w:space="0" w:color="000000"/>
              <w:left w:val="single" w:sz="10" w:space="0" w:color="D2D2D2"/>
              <w:right w:val="single" w:sz="4" w:space="0" w:color="000000"/>
            </w:tcBorders>
          </w:tcPr>
          <w:p>
            <w:pPr>
              <w:pStyle w:val="TableParagraph"/>
              <w:spacing w:line="297" w:lineRule="auto" w:before="49"/>
              <w:ind w:left="16" w:right="104"/>
              <w:jc w:val="left"/>
              <w:rPr>
                <w:rFonts w:ascii="宋体" w:hAnsi="宋体" w:cs="宋体" w:eastAsia="宋体" w:hint="default"/>
                <w:sz w:val="18"/>
                <w:szCs w:val="18"/>
              </w:rPr>
            </w:pPr>
            <w:r>
              <w:rPr>
                <w:rFonts w:ascii="宋体" w:hAnsi="宋体" w:cs="宋体" w:eastAsia="宋体" w:hint="default"/>
                <w:sz w:val="18"/>
                <w:szCs w:val="18"/>
              </w:rPr>
              <w:t>公司按类别对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年将发生的日常关联交易进行总金额预计，详见上述公告，实际 执行情况列示于上表中。</w:t>
            </w:r>
          </w:p>
          <w:p>
            <w:pPr>
              <w:pStyle w:val="TableParagraph"/>
              <w:spacing w:line="240" w:lineRule="auto" w:before="74"/>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、因公司采购需求调整，故公司与海格通信、广电智能的采购合同减少；</w:t>
            </w:r>
          </w:p>
          <w:p>
            <w:pPr>
              <w:pStyle w:val="TableParagraph"/>
              <w:spacing w:line="300" w:lineRule="auto" w:before="103"/>
              <w:ind w:left="16"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、因对软件测试、计量检测的需求不及预期，故与海格通信发生的软件测试费用及 与广电计量发生的计量检测费用都较预计减少；</w:t>
            </w:r>
          </w:p>
          <w:p>
            <w:pPr>
              <w:pStyle w:val="TableParagraph"/>
              <w:spacing w:line="240" w:lineRule="auto" w:before="70"/>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、公司相关业务直接销往国际市场，与广电国际商贸没有发生交易；</w:t>
            </w:r>
          </w:p>
          <w:p>
            <w:pPr>
              <w:pStyle w:val="TableParagraph"/>
              <w:spacing w:line="300" w:lineRule="auto" w:before="103"/>
              <w:ind w:left="16"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、因广电研究院预计的项目未完成，广电城市服务预计的项目未发生，故公司向广 电研究院、广电城市服务提供软件开发、技术服务比预计减少；</w:t>
            </w:r>
          </w:p>
          <w:p>
            <w:pPr>
              <w:pStyle w:val="TableParagraph"/>
              <w:spacing w:line="240" w:lineRule="auto" w:before="72"/>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、公司向无线电集团、广电智能、链达金服出售商品事项属于偶发性关联交易，</w:t>
            </w:r>
            <w:r>
              <w:rPr>
                <w:rFonts w:ascii="Times New Roman" w:hAnsi="Times New Roman" w:cs="Times New Roman" w:eastAsia="Times New Roman" w:hint="default"/>
                <w:spacing w:val="-3"/>
                <w:sz w:val="18"/>
                <w:szCs w:val="18"/>
              </w:rPr>
              <w:t>2018</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年初未进行预计，实际发生金额较小；</w:t>
            </w:r>
          </w:p>
          <w:p>
            <w:pPr>
              <w:pStyle w:val="TableParagraph"/>
              <w:spacing w:line="240" w:lineRule="auto" w:before="115"/>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、广州辉远采购需求减少，公司与广州辉远的销售合同减少；</w:t>
            </w:r>
          </w:p>
          <w:p>
            <w:pPr>
              <w:pStyle w:val="TableParagraph"/>
              <w:spacing w:line="324" w:lineRule="auto" w:before="103"/>
              <w:ind w:left="16"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、公司日常关联交易实际发生总金额在预计范围内。 关联方日常关联交易的发生基于实际市场需求和业务发展情况，较难进行准确预计。 公司在进行年度日常关联交易预计时，主要从控制各项关联交易的总规模方面来考 虑，根据市场情况按照可能发生关联交易的金额上限进行预计，因此，公司关联交易 预计与实际发生情况会存在差异，但其对公司日常经营及业绩影响较小。</w:t>
            </w:r>
          </w:p>
        </w:tc>
      </w:tr>
      <w:tr>
        <w:trPr>
          <w:trHeight w:val="1018" w:hRule="exact"/>
        </w:trPr>
        <w:tc>
          <w:tcPr>
            <w:tcW w:w="2859"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w:t>
            </w:r>
          </w:p>
        </w:tc>
        <w:tc>
          <w:tcPr>
            <w:tcW w:w="6711" w:type="dxa"/>
            <w:gridSpan w:val="10"/>
            <w:vMerge/>
            <w:tcBorders>
              <w:left w:val="single" w:sz="10" w:space="0" w:color="D2D2D2"/>
              <w:right w:val="single" w:sz="4" w:space="0" w:color="000000"/>
            </w:tcBorders>
          </w:tcPr>
          <w:p>
            <w:pPr/>
          </w:p>
        </w:tc>
      </w:tr>
      <w:tr>
        <w:trPr>
          <w:trHeight w:val="2192" w:hRule="exact"/>
        </w:trPr>
        <w:tc>
          <w:tcPr>
            <w:tcW w:w="2859"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11" w:type="dxa"/>
            <w:gridSpan w:val="10"/>
            <w:vMerge/>
            <w:tcBorders>
              <w:left w:val="single" w:sz="10" w:space="0" w:color="D2D2D2"/>
              <w:bottom w:val="single" w:sz="4" w:space="0" w:color="000000"/>
              <w:right w:val="single" w:sz="4" w:space="0" w:color="000000"/>
            </w:tcBorders>
          </w:tcPr>
          <w:p>
            <w:pPr/>
          </w:p>
        </w:tc>
      </w:tr>
      <w:tr>
        <w:trPr>
          <w:trHeight w:val="715"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2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w:t>
            </w:r>
          </w:p>
        </w:tc>
        <w:tc>
          <w:tcPr>
            <w:tcW w:w="67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4"/>
        <w:rPr>
          <w:rFonts w:ascii="Times New Roman" w:hAnsi="Times New Roman" w:cs="Times New Roman" w:eastAsia="Times New Roman" w:hint="default"/>
          <w:sz w:val="22"/>
          <w:szCs w:val="22"/>
        </w:rPr>
      </w:pPr>
    </w:p>
    <w:p>
      <w:pPr>
        <w:pStyle w:val="Heading4"/>
        <w:spacing w:line="240" w:lineRule="auto" w:before="37"/>
        <w:ind w:right="1034"/>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11"/>
        <w:rPr>
          <w:rFonts w:ascii="宋体" w:hAnsi="宋体" w:cs="宋体" w:eastAsia="宋体" w:hint="default"/>
          <w:b/>
          <w:bCs/>
          <w:sz w:val="26"/>
          <w:szCs w:val="26"/>
        </w:rPr>
      </w:pPr>
    </w:p>
    <w:p>
      <w:pPr>
        <w:pStyle w:val="BodyText"/>
        <w:spacing w:line="338"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1"/>
        <w:rPr>
          <w:rFonts w:ascii="宋体" w:hAnsi="宋体" w:cs="宋体" w:eastAsia="宋体" w:hint="default"/>
          <w:sz w:val="22"/>
          <w:szCs w:val="22"/>
        </w:rPr>
      </w:pPr>
    </w:p>
    <w:p>
      <w:pPr>
        <w:pStyle w:val="Heading4"/>
        <w:spacing w:line="240" w:lineRule="auto"/>
        <w:ind w:right="1034"/>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11"/>
        <w:rPr>
          <w:rFonts w:ascii="宋体" w:hAnsi="宋体" w:cs="宋体" w:eastAsia="宋体" w:hint="default"/>
          <w:b/>
          <w:bCs/>
          <w:sz w:val="26"/>
          <w:szCs w:val="26"/>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10"/>
        <w:rPr>
          <w:rFonts w:ascii="宋体" w:hAnsi="宋体" w:cs="宋体" w:eastAsia="宋体" w:hint="default"/>
          <w:sz w:val="21"/>
          <w:szCs w:val="21"/>
        </w:rPr>
      </w:pPr>
    </w:p>
    <w:p>
      <w:pPr>
        <w:pStyle w:val="Heading4"/>
        <w:spacing w:line="240" w:lineRule="auto"/>
        <w:ind w:right="1034"/>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11"/>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是否存在非经营性关联债权债务往来</w:t>
      </w:r>
    </w:p>
    <w:p>
      <w:pPr>
        <w:pStyle w:val="BodyText"/>
        <w:spacing w:line="240" w:lineRule="auto" w:before="39"/>
        <w:ind w:right="10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1034"/>
        <w:jc w:val="left"/>
      </w:pPr>
      <w:r>
        <w:rPr/>
        <w:t>应收关联方债权</w:t>
      </w:r>
    </w:p>
    <w:p>
      <w:pPr>
        <w:spacing w:line="240" w:lineRule="auto" w:before="1"/>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1277"/>
        <w:gridCol w:w="1419"/>
        <w:gridCol w:w="708"/>
        <w:gridCol w:w="1276"/>
        <w:gridCol w:w="852"/>
        <w:gridCol w:w="991"/>
        <w:gridCol w:w="992"/>
        <w:gridCol w:w="285"/>
        <w:gridCol w:w="850"/>
        <w:gridCol w:w="920"/>
      </w:tblGrid>
      <w:tr>
        <w:trPr>
          <w:trHeight w:val="170" w:hRule="exact"/>
        </w:trPr>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57" w:lineRule="auto" w:before="39"/>
              <w:ind w:left="170" w:right="167"/>
              <w:jc w:val="left"/>
              <w:rPr>
                <w:rFonts w:ascii="宋体" w:hAnsi="宋体" w:cs="宋体" w:eastAsia="宋体" w:hint="default"/>
                <w:sz w:val="18"/>
                <w:szCs w:val="18"/>
              </w:rPr>
            </w:pPr>
            <w:r>
              <w:rPr>
                <w:rFonts w:ascii="宋体" w:hAnsi="宋体" w:cs="宋体" w:eastAsia="宋体" w:hint="default"/>
                <w:sz w:val="18"/>
                <w:szCs w:val="18"/>
              </w:rPr>
              <w:t>形成 原因</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93" w:right="90"/>
              <w:jc w:val="left"/>
              <w:rPr>
                <w:rFonts w:ascii="宋体" w:hAnsi="宋体" w:cs="宋体" w:eastAsia="宋体" w:hint="default"/>
                <w:sz w:val="18"/>
                <w:szCs w:val="18"/>
              </w:rPr>
            </w:pPr>
            <w:r>
              <w:rPr>
                <w:rFonts w:ascii="宋体" w:hAnsi="宋体" w:cs="宋体" w:eastAsia="宋体" w:hint="default"/>
                <w:sz w:val="18"/>
                <w:szCs w:val="18"/>
              </w:rPr>
              <w:t>是否存在非经 营性资金占用</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8"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5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39" w:right="41"/>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39" w:right="41"/>
              <w:jc w:val="left"/>
              <w:rPr>
                <w:rFonts w:ascii="宋体" w:hAnsi="宋体" w:cs="宋体" w:eastAsia="宋体" w:hint="default"/>
                <w:sz w:val="18"/>
                <w:szCs w:val="18"/>
              </w:rPr>
            </w:pPr>
            <w:r>
              <w:rPr>
                <w:rFonts w:ascii="宋体" w:hAnsi="宋体" w:cs="宋体" w:eastAsia="宋体" w:hint="default"/>
                <w:sz w:val="18"/>
                <w:szCs w:val="18"/>
              </w:rPr>
              <w:t>本期收回金 额（万元）</w:t>
            </w:r>
          </w:p>
        </w:tc>
        <w:tc>
          <w:tcPr>
            <w:tcW w:w="28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47" w:right="45"/>
              <w:jc w:val="left"/>
              <w:rPr>
                <w:rFonts w:ascii="宋体" w:hAnsi="宋体" w:cs="宋体" w:eastAsia="宋体" w:hint="default"/>
                <w:sz w:val="18"/>
                <w:szCs w:val="18"/>
              </w:rPr>
            </w:pPr>
            <w:r>
              <w:rPr>
                <w:rFonts w:ascii="宋体" w:hAnsi="宋体" w:cs="宋体" w:eastAsia="宋体" w:hint="default"/>
                <w:sz w:val="18"/>
                <w:szCs w:val="18"/>
              </w:rPr>
              <w:t>利 率</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8"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6"/>
              <w:ind w:left="5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94"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6"/>
              <w:ind w:left="94"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391" w:hRule="exact"/>
        </w:trPr>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62"/>
              <w:jc w:val="right"/>
              <w:rPr>
                <w:rFonts w:ascii="宋体" w:hAnsi="宋体" w:cs="宋体" w:eastAsia="宋体" w:hint="default"/>
                <w:sz w:val="18"/>
                <w:szCs w:val="18"/>
              </w:rPr>
            </w:pPr>
            <w:r>
              <w:rPr>
                <w:rFonts w:ascii="宋体" w:hAnsi="宋体" w:cs="宋体" w:eastAsia="宋体" w:hint="default"/>
                <w:sz w:val="18"/>
                <w:szCs w:val="18"/>
              </w:rPr>
              <w:t>关联方</w:t>
            </w:r>
          </w:p>
        </w:tc>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70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2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r>
      <w:tr>
        <w:trPr>
          <w:trHeight w:val="172" w:hRule="exact"/>
        </w:trPr>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285"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r>
      <w:tr>
        <w:trPr>
          <w:trHeight w:val="41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2"/>
              <w:jc w:val="right"/>
              <w:rPr>
                <w:rFonts w:ascii="宋体" w:hAnsi="宋体" w:cs="宋体" w:eastAsia="宋体" w:hint="default"/>
                <w:sz w:val="18"/>
                <w:szCs w:val="18"/>
              </w:rPr>
            </w:pPr>
            <w:r>
              <w:rPr>
                <w:rFonts w:ascii="宋体" w:hAnsi="宋体" w:cs="宋体" w:eastAsia="宋体" w:hint="default"/>
                <w:sz w:val="18"/>
                <w:szCs w:val="18"/>
              </w:rPr>
              <w:t>夏锦军</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控股子公司股东</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9"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6"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91"/>
              <w:ind w:left="322" w:right="0"/>
              <w:jc w:val="left"/>
              <w:rPr>
                <w:rFonts w:ascii="Times New Roman" w:hAnsi="Times New Roman" w:cs="Times New Roman" w:eastAsia="Times New Roman" w:hint="default"/>
                <w:sz w:val="18"/>
                <w:szCs w:val="18"/>
              </w:rPr>
            </w:pPr>
            <w:r>
              <w:rPr>
                <w:rFonts w:ascii="Times New Roman"/>
                <w:sz w:val="18"/>
              </w:rPr>
              <w:t>180.00</w:t>
            </w:r>
          </w:p>
        </w:tc>
        <w:tc>
          <w:tcPr>
            <w:tcW w:w="991" w:type="dxa"/>
            <w:tcBorders>
              <w:top w:val="single" w:sz="12" w:space="0" w:color="D2D2D2"/>
              <w:left w:val="single" w:sz="4" w:space="0" w:color="000000"/>
              <w:bottom w:val="single" w:sz="4" w:space="0" w:color="000000"/>
              <w:right w:val="single" w:sz="4" w:space="0" w:color="000000"/>
            </w:tcBorders>
          </w:tcPr>
          <w:p>
            <w:pPr/>
          </w:p>
        </w:tc>
        <w:tc>
          <w:tcPr>
            <w:tcW w:w="99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91"/>
              <w:ind w:left="464" w:right="0"/>
              <w:jc w:val="left"/>
              <w:rPr>
                <w:rFonts w:ascii="Times New Roman" w:hAnsi="Times New Roman" w:cs="Times New Roman" w:eastAsia="Times New Roman" w:hint="default"/>
                <w:sz w:val="18"/>
                <w:szCs w:val="18"/>
              </w:rPr>
            </w:pPr>
            <w:r>
              <w:rPr>
                <w:rFonts w:ascii="Times New Roman"/>
                <w:sz w:val="18"/>
              </w:rPr>
              <w:t>180.00</w:t>
            </w:r>
          </w:p>
        </w:tc>
        <w:tc>
          <w:tcPr>
            <w:tcW w:w="285" w:type="dxa"/>
            <w:tcBorders>
              <w:top w:val="single" w:sz="12" w:space="0" w:color="D2D2D2"/>
              <w:left w:val="single" w:sz="4" w:space="0" w:color="000000"/>
              <w:bottom w:val="single" w:sz="4" w:space="0" w:color="000000"/>
              <w:right w:val="single" w:sz="4" w:space="0" w:color="000000"/>
            </w:tcBorders>
          </w:tcPr>
          <w:p>
            <w:pPr/>
          </w:p>
        </w:tc>
        <w:tc>
          <w:tcPr>
            <w:tcW w:w="850" w:type="dxa"/>
            <w:tcBorders>
              <w:top w:val="single" w:sz="12" w:space="0" w:color="D2D2D2"/>
              <w:left w:val="single" w:sz="4" w:space="0" w:color="000000"/>
              <w:bottom w:val="single" w:sz="4" w:space="0" w:color="000000"/>
              <w:right w:val="single" w:sz="4" w:space="0" w:color="000000"/>
            </w:tcBorders>
          </w:tcPr>
          <w:p>
            <w:pPr/>
          </w:p>
        </w:tc>
        <w:tc>
          <w:tcPr>
            <w:tcW w:w="920"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91"/>
              <w:ind w:left="574"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6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0"/>
              <w:jc w:val="left"/>
              <w:rPr>
                <w:rFonts w:ascii="宋体" w:hAnsi="宋体" w:cs="宋体" w:eastAsia="宋体" w:hint="default"/>
                <w:sz w:val="18"/>
                <w:szCs w:val="18"/>
              </w:rPr>
            </w:pPr>
            <w:r>
              <w:rPr>
                <w:rFonts w:ascii="宋体" w:hAnsi="宋体" w:cs="宋体" w:eastAsia="宋体" w:hint="default"/>
                <w:sz w:val="18"/>
                <w:szCs w:val="18"/>
              </w:rPr>
              <w:t>关联债权对公司经营成果及财务 状况的影响</w:t>
            </w:r>
          </w:p>
        </w:tc>
        <w:tc>
          <w:tcPr>
            <w:tcW w:w="687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bl>
    <w:p>
      <w:pPr>
        <w:spacing w:line="240" w:lineRule="auto" w:before="8"/>
        <w:rPr>
          <w:rFonts w:ascii="宋体" w:hAnsi="宋体" w:cs="宋体" w:eastAsia="宋体" w:hint="default"/>
          <w:sz w:val="19"/>
          <w:szCs w:val="19"/>
        </w:rPr>
      </w:pPr>
    </w:p>
    <w:p>
      <w:pPr>
        <w:pStyle w:val="Heading4"/>
        <w:spacing w:line="240" w:lineRule="auto" w:before="37"/>
        <w:ind w:right="1034"/>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11"/>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8"/>
        <w:rPr>
          <w:rFonts w:ascii="宋体" w:hAnsi="宋体" w:cs="宋体" w:eastAsia="宋体" w:hint="default"/>
          <w:sz w:val="19"/>
          <w:szCs w:val="19"/>
        </w:rPr>
      </w:pPr>
    </w:p>
    <w:p>
      <w:pPr>
        <w:pStyle w:val="Heading2"/>
        <w:spacing w:line="240" w:lineRule="auto"/>
        <w:ind w:right="1034"/>
        <w:jc w:val="left"/>
        <w:rPr>
          <w:b w:val="0"/>
          <w:bCs w:val="0"/>
        </w:rPr>
      </w:pPr>
      <w:r>
        <w:rPr/>
        <w:t>十七、重大合同及其履行情况</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right="1034"/>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5"/>
          <w:szCs w:val="25"/>
        </w:rPr>
      </w:pPr>
    </w:p>
    <w:p>
      <w:pPr>
        <w:pStyle w:val="Heading4"/>
        <w:spacing w:line="240" w:lineRule="auto"/>
        <w:ind w:right="1034"/>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11"/>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1"/>
        <w:rPr>
          <w:rFonts w:ascii="宋体" w:hAnsi="宋体" w:cs="宋体" w:eastAsia="宋体" w:hint="default"/>
          <w:sz w:val="22"/>
          <w:szCs w:val="22"/>
        </w:rPr>
      </w:pPr>
    </w:p>
    <w:p>
      <w:pPr>
        <w:pStyle w:val="Heading4"/>
        <w:spacing w:line="240" w:lineRule="auto"/>
        <w:ind w:right="1034"/>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11"/>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10"/>
        <w:rPr>
          <w:rFonts w:ascii="宋体" w:hAnsi="宋体" w:cs="宋体" w:eastAsia="宋体" w:hint="default"/>
          <w:sz w:val="21"/>
          <w:szCs w:val="21"/>
        </w:rPr>
      </w:pPr>
    </w:p>
    <w:p>
      <w:pPr>
        <w:pStyle w:val="Heading4"/>
        <w:spacing w:line="240" w:lineRule="auto"/>
        <w:ind w:right="1034"/>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11"/>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13"/>
        <w:rPr>
          <w:rFonts w:ascii="宋体" w:hAnsi="宋体" w:cs="宋体" w:eastAsia="宋体" w:hint="default"/>
          <w:sz w:val="21"/>
          <w:szCs w:val="21"/>
        </w:rPr>
      </w:pPr>
    </w:p>
    <w:p>
      <w:pPr>
        <w:pStyle w:val="Heading4"/>
        <w:spacing w:line="240" w:lineRule="auto"/>
        <w:ind w:right="1034"/>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9"/>
        <w:rPr>
          <w:rFonts w:ascii="宋体" w:hAnsi="宋体" w:cs="宋体" w:eastAsia="宋体" w:hint="default"/>
          <w:sz w:val="26"/>
          <w:szCs w:val="26"/>
        </w:rPr>
      </w:pPr>
    </w:p>
    <w:p>
      <w:pPr>
        <w:pStyle w:val="Heading4"/>
        <w:spacing w:line="240" w:lineRule="auto"/>
        <w:ind w:right="1034"/>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8"/>
        <w:gridCol w:w="931"/>
        <w:gridCol w:w="920"/>
        <w:gridCol w:w="1296"/>
        <w:gridCol w:w="1064"/>
        <w:gridCol w:w="1034"/>
        <w:gridCol w:w="1052"/>
        <w:gridCol w:w="790"/>
        <w:gridCol w:w="780"/>
      </w:tblGrid>
      <w:tr>
        <w:trPr>
          <w:trHeight w:val="401"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8"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0"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11"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bl>
    <w:p>
      <w:pPr>
        <w:spacing w:after="0" w:line="319"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709"/>
        <w:gridCol w:w="950"/>
        <w:gridCol w:w="901"/>
        <w:gridCol w:w="1302"/>
        <w:gridCol w:w="1058"/>
        <w:gridCol w:w="1029"/>
        <w:gridCol w:w="1055"/>
        <w:gridCol w:w="792"/>
        <w:gridCol w:w="780"/>
      </w:tblGrid>
      <w:tr>
        <w:trPr>
          <w:trHeight w:val="40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50" w:type="dxa"/>
            <w:tcBorders>
              <w:top w:val="single" w:sz="4" w:space="0" w:color="000000"/>
              <w:left w:val="single" w:sz="4" w:space="0" w:color="000000"/>
              <w:bottom w:val="single" w:sz="4" w:space="0" w:color="000000"/>
              <w:right w:val="single" w:sz="5" w:space="0" w:color="000000"/>
            </w:tcBorders>
          </w:tcPr>
          <w:p>
            <w:pPr/>
          </w:p>
        </w:tc>
        <w:tc>
          <w:tcPr>
            <w:tcW w:w="901" w:type="dxa"/>
            <w:tcBorders>
              <w:top w:val="single" w:sz="4" w:space="0" w:color="000000"/>
              <w:left w:val="single" w:sz="5"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03"/>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03"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0.00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 w:right="78"/>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7"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20" w:hRule="exact"/>
        </w:trPr>
        <w:tc>
          <w:tcPr>
            <w:tcW w:w="26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03"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0.00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 w:right="78"/>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7"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8" w:right="1"/>
              <w:jc w:val="center"/>
              <w:rPr>
                <w:rFonts w:ascii="宋体" w:hAnsi="宋体" w:cs="宋体" w:eastAsia="宋体" w:hint="default"/>
                <w:sz w:val="18"/>
                <w:szCs w:val="18"/>
              </w:rPr>
            </w:pPr>
            <w:r>
              <w:rPr>
                <w:rFonts w:ascii="宋体" w:hAnsi="宋体" w:cs="宋体" w:eastAsia="宋体" w:hint="default"/>
                <w:sz w:val="18"/>
                <w:szCs w:val="18"/>
              </w:rPr>
              <w:t>担保额度相 关公告披露 日期</w:t>
            </w:r>
          </w:p>
        </w:tc>
        <w:tc>
          <w:tcPr>
            <w:tcW w:w="901" w:type="dxa"/>
            <w:vMerge w:val="restart"/>
            <w:tcBorders>
              <w:top w:val="single" w:sz="4" w:space="0" w:color="000000"/>
              <w:left w:val="single" w:sz="4" w:space="0" w:color="000000"/>
              <w:right w:val="single" w:sz="4" w:space="0" w:color="000000"/>
            </w:tcBorders>
            <w:shd w:val="clear" w:color="auto" w:fill="D2D2D2"/>
          </w:tcPr>
          <w:p>
            <w:pPr/>
          </w:p>
        </w:tc>
        <w:tc>
          <w:tcPr>
            <w:tcW w:w="13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9"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50" w:type="dxa"/>
            <w:vMerge/>
            <w:tcBorders>
              <w:left w:val="single" w:sz="4" w:space="0" w:color="000000"/>
              <w:right w:val="single" w:sz="4" w:space="0" w:color="000000"/>
            </w:tcBorders>
            <w:shd w:val="clear" w:color="auto" w:fill="D2D2D2"/>
          </w:tcPr>
          <w:p>
            <w:pPr/>
          </w:p>
        </w:tc>
        <w:tc>
          <w:tcPr>
            <w:tcW w:w="901" w:type="dxa"/>
            <w:vMerge/>
            <w:tcBorders>
              <w:left w:val="single" w:sz="4" w:space="0" w:color="000000"/>
              <w:bottom w:val="nil" w:sz="6" w:space="0" w:color="auto"/>
              <w:right w:val="single" w:sz="4" w:space="0" w:color="000000"/>
            </w:tcBorders>
            <w:shd w:val="clear" w:color="auto" w:fill="D2D2D2"/>
          </w:tcPr>
          <w:p>
            <w:pPr/>
          </w:p>
        </w:tc>
        <w:tc>
          <w:tcPr>
            <w:tcW w:w="13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31"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29"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11"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50" w:type="dxa"/>
            <w:vMerge/>
            <w:tcBorders>
              <w:left w:val="single" w:sz="4" w:space="0" w:color="000000"/>
              <w:right w:val="single" w:sz="4" w:space="0" w:color="000000"/>
            </w:tcBorders>
            <w:shd w:val="clear" w:color="auto" w:fill="D2D2D2"/>
          </w:tcPr>
          <w:p>
            <w:pPr/>
          </w:p>
        </w:tc>
        <w:tc>
          <w:tcPr>
            <w:tcW w:w="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vMerge/>
            <w:tcBorders>
              <w:left w:val="single" w:sz="4" w:space="0" w:color="000000"/>
              <w:right w:val="single" w:sz="4" w:space="0" w:color="000000"/>
            </w:tcBorders>
            <w:shd w:val="clear" w:color="auto" w:fill="D2D2D2"/>
          </w:tcPr>
          <w:p>
            <w:pPr/>
          </w:p>
        </w:tc>
        <w:tc>
          <w:tcPr>
            <w:tcW w:w="1058" w:type="dxa"/>
            <w:vMerge/>
            <w:tcBorders>
              <w:left w:val="single" w:sz="4" w:space="0" w:color="000000"/>
              <w:right w:val="single" w:sz="4" w:space="0" w:color="000000"/>
            </w:tcBorders>
            <w:shd w:val="clear" w:color="auto" w:fill="D2D2D2"/>
          </w:tcPr>
          <w:p>
            <w:pPr/>
          </w:p>
        </w:tc>
        <w:tc>
          <w:tcPr>
            <w:tcW w:w="1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2"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50" w:type="dxa"/>
            <w:vMerge/>
            <w:tcBorders>
              <w:left w:val="single" w:sz="4" w:space="0" w:color="000000"/>
              <w:right w:val="single" w:sz="4" w:space="0" w:color="000000"/>
            </w:tcBorders>
            <w:shd w:val="clear" w:color="auto" w:fill="D2D2D2"/>
          </w:tcPr>
          <w:p>
            <w:pPr/>
          </w:p>
        </w:tc>
        <w:tc>
          <w:tcPr>
            <w:tcW w:w="901" w:type="dxa"/>
            <w:vMerge w:val="restart"/>
            <w:tcBorders>
              <w:top w:val="nil" w:sz="6" w:space="0" w:color="auto"/>
              <w:left w:val="single" w:sz="4" w:space="0" w:color="000000"/>
              <w:right w:val="single" w:sz="4" w:space="0" w:color="000000"/>
            </w:tcBorders>
            <w:shd w:val="clear" w:color="auto" w:fill="D2D2D2"/>
          </w:tcPr>
          <w:p>
            <w:pPr/>
          </w:p>
        </w:tc>
        <w:tc>
          <w:tcPr>
            <w:tcW w:w="1302" w:type="dxa"/>
            <w:vMerge/>
            <w:tcBorders>
              <w:left w:val="single" w:sz="4" w:space="0" w:color="000000"/>
              <w:bottom w:val="nil" w:sz="6" w:space="0" w:color="auto"/>
              <w:right w:val="single" w:sz="4" w:space="0" w:color="000000"/>
            </w:tcBorders>
            <w:shd w:val="clear" w:color="auto" w:fill="D2D2D2"/>
          </w:tcPr>
          <w:p>
            <w:pPr/>
          </w:p>
        </w:tc>
        <w:tc>
          <w:tcPr>
            <w:tcW w:w="1058" w:type="dxa"/>
            <w:vMerge/>
            <w:tcBorders>
              <w:left w:val="single" w:sz="4" w:space="0" w:color="000000"/>
              <w:bottom w:val="nil" w:sz="6" w:space="0" w:color="auto"/>
              <w:right w:val="single" w:sz="4" w:space="0" w:color="000000"/>
            </w:tcBorders>
            <w:shd w:val="clear" w:color="auto" w:fill="D2D2D2"/>
          </w:tcPr>
          <w:p>
            <w:pPr/>
          </w:p>
        </w:tc>
        <w:tc>
          <w:tcPr>
            <w:tcW w:w="1029"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78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50" w:type="dxa"/>
            <w:vMerge/>
            <w:tcBorders>
              <w:left w:val="single" w:sz="4" w:space="0" w:color="000000"/>
              <w:bottom w:val="single" w:sz="4" w:space="0" w:color="000000"/>
              <w:right w:val="single" w:sz="4" w:space="0" w:color="000000"/>
            </w:tcBorders>
            <w:shd w:val="clear" w:color="auto" w:fill="D2D2D2"/>
          </w:tcPr>
          <w:p>
            <w:pPr/>
          </w:p>
        </w:tc>
        <w:tc>
          <w:tcPr>
            <w:tcW w:w="901" w:type="dxa"/>
            <w:vMerge/>
            <w:tcBorders>
              <w:left w:val="single" w:sz="4" w:space="0" w:color="000000"/>
              <w:bottom w:val="single" w:sz="4" w:space="0" w:color="000000"/>
              <w:right w:val="single" w:sz="4" w:space="0" w:color="000000"/>
            </w:tcBorders>
            <w:shd w:val="clear" w:color="auto" w:fill="D2D2D2"/>
          </w:tcPr>
          <w:p>
            <w:pPr/>
          </w:p>
        </w:tc>
        <w:tc>
          <w:tcPr>
            <w:tcW w:w="13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9"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084" w:hRule="exact"/>
        </w:trPr>
        <w:tc>
          <w:tcPr>
            <w:tcW w:w="1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4"/>
              <w:ind w:left="24" w:right="53"/>
              <w:jc w:val="left"/>
              <w:rPr>
                <w:rFonts w:ascii="宋体" w:hAnsi="宋体" w:cs="宋体" w:eastAsia="宋体" w:hint="default"/>
                <w:sz w:val="18"/>
                <w:szCs w:val="18"/>
              </w:rPr>
            </w:pPr>
            <w:r>
              <w:rPr>
                <w:rFonts w:ascii="宋体" w:hAnsi="宋体" w:cs="宋体" w:eastAsia="宋体" w:hint="default"/>
                <w:sz w:val="18"/>
                <w:szCs w:val="18"/>
              </w:rPr>
              <w:t>运通国际及其下属子 公司</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2017/4/8</w:t>
            </w:r>
            <w:r>
              <w:rPr>
                <w:rFonts w:ascii="宋体" w:hAnsi="宋体" w:cs="宋体" w:eastAsia="宋体" w:hint="default"/>
                <w:sz w:val="18"/>
                <w:szCs w:val="18"/>
              </w:rPr>
              <w:t>、</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2017/5/6</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w:t>
            </w:r>
          </w:p>
          <w:p>
            <w:pPr>
              <w:pStyle w:val="TableParagraph"/>
              <w:spacing w:line="240" w:lineRule="auto" w:before="60"/>
              <w:ind w:left="6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24" w:right="0"/>
              <w:jc w:val="left"/>
              <w:rPr>
                <w:rFonts w:ascii="Times New Roman" w:hAnsi="Times New Roman" w:cs="Times New Roman" w:eastAsia="Times New Roman" w:hint="default"/>
                <w:sz w:val="18"/>
                <w:szCs w:val="18"/>
              </w:rPr>
            </w:pPr>
            <w:r>
              <w:rPr>
                <w:rFonts w:ascii="Times New Roman"/>
                <w:sz w:val="18"/>
              </w:rPr>
              <w:t>2017/1/6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32.46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5"/>
              <w:ind w:left="23" w:right="9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9" w:right="0"/>
              <w:jc w:val="left"/>
              <w:rPr>
                <w:rFonts w:ascii="Times New Roman" w:hAnsi="Times New Roman" w:cs="Times New Roman" w:eastAsia="Times New Roman" w:hint="default"/>
                <w:sz w:val="18"/>
                <w:szCs w:val="18"/>
              </w:rPr>
            </w:pPr>
            <w:r>
              <w:rPr>
                <w:rFonts w:ascii="Times New Roman"/>
                <w:sz w:val="18"/>
              </w:rPr>
              <w:t>2017/1/6-202</w:t>
            </w:r>
          </w:p>
          <w:p>
            <w:pPr>
              <w:pStyle w:val="TableParagraph"/>
              <w:spacing w:line="240" w:lineRule="auto" w:before="102"/>
              <w:ind w:left="29" w:right="0"/>
              <w:jc w:val="left"/>
              <w:rPr>
                <w:rFonts w:ascii="Times New Roman" w:hAnsi="Times New Roman" w:cs="Times New Roman" w:eastAsia="Times New Roman" w:hint="default"/>
                <w:sz w:val="18"/>
                <w:szCs w:val="18"/>
              </w:rPr>
            </w:pPr>
            <w:r>
              <w:rPr>
                <w:rFonts w:ascii="Times New Roman"/>
                <w:sz w:val="18"/>
              </w:rPr>
              <w:t>0/1/6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94" w:hRule="exact"/>
        </w:trPr>
        <w:tc>
          <w:tcPr>
            <w:tcW w:w="1709"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2" w:right="0"/>
              <w:jc w:val="left"/>
              <w:rPr>
                <w:rFonts w:ascii="Times New Roman" w:hAnsi="Times New Roman" w:cs="Times New Roman" w:eastAsia="Times New Roman" w:hint="default"/>
                <w:sz w:val="18"/>
                <w:szCs w:val="18"/>
              </w:rPr>
            </w:pPr>
            <w:r>
              <w:rPr>
                <w:rFonts w:ascii="Times New Roman"/>
                <w:sz w:val="18"/>
              </w:rPr>
              <w:t>2017/11/21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2017/11/21-2</w:t>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020/11/25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92" w:hRule="exact"/>
        </w:trPr>
        <w:tc>
          <w:tcPr>
            <w:tcW w:w="1709"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8" w:right="0"/>
              <w:jc w:val="left"/>
              <w:rPr>
                <w:rFonts w:ascii="Times New Roman" w:hAnsi="Times New Roman" w:cs="Times New Roman" w:eastAsia="Times New Roman" w:hint="default"/>
                <w:sz w:val="18"/>
                <w:szCs w:val="18"/>
              </w:rPr>
            </w:pPr>
            <w:r>
              <w:rPr>
                <w:rFonts w:ascii="Times New Roman"/>
                <w:sz w:val="18"/>
              </w:rPr>
              <w:t>2018/1/17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2018/1/17-20</w:t>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22/1/14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94" w:hRule="exact"/>
        </w:trPr>
        <w:tc>
          <w:tcPr>
            <w:tcW w:w="1709"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78" w:right="0"/>
              <w:jc w:val="left"/>
              <w:rPr>
                <w:rFonts w:ascii="Times New Roman" w:hAnsi="Times New Roman" w:cs="Times New Roman" w:eastAsia="Times New Roman" w:hint="default"/>
                <w:sz w:val="18"/>
                <w:szCs w:val="18"/>
              </w:rPr>
            </w:pPr>
            <w:r>
              <w:rPr>
                <w:rFonts w:ascii="Times New Roman"/>
                <w:sz w:val="18"/>
              </w:rPr>
              <w:t>2018/1/18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431" w:right="72" w:hanging="361"/>
              <w:jc w:val="left"/>
              <w:rPr>
                <w:rFonts w:ascii="宋体" w:hAnsi="宋体" w:cs="宋体" w:eastAsia="宋体" w:hint="default"/>
                <w:sz w:val="18"/>
                <w:szCs w:val="18"/>
              </w:rPr>
            </w:pPr>
            <w:r>
              <w:rPr>
                <w:rFonts w:ascii="Times New Roman" w:hAnsi="Times New Roman" w:cs="Times New Roman" w:eastAsia="Times New Roman" w:hint="default"/>
                <w:sz w:val="18"/>
                <w:szCs w:val="18"/>
              </w:rPr>
              <w:t>103.33 </w:t>
            </w:r>
            <w:r>
              <w:rPr>
                <w:rFonts w:ascii="宋体" w:hAnsi="宋体" w:cs="宋体" w:eastAsia="宋体" w:hint="default"/>
                <w:sz w:val="18"/>
                <w:szCs w:val="18"/>
              </w:rPr>
              <w:t>万美 元</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422" w:right="56" w:hanging="36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2018/1/18-20</w:t>
            </w:r>
          </w:p>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18/6/30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94" w:hRule="exact"/>
        </w:trPr>
        <w:tc>
          <w:tcPr>
            <w:tcW w:w="1709"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8" w:right="0"/>
              <w:jc w:val="left"/>
              <w:rPr>
                <w:rFonts w:ascii="Times New Roman" w:hAnsi="Times New Roman" w:cs="Times New Roman" w:eastAsia="Times New Roman" w:hint="default"/>
                <w:sz w:val="18"/>
                <w:szCs w:val="18"/>
              </w:rPr>
            </w:pPr>
            <w:r>
              <w:rPr>
                <w:rFonts w:ascii="Times New Roman"/>
                <w:sz w:val="18"/>
              </w:rPr>
              <w:t>2018/1/18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2018/1/18-20</w:t>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20/12/31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94" w:hRule="exact"/>
        </w:trPr>
        <w:tc>
          <w:tcPr>
            <w:tcW w:w="1709"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8" w:right="0"/>
              <w:jc w:val="left"/>
              <w:rPr>
                <w:rFonts w:ascii="Times New Roman" w:hAnsi="Times New Roman" w:cs="Times New Roman" w:eastAsia="Times New Roman" w:hint="default"/>
                <w:sz w:val="18"/>
                <w:szCs w:val="18"/>
              </w:rPr>
            </w:pPr>
            <w:r>
              <w:rPr>
                <w:rFonts w:ascii="Times New Roman"/>
                <w:sz w:val="18"/>
              </w:rPr>
              <w:t>2018/1/19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8.07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2018/1/19-20</w:t>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23/1/14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91" w:hRule="exact"/>
        </w:trPr>
        <w:tc>
          <w:tcPr>
            <w:tcW w:w="1709"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8" w:right="0"/>
              <w:jc w:val="left"/>
              <w:rPr>
                <w:rFonts w:ascii="Times New Roman" w:hAnsi="Times New Roman" w:cs="Times New Roman" w:eastAsia="Times New Roman" w:hint="default"/>
                <w:sz w:val="18"/>
                <w:szCs w:val="18"/>
              </w:rPr>
            </w:pPr>
            <w:r>
              <w:rPr>
                <w:rFonts w:ascii="Times New Roman"/>
                <w:sz w:val="18"/>
              </w:rPr>
              <w:t>2018/1/19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2018/1/19-20</w:t>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20/12/31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94" w:hRule="exact"/>
        </w:trPr>
        <w:tc>
          <w:tcPr>
            <w:tcW w:w="1709"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901" w:type="dxa"/>
            <w:vMerge/>
            <w:tcBorders>
              <w:left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78" w:right="0"/>
              <w:jc w:val="left"/>
              <w:rPr>
                <w:rFonts w:ascii="Times New Roman" w:hAnsi="Times New Roman" w:cs="Times New Roman" w:eastAsia="Times New Roman" w:hint="default"/>
                <w:sz w:val="18"/>
                <w:szCs w:val="18"/>
              </w:rPr>
            </w:pPr>
            <w:r>
              <w:rPr>
                <w:rFonts w:ascii="Times New Roman"/>
                <w:sz w:val="18"/>
              </w:rPr>
              <w:t>2018/1/19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431" w:right="72" w:hanging="361"/>
              <w:jc w:val="left"/>
              <w:rPr>
                <w:rFonts w:ascii="宋体" w:hAnsi="宋体" w:cs="宋体" w:eastAsia="宋体" w:hint="default"/>
                <w:sz w:val="18"/>
                <w:szCs w:val="18"/>
              </w:rPr>
            </w:pPr>
            <w:r>
              <w:rPr>
                <w:rFonts w:ascii="Times New Roman" w:hAnsi="Times New Roman" w:cs="Times New Roman" w:eastAsia="Times New Roman" w:hint="default"/>
                <w:sz w:val="18"/>
                <w:szCs w:val="18"/>
              </w:rPr>
              <w:t>254.40 </w:t>
            </w:r>
            <w:r>
              <w:rPr>
                <w:rFonts w:ascii="宋体" w:hAnsi="宋体" w:cs="宋体" w:eastAsia="宋体" w:hint="default"/>
                <w:sz w:val="18"/>
                <w:szCs w:val="18"/>
              </w:rPr>
              <w:t>万美 元</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422" w:right="56" w:hanging="36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2018/1/19-20</w:t>
            </w:r>
          </w:p>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18/9/30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94" w:hRule="exact"/>
        </w:trPr>
        <w:tc>
          <w:tcPr>
            <w:tcW w:w="1709"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8" w:right="0"/>
              <w:jc w:val="left"/>
              <w:rPr>
                <w:rFonts w:ascii="Times New Roman" w:hAnsi="Times New Roman" w:cs="Times New Roman" w:eastAsia="Times New Roman" w:hint="default"/>
                <w:sz w:val="18"/>
                <w:szCs w:val="18"/>
              </w:rPr>
            </w:pPr>
            <w:r>
              <w:rPr>
                <w:rFonts w:ascii="Times New Roman"/>
                <w:sz w:val="18"/>
              </w:rPr>
              <w:t>2018/3/24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431" w:right="72" w:hanging="361"/>
              <w:jc w:val="left"/>
              <w:rPr>
                <w:rFonts w:ascii="宋体" w:hAnsi="宋体" w:cs="宋体" w:eastAsia="宋体" w:hint="default"/>
                <w:sz w:val="18"/>
                <w:szCs w:val="18"/>
              </w:rPr>
            </w:pPr>
            <w:r>
              <w:rPr>
                <w:rFonts w:ascii="Times New Roman" w:hAnsi="Times New Roman" w:cs="Times New Roman" w:eastAsia="Times New Roman" w:hint="default"/>
                <w:sz w:val="18"/>
                <w:szCs w:val="18"/>
              </w:rPr>
              <w:t>500.00 </w:t>
            </w:r>
            <w:r>
              <w:rPr>
                <w:rFonts w:ascii="宋体" w:hAnsi="宋体" w:cs="宋体" w:eastAsia="宋体" w:hint="default"/>
                <w:sz w:val="18"/>
                <w:szCs w:val="18"/>
              </w:rPr>
              <w:t>万美 元</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422" w:right="56" w:hanging="36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2018/3/24-20</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19/3/22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419"/>
        <w:gridCol w:w="290"/>
        <w:gridCol w:w="987"/>
        <w:gridCol w:w="864"/>
        <w:gridCol w:w="127"/>
        <w:gridCol w:w="1169"/>
        <w:gridCol w:w="1054"/>
        <w:gridCol w:w="1044"/>
        <w:gridCol w:w="1047"/>
        <w:gridCol w:w="790"/>
        <w:gridCol w:w="785"/>
      </w:tblGrid>
      <w:tr>
        <w:trPr>
          <w:trHeight w:val="994" w:hRule="exact"/>
        </w:trPr>
        <w:tc>
          <w:tcPr>
            <w:tcW w:w="1709" w:type="dxa"/>
            <w:gridSpan w:val="2"/>
            <w:vMerge w:val="restart"/>
            <w:tcBorders>
              <w:top w:val="single" w:sz="4" w:space="0" w:color="000000"/>
              <w:left w:val="single" w:sz="4" w:space="0" w:color="000000"/>
              <w:right w:val="single" w:sz="4" w:space="0" w:color="000000"/>
            </w:tcBorders>
          </w:tcPr>
          <w:p>
            <w:pPr/>
          </w:p>
        </w:tc>
        <w:tc>
          <w:tcPr>
            <w:tcW w:w="987"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4" w:space="0" w:color="000000"/>
              <w:left w:val="single" w:sz="4" w:space="0" w:color="000000"/>
              <w:right w:val="single" w:sz="4" w:space="0" w:color="000000"/>
            </w:tcBorders>
          </w:tcPr>
          <w:p>
            <w:pPr/>
          </w:p>
        </w:tc>
        <w:tc>
          <w:tcPr>
            <w:tcW w:w="12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8" w:right="0"/>
              <w:jc w:val="left"/>
              <w:rPr>
                <w:rFonts w:ascii="Times New Roman" w:hAnsi="Times New Roman" w:cs="Times New Roman" w:eastAsia="Times New Roman" w:hint="default"/>
                <w:sz w:val="18"/>
                <w:szCs w:val="18"/>
              </w:rPr>
            </w:pPr>
            <w:r>
              <w:rPr>
                <w:rFonts w:ascii="Times New Roman"/>
                <w:sz w:val="18"/>
              </w:rPr>
              <w:t>2018/4/04</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right"/>
              <w:rPr>
                <w:rFonts w:ascii="宋体" w:hAnsi="宋体" w:cs="宋体" w:eastAsia="宋体" w:hint="default"/>
                <w:sz w:val="18"/>
                <w:szCs w:val="18"/>
              </w:rPr>
            </w:pPr>
            <w:r>
              <w:rPr>
                <w:rFonts w:ascii="Times New Roman" w:hAnsi="Times New Roman" w:cs="Times New Roman" w:eastAsia="Times New Roman" w:hint="default"/>
                <w:sz w:val="18"/>
                <w:szCs w:val="18"/>
              </w:rPr>
              <w:t>32.01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2018/4/4-202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3/12/15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91" w:hRule="exact"/>
        </w:trPr>
        <w:tc>
          <w:tcPr>
            <w:tcW w:w="1709" w:type="dxa"/>
            <w:gridSpan w:val="2"/>
            <w:vMerge/>
            <w:tcBorders>
              <w:left w:val="single" w:sz="4" w:space="0" w:color="000000"/>
              <w:right w:val="single" w:sz="4" w:space="0" w:color="000000"/>
            </w:tcBorders>
          </w:tcPr>
          <w:p>
            <w:pPr/>
          </w:p>
        </w:tc>
        <w:tc>
          <w:tcPr>
            <w:tcW w:w="987"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12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8" w:right="0"/>
              <w:jc w:val="left"/>
              <w:rPr>
                <w:rFonts w:ascii="Times New Roman" w:hAnsi="Times New Roman" w:cs="Times New Roman" w:eastAsia="Times New Roman" w:hint="default"/>
                <w:sz w:val="18"/>
                <w:szCs w:val="18"/>
              </w:rPr>
            </w:pPr>
            <w:r>
              <w:rPr>
                <w:rFonts w:ascii="Times New Roman"/>
                <w:sz w:val="18"/>
              </w:rPr>
              <w:t>2018/5/15</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right"/>
              <w:rPr>
                <w:rFonts w:ascii="宋体" w:hAnsi="宋体" w:cs="宋体" w:eastAsia="宋体" w:hint="default"/>
                <w:sz w:val="18"/>
                <w:szCs w:val="18"/>
              </w:rPr>
            </w:pPr>
            <w:r>
              <w:rPr>
                <w:rFonts w:ascii="Times New Roman" w:hAnsi="Times New Roman" w:cs="Times New Roman" w:eastAsia="Times New Roman" w:hint="default"/>
                <w:sz w:val="18"/>
                <w:szCs w:val="18"/>
              </w:rPr>
              <w:t>0.44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2018/5/15-20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21/11/5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94" w:hRule="exact"/>
        </w:trPr>
        <w:tc>
          <w:tcPr>
            <w:tcW w:w="1709" w:type="dxa"/>
            <w:gridSpan w:val="2"/>
            <w:vMerge/>
            <w:tcBorders>
              <w:left w:val="single" w:sz="4" w:space="0" w:color="000000"/>
              <w:right w:val="single" w:sz="4" w:space="0" w:color="000000"/>
            </w:tcBorders>
          </w:tcPr>
          <w:p>
            <w:pPr/>
          </w:p>
        </w:tc>
        <w:tc>
          <w:tcPr>
            <w:tcW w:w="987"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12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78" w:right="0"/>
              <w:jc w:val="left"/>
              <w:rPr>
                <w:rFonts w:ascii="Times New Roman" w:hAnsi="Times New Roman" w:cs="Times New Roman" w:eastAsia="Times New Roman" w:hint="default"/>
                <w:sz w:val="18"/>
                <w:szCs w:val="18"/>
              </w:rPr>
            </w:pPr>
            <w:r>
              <w:rPr>
                <w:rFonts w:ascii="Times New Roman"/>
                <w:sz w:val="18"/>
              </w:rPr>
              <w:t>2018/5/22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
              <w:jc w:val="right"/>
              <w:rPr>
                <w:rFonts w:ascii="宋体" w:hAnsi="宋体" w:cs="宋体" w:eastAsia="宋体" w:hint="default"/>
                <w:sz w:val="18"/>
                <w:szCs w:val="18"/>
              </w:rPr>
            </w:pPr>
            <w:r>
              <w:rPr>
                <w:rFonts w:ascii="Times New Roman" w:hAnsi="Times New Roman" w:cs="Times New Roman" w:eastAsia="Times New Roman" w:hint="default"/>
                <w:sz w:val="18"/>
                <w:szCs w:val="18"/>
              </w:rPr>
              <w:t>10.17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3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2018/5/22-20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23/1/17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94" w:hRule="exact"/>
        </w:trPr>
        <w:tc>
          <w:tcPr>
            <w:tcW w:w="1709" w:type="dxa"/>
            <w:gridSpan w:val="2"/>
            <w:vMerge/>
            <w:tcBorders>
              <w:left w:val="single" w:sz="4" w:space="0" w:color="000000"/>
              <w:right w:val="single" w:sz="4" w:space="0" w:color="000000"/>
            </w:tcBorders>
          </w:tcPr>
          <w:p>
            <w:pPr/>
          </w:p>
        </w:tc>
        <w:tc>
          <w:tcPr>
            <w:tcW w:w="987"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12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8" w:right="0"/>
              <w:jc w:val="left"/>
              <w:rPr>
                <w:rFonts w:ascii="Times New Roman" w:hAnsi="Times New Roman" w:cs="Times New Roman" w:eastAsia="Times New Roman" w:hint="default"/>
                <w:sz w:val="18"/>
                <w:szCs w:val="18"/>
              </w:rPr>
            </w:pPr>
            <w:r>
              <w:rPr>
                <w:rFonts w:ascii="Times New Roman"/>
                <w:sz w:val="18"/>
              </w:rPr>
              <w:t>2018/5/22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right"/>
              <w:rPr>
                <w:rFonts w:ascii="宋体" w:hAnsi="宋体" w:cs="宋体" w:eastAsia="宋体" w:hint="default"/>
                <w:sz w:val="18"/>
                <w:szCs w:val="18"/>
              </w:rPr>
            </w:pPr>
            <w:r>
              <w:rPr>
                <w:rFonts w:ascii="Times New Roman" w:hAnsi="Times New Roman" w:cs="Times New Roman" w:eastAsia="Times New Roman" w:hint="default"/>
                <w:sz w:val="18"/>
                <w:szCs w:val="18"/>
              </w:rPr>
              <w:t>50.87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3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2018/5/22-20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22/2/15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94" w:hRule="exact"/>
        </w:trPr>
        <w:tc>
          <w:tcPr>
            <w:tcW w:w="1709" w:type="dxa"/>
            <w:gridSpan w:val="2"/>
            <w:vMerge/>
            <w:tcBorders>
              <w:left w:val="single" w:sz="4" w:space="0" w:color="000000"/>
              <w:right w:val="single" w:sz="4" w:space="0" w:color="000000"/>
            </w:tcBorders>
          </w:tcPr>
          <w:p>
            <w:pPr/>
          </w:p>
        </w:tc>
        <w:tc>
          <w:tcPr>
            <w:tcW w:w="987"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12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2018/10/26</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7"/>
              <w:jc w:val="right"/>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2018/10/26-2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019/10/25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91" w:hRule="exact"/>
        </w:trPr>
        <w:tc>
          <w:tcPr>
            <w:tcW w:w="1709" w:type="dxa"/>
            <w:gridSpan w:val="2"/>
            <w:vMerge/>
            <w:tcBorders>
              <w:left w:val="single" w:sz="4" w:space="0" w:color="000000"/>
              <w:right w:val="single" w:sz="4" w:space="0" w:color="000000"/>
            </w:tcBorders>
          </w:tcPr>
          <w:p>
            <w:pPr/>
          </w:p>
        </w:tc>
        <w:tc>
          <w:tcPr>
            <w:tcW w:w="987"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12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2018/11/15</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7"/>
              <w:jc w:val="righ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2018/11/15-2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019/3/25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94" w:hRule="exact"/>
        </w:trPr>
        <w:tc>
          <w:tcPr>
            <w:tcW w:w="1709" w:type="dxa"/>
            <w:gridSpan w:val="2"/>
            <w:vMerge/>
            <w:tcBorders>
              <w:left w:val="single" w:sz="4" w:space="0" w:color="000000"/>
              <w:right w:val="single" w:sz="4" w:space="0" w:color="000000"/>
            </w:tcBorders>
          </w:tcPr>
          <w:p>
            <w:pPr/>
          </w:p>
        </w:tc>
        <w:tc>
          <w:tcPr>
            <w:tcW w:w="987"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12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2018/12/14</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7"/>
              <w:jc w:val="right"/>
              <w:rPr>
                <w:rFonts w:ascii="宋体" w:hAnsi="宋体" w:cs="宋体" w:eastAsia="宋体" w:hint="default"/>
                <w:sz w:val="18"/>
                <w:szCs w:val="18"/>
              </w:rPr>
            </w:pPr>
            <w:r>
              <w:rPr>
                <w:rFonts w:ascii="Times New Roman" w:hAnsi="Times New Roman" w:cs="Times New Roman" w:eastAsia="Times New Roman" w:hint="default"/>
                <w:sz w:val="18"/>
                <w:szCs w:val="18"/>
              </w:rPr>
              <w:t>67.9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万美元</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3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2018/12/14-2</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020/3/21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94" w:hRule="exact"/>
        </w:trPr>
        <w:tc>
          <w:tcPr>
            <w:tcW w:w="1709" w:type="dxa"/>
            <w:gridSpan w:val="2"/>
            <w:vMerge/>
            <w:tcBorders>
              <w:left w:val="single" w:sz="4" w:space="0" w:color="000000"/>
              <w:bottom w:val="single" w:sz="4" w:space="0" w:color="000000"/>
              <w:right w:val="single" w:sz="4" w:space="0" w:color="000000"/>
            </w:tcBorders>
          </w:tcPr>
          <w:p>
            <w:pPr/>
          </w:p>
        </w:tc>
        <w:tc>
          <w:tcPr>
            <w:tcW w:w="987"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c>
          <w:tcPr>
            <w:tcW w:w="12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2018/12/18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7"/>
              <w:jc w:val="right"/>
              <w:rPr>
                <w:rFonts w:ascii="宋体" w:hAnsi="宋体" w:cs="宋体" w:eastAsia="宋体" w:hint="default"/>
                <w:sz w:val="18"/>
                <w:szCs w:val="18"/>
              </w:rPr>
            </w:pPr>
            <w:r>
              <w:rPr>
                <w:rFonts w:ascii="Times New Roman" w:hAnsi="Times New Roman" w:cs="Times New Roman" w:eastAsia="Times New Roman" w:hint="default"/>
                <w:sz w:val="18"/>
                <w:szCs w:val="18"/>
              </w:rPr>
              <w:t>15.16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2018/12/18-2</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021/3/21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广电汇通（香港）有 限公司</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2016/8/27</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亿港元</w:t>
            </w:r>
          </w:p>
        </w:tc>
        <w:tc>
          <w:tcPr>
            <w:tcW w:w="12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269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60" w:type="dxa"/>
            <w:gridSpan w:val="3"/>
            <w:tcBorders>
              <w:top w:val="single" w:sz="4" w:space="0" w:color="000000"/>
              <w:left w:val="single" w:sz="14" w:space="0" w:color="D2D2D2"/>
              <w:bottom w:val="single" w:sz="4" w:space="0" w:color="000000"/>
              <w:right w:val="single" w:sz="13" w:space="0" w:color="D2D2D2"/>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
                <w:sz w:val="18"/>
              </w:rPr>
              <w:t>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8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1,486.40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r>
      <w:tr>
        <w:trPr>
          <w:trHeight w:val="721" w:hRule="exact"/>
        </w:trPr>
        <w:tc>
          <w:tcPr>
            <w:tcW w:w="269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4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60" w:type="dxa"/>
            <w:gridSpan w:val="3"/>
            <w:tcBorders>
              <w:top w:val="single" w:sz="4" w:space="0" w:color="000000"/>
              <w:left w:val="single" w:sz="14" w:space="0" w:color="D2D2D2"/>
              <w:bottom w:val="single" w:sz="4" w:space="0" w:color="000000"/>
              <w:right w:val="single" w:sz="13" w:space="0" w:color="D2D2D2"/>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折合人民币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43,078.00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1,128.67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r>
      <w:tr>
        <w:trPr>
          <w:trHeight w:val="396" w:hRule="exact"/>
        </w:trPr>
        <w:tc>
          <w:tcPr>
            <w:tcW w:w="957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82" w:right="183"/>
              <w:jc w:val="center"/>
              <w:rPr>
                <w:rFonts w:ascii="宋体" w:hAnsi="宋体" w:cs="宋体" w:eastAsia="宋体" w:hint="default"/>
                <w:sz w:val="18"/>
                <w:szCs w:val="18"/>
              </w:rPr>
            </w:pPr>
            <w:r>
              <w:rPr>
                <w:rFonts w:ascii="宋体" w:hAnsi="宋体" w:cs="宋体" w:eastAsia="宋体" w:hint="default"/>
                <w:sz w:val="18"/>
                <w:szCs w:val="18"/>
              </w:rPr>
              <w:t>担保额度相 关公告披露 日期</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9" w:right="127"/>
              <w:jc w:val="center"/>
              <w:rPr>
                <w:rFonts w:ascii="宋体" w:hAnsi="宋体" w:cs="宋体" w:eastAsia="宋体" w:hint="default"/>
                <w:sz w:val="18"/>
                <w:szCs w:val="18"/>
              </w:rPr>
            </w:pPr>
            <w:r>
              <w:rPr>
                <w:rFonts w:ascii="宋体" w:hAnsi="宋体" w:cs="宋体" w:eastAsia="宋体" w:hint="default"/>
                <w:sz w:val="18"/>
                <w:szCs w:val="18"/>
              </w:rPr>
              <w:t>实际发生日 期（协议签 署日）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36" w:right="166"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17" w:right="120"/>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15" w:right="119"/>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75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225"/>
              <w:jc w:val="left"/>
              <w:rPr>
                <w:rFonts w:ascii="宋体" w:hAnsi="宋体" w:cs="宋体" w:eastAsia="宋体" w:hint="default"/>
                <w:sz w:val="18"/>
                <w:szCs w:val="18"/>
              </w:rPr>
            </w:pPr>
            <w:r>
              <w:rPr>
                <w:rFonts w:ascii="宋体" w:hAnsi="宋体" w:cs="宋体" w:eastAsia="宋体" w:hint="default"/>
                <w:sz w:val="18"/>
                <w:szCs w:val="18"/>
              </w:rPr>
              <w:t>运通国际下属 子公司</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2017/4/8</w:t>
            </w:r>
            <w:r>
              <w:rPr>
                <w:rFonts w:ascii="宋体" w:hAnsi="宋体" w:cs="宋体" w:eastAsia="宋体" w:hint="default"/>
                <w:sz w:val="18"/>
                <w:szCs w:val="18"/>
              </w:rPr>
              <w:t>、</w:t>
            </w:r>
          </w:p>
          <w:p>
            <w:pPr>
              <w:pStyle w:val="TableParagraph"/>
              <w:spacing w:line="240" w:lineRule="auto" w:before="143"/>
              <w:ind w:left="103" w:right="0"/>
              <w:jc w:val="left"/>
              <w:rPr>
                <w:rFonts w:ascii="Times New Roman" w:hAnsi="Times New Roman" w:cs="Times New Roman" w:eastAsia="Times New Roman" w:hint="default"/>
                <w:sz w:val="18"/>
                <w:szCs w:val="18"/>
              </w:rPr>
            </w:pPr>
            <w:r>
              <w:rPr>
                <w:rFonts w:ascii="Times New Roman"/>
                <w:sz w:val="18"/>
              </w:rPr>
              <w:t>2017/5/6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0"/>
              <w:ind w:left="518"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7"/>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7"/>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3" w:hRule="exact"/>
        </w:trPr>
        <w:tc>
          <w:tcPr>
            <w:tcW w:w="2696"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241"/>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1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0.00</w:t>
            </w:r>
          </w:p>
        </w:tc>
        <w:tc>
          <w:tcPr>
            <w:tcW w:w="209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51"/>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2696"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41"/>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160"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983" w:right="125" w:hanging="855"/>
              <w:jc w:val="left"/>
              <w:rPr>
                <w:rFonts w:ascii="宋体" w:hAnsi="宋体" w:cs="宋体" w:eastAsia="宋体" w:hint="default"/>
                <w:sz w:val="18"/>
                <w:szCs w:val="18"/>
              </w:rPr>
            </w:pPr>
            <w:r>
              <w:rPr>
                <w:rFonts w:ascii="宋体" w:hAnsi="宋体" w:cs="宋体" w:eastAsia="宋体" w:hint="default"/>
                <w:sz w:val="18"/>
                <w:szCs w:val="18"/>
              </w:rPr>
              <w:t>折合人民币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13,726.40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c>
          <w:tcPr>
            <w:tcW w:w="209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83"/>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609"/>
        <w:gridCol w:w="2236"/>
        <w:gridCol w:w="2087"/>
        <w:gridCol w:w="2632"/>
      </w:tblGrid>
      <w:tr>
        <w:trPr>
          <w:trHeight w:val="401" w:hRule="exact"/>
        </w:trPr>
        <w:tc>
          <w:tcPr>
            <w:tcW w:w="95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5"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0.00</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3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1,486.40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r>
      <w:tr>
        <w:trPr>
          <w:trHeight w:val="714"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
              <w:jc w:val="right"/>
              <w:rPr>
                <w:rFonts w:ascii="宋体" w:hAnsi="宋体" w:cs="宋体" w:eastAsia="宋体" w:hint="default"/>
                <w:sz w:val="18"/>
                <w:szCs w:val="18"/>
              </w:rPr>
            </w:pPr>
            <w:r>
              <w:rPr>
                <w:rFonts w:ascii="宋体" w:hAnsi="宋体" w:cs="宋体" w:eastAsia="宋体" w:hint="default"/>
                <w:sz w:val="18"/>
                <w:szCs w:val="18"/>
              </w:rPr>
              <w:t>折合人民币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56,804.40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3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1,128.67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r>
      <w:tr>
        <w:trPr>
          <w:trHeight w:val="407"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0.89%</w:t>
            </w:r>
          </w:p>
        </w:tc>
      </w:tr>
      <w:tr>
        <w:trPr>
          <w:trHeight w:val="391" w:hRule="exact"/>
        </w:trPr>
        <w:tc>
          <w:tcPr>
            <w:tcW w:w="95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23"/>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83.06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w:t>
            </w:r>
          </w:p>
        </w:tc>
      </w:tr>
      <w:tr>
        <w:trPr>
          <w:trHeight w:val="402"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83.06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万美元</w:t>
            </w:r>
          </w:p>
        </w:tc>
      </w:tr>
      <w:tr>
        <w:trPr>
          <w:trHeight w:val="714"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21"/>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w:t>
            </w:r>
          </w:p>
        </w:tc>
        <w:tc>
          <w:tcPr>
            <w:tcW w:w="471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w:t>
            </w:r>
          </w:p>
        </w:tc>
        <w:tc>
          <w:tcPr>
            <w:tcW w:w="471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034"/>
        <w:jc w:val="left"/>
      </w:pPr>
      <w:r>
        <w:rPr/>
        <w:t>采用复合方式担保的具体情况说明：无</w:t>
      </w:r>
    </w:p>
    <w:p>
      <w:pPr>
        <w:spacing w:line="240" w:lineRule="auto" w:before="0"/>
        <w:rPr>
          <w:rFonts w:ascii="宋体" w:hAnsi="宋体" w:cs="宋体" w:eastAsia="宋体" w:hint="default"/>
          <w:sz w:val="18"/>
          <w:szCs w:val="18"/>
        </w:rPr>
      </w:pPr>
    </w:p>
    <w:p>
      <w:pPr>
        <w:pStyle w:val="Heading4"/>
        <w:spacing w:line="240" w:lineRule="auto" w:before="124"/>
        <w:ind w:right="1034"/>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11"/>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line="240" w:lineRule="auto" w:before="10"/>
        <w:rPr>
          <w:rFonts w:ascii="宋体" w:hAnsi="宋体" w:cs="宋体" w:eastAsia="宋体" w:hint="default"/>
          <w:sz w:val="21"/>
          <w:szCs w:val="21"/>
        </w:rPr>
      </w:pPr>
    </w:p>
    <w:p>
      <w:pPr>
        <w:pStyle w:val="Heading4"/>
        <w:spacing w:line="240" w:lineRule="auto"/>
        <w:ind w:right="1034"/>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1034"/>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100" w:bottom="1160" w:left="980" w:right="0"/>
          <w:cols w:num="2" w:equalWidth="0">
            <w:col w:w="1953" w:space="6787"/>
            <w:col w:w="219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9"/>
        <w:gridCol w:w="2269"/>
        <w:gridCol w:w="2124"/>
        <w:gridCol w:w="1910"/>
        <w:gridCol w:w="1846"/>
      </w:tblGrid>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41"/>
              <w:jc w:val="right"/>
              <w:rPr>
                <w:rFonts w:ascii="宋体" w:hAnsi="宋体" w:cs="宋体" w:eastAsia="宋体" w:hint="default"/>
                <w:sz w:val="18"/>
                <w:szCs w:val="18"/>
              </w:rPr>
            </w:pPr>
            <w:r>
              <w:rPr>
                <w:rFonts w:ascii="宋体" w:hAnsi="宋体" w:cs="宋体" w:eastAsia="宋体" w:hint="default"/>
                <w:sz w:val="18"/>
                <w:szCs w:val="18"/>
              </w:rPr>
              <w:t>具体类型</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7"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3"/>
              <w:jc w:val="right"/>
              <w:rPr>
                <w:rFonts w:ascii="宋体" w:hAnsi="宋体" w:cs="宋体" w:eastAsia="宋体" w:hint="default"/>
                <w:sz w:val="18"/>
                <w:szCs w:val="18"/>
              </w:rPr>
            </w:pPr>
            <w:r>
              <w:rPr>
                <w:rFonts w:ascii="宋体" w:hAnsi="宋体" w:cs="宋体" w:eastAsia="宋体" w:hint="default"/>
                <w:sz w:val="18"/>
                <w:szCs w:val="18"/>
              </w:rPr>
              <w:t>银行理财产品</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67,092.96</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3"/>
              <w:jc w:val="right"/>
              <w:rPr>
                <w:rFonts w:ascii="宋体" w:hAnsi="宋体" w:cs="宋体" w:eastAsia="宋体" w:hint="default"/>
                <w:sz w:val="18"/>
                <w:szCs w:val="18"/>
              </w:rPr>
            </w:pPr>
            <w:r>
              <w:rPr>
                <w:rFonts w:ascii="宋体" w:hAnsi="宋体" w:cs="宋体" w:eastAsia="宋体" w:hint="default"/>
                <w:sz w:val="18"/>
                <w:szCs w:val="18"/>
              </w:rPr>
              <w:t>银行理财产品</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6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157,092.96</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160" w:left="980" w:right="0"/>
        </w:sectPr>
      </w:pPr>
    </w:p>
    <w:p>
      <w:pPr>
        <w:pStyle w:val="BodyText"/>
        <w:spacing w:line="240" w:lineRule="auto" w:before="49"/>
        <w:ind w:right="-20"/>
        <w:jc w:val="left"/>
      </w:pPr>
      <w:r>
        <w:rPr/>
        <w:t>单项金额重大或安全性较低、流动性较差、不保本的高风险委托理财具体情况</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100" w:bottom="1160" w:left="980" w:right="0"/>
          <w:cols w:num="2" w:equalWidth="0">
            <w:col w:w="6273" w:space="2467"/>
            <w:col w:w="2190"/>
          </w:cols>
        </w:sectPr>
      </w:pPr>
    </w:p>
    <w:p>
      <w:pPr>
        <w:spacing w:line="240" w:lineRule="auto" w:before="9"/>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70"/>
        <w:gridCol w:w="590"/>
        <w:gridCol w:w="607"/>
        <w:gridCol w:w="574"/>
        <w:gridCol w:w="562"/>
        <w:gridCol w:w="559"/>
        <w:gridCol w:w="562"/>
        <w:gridCol w:w="562"/>
        <w:gridCol w:w="562"/>
        <w:gridCol w:w="560"/>
        <w:gridCol w:w="562"/>
        <w:gridCol w:w="562"/>
        <w:gridCol w:w="562"/>
        <w:gridCol w:w="548"/>
        <w:gridCol w:w="547"/>
        <w:gridCol w:w="547"/>
        <w:gridCol w:w="538"/>
      </w:tblGrid>
      <w:tr>
        <w:trPr>
          <w:trHeight w:val="1016" w:hRule="exact"/>
        </w:trPr>
        <w:tc>
          <w:tcPr>
            <w:tcW w:w="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3"/>
              <w:ind w:left="99" w:right="99"/>
              <w:jc w:val="both"/>
              <w:rPr>
                <w:rFonts w:ascii="宋体" w:hAnsi="宋体" w:cs="宋体" w:eastAsia="宋体" w:hint="default"/>
                <w:sz w:val="18"/>
                <w:szCs w:val="18"/>
              </w:rPr>
            </w:pPr>
            <w:r>
              <w:rPr>
                <w:rFonts w:ascii="宋体" w:hAnsi="宋体" w:cs="宋体" w:eastAsia="宋体" w:hint="default"/>
                <w:sz w:val="18"/>
                <w:szCs w:val="18"/>
              </w:rPr>
              <w:t>受托 机构 名称</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3"/>
              <w:ind w:left="110" w:right="108"/>
              <w:jc w:val="left"/>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240" w:lineRule="auto" w:before="17"/>
              <w:ind w:left="110" w:right="0"/>
              <w:jc w:val="left"/>
              <w:rPr>
                <w:rFonts w:ascii="宋体" w:hAnsi="宋体" w:cs="宋体" w:eastAsia="宋体" w:hint="default"/>
                <w:sz w:val="18"/>
                <w:szCs w:val="18"/>
              </w:rPr>
            </w:pPr>
            <w:r>
              <w:rPr>
                <w:rFonts w:ascii="宋体" w:hAnsi="宋体" w:cs="宋体" w:eastAsia="宋体" w:hint="default"/>
                <w:sz w:val="18"/>
                <w:szCs w:val="18"/>
              </w:rPr>
              <w:t>（或</w:t>
            </w:r>
          </w:p>
        </w:tc>
        <w:tc>
          <w:tcPr>
            <w:tcW w:w="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208"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96" w:right="94"/>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95" w:right="91"/>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95" w:right="95"/>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95"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95"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3"/>
              <w:ind w:left="96" w:right="91"/>
              <w:jc w:val="both"/>
              <w:rPr>
                <w:rFonts w:ascii="宋体" w:hAnsi="宋体" w:cs="宋体" w:eastAsia="宋体" w:hint="default"/>
                <w:sz w:val="18"/>
                <w:szCs w:val="18"/>
              </w:rPr>
            </w:pPr>
            <w:r>
              <w:rPr>
                <w:rFonts w:ascii="宋体" w:hAnsi="宋体" w:cs="宋体" w:eastAsia="宋体" w:hint="default"/>
                <w:sz w:val="18"/>
                <w:szCs w:val="18"/>
              </w:rPr>
              <w:t>参考 年化 收益</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95" w:right="95"/>
              <w:jc w:val="left"/>
              <w:rPr>
                <w:rFonts w:ascii="宋体" w:hAnsi="宋体" w:cs="宋体" w:eastAsia="宋体" w:hint="default"/>
                <w:sz w:val="18"/>
                <w:szCs w:val="18"/>
              </w:rPr>
            </w:pPr>
            <w:r>
              <w:rPr>
                <w:rFonts w:ascii="宋体" w:hAnsi="宋体" w:cs="宋体" w:eastAsia="宋体" w:hint="default"/>
                <w:sz w:val="18"/>
                <w:szCs w:val="18"/>
              </w:rPr>
              <w:t>预期 收益</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3"/>
              <w:ind w:left="96" w:right="95"/>
              <w:jc w:val="both"/>
              <w:rPr>
                <w:rFonts w:ascii="宋体" w:hAnsi="宋体" w:cs="宋体" w:eastAsia="宋体" w:hint="default"/>
                <w:sz w:val="18"/>
                <w:szCs w:val="18"/>
              </w:rPr>
            </w:pPr>
            <w:r>
              <w:rPr>
                <w:rFonts w:ascii="宋体" w:hAnsi="宋体" w:cs="宋体" w:eastAsia="宋体" w:hint="default"/>
                <w:sz w:val="18"/>
                <w:szCs w:val="18"/>
              </w:rPr>
              <w:t>报告 期实 际损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3"/>
              <w:ind w:left="95" w:right="95"/>
              <w:jc w:val="both"/>
              <w:rPr>
                <w:rFonts w:ascii="宋体" w:hAnsi="宋体" w:cs="宋体" w:eastAsia="宋体" w:hint="default"/>
                <w:sz w:val="18"/>
                <w:szCs w:val="18"/>
              </w:rPr>
            </w:pPr>
            <w:r>
              <w:rPr>
                <w:rFonts w:ascii="宋体" w:hAnsi="宋体" w:cs="宋体" w:eastAsia="宋体" w:hint="default"/>
                <w:sz w:val="18"/>
                <w:szCs w:val="18"/>
              </w:rPr>
              <w:t>报告 期损 益实</w:t>
            </w: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3"/>
              <w:ind w:left="88" w:right="87"/>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3"/>
              <w:ind w:left="88" w:right="86"/>
              <w:jc w:val="both"/>
              <w:rPr>
                <w:rFonts w:ascii="宋体" w:hAnsi="宋体" w:cs="宋体" w:eastAsia="宋体" w:hint="default"/>
                <w:sz w:val="18"/>
                <w:szCs w:val="18"/>
              </w:rPr>
            </w:pPr>
            <w:r>
              <w:rPr>
                <w:rFonts w:ascii="宋体" w:hAnsi="宋体" w:cs="宋体" w:eastAsia="宋体" w:hint="default"/>
                <w:sz w:val="18"/>
                <w:szCs w:val="18"/>
              </w:rPr>
              <w:t>是否 经过 法定</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3"/>
              <w:ind w:left="88" w:right="86"/>
              <w:jc w:val="both"/>
              <w:rPr>
                <w:rFonts w:ascii="宋体" w:hAnsi="宋体" w:cs="宋体" w:eastAsia="宋体" w:hint="default"/>
                <w:sz w:val="18"/>
                <w:szCs w:val="18"/>
              </w:rPr>
            </w:pPr>
            <w:r>
              <w:rPr>
                <w:rFonts w:ascii="宋体" w:hAnsi="宋体" w:cs="宋体" w:eastAsia="宋体" w:hint="default"/>
                <w:sz w:val="18"/>
                <w:szCs w:val="18"/>
              </w:rPr>
              <w:t>未来 是否 还有</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3"/>
              <w:ind w:left="83" w:right="83"/>
              <w:jc w:val="both"/>
              <w:rPr>
                <w:rFonts w:ascii="宋体" w:hAnsi="宋体" w:cs="宋体" w:eastAsia="宋体" w:hint="default"/>
                <w:sz w:val="18"/>
                <w:szCs w:val="18"/>
              </w:rPr>
            </w:pPr>
            <w:r>
              <w:rPr>
                <w:rFonts w:ascii="宋体" w:hAnsi="宋体" w:cs="宋体" w:eastAsia="宋体" w:hint="default"/>
                <w:sz w:val="18"/>
                <w:szCs w:val="18"/>
              </w:rPr>
              <w:t>事项 概述 及相</w:t>
            </w:r>
          </w:p>
        </w:tc>
      </w:tr>
    </w:tbl>
    <w:p>
      <w:pPr>
        <w:spacing w:after="0" w:line="319" w:lineRule="auto"/>
        <w:jc w:val="both"/>
        <w:rPr>
          <w:rFonts w:ascii="宋体" w:hAnsi="宋体" w:cs="宋体" w:eastAsia="宋体" w:hint="default"/>
          <w:sz w:val="18"/>
          <w:szCs w:val="18"/>
        </w:rPr>
        <w:sectPr>
          <w:type w:val="continuous"/>
          <w:pgSz w:w="11910" w:h="16840"/>
          <w:pgMar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1299" w:hRule="exact"/>
        </w:trPr>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0" w:right="99"/>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4" w:right="21"/>
              <w:jc w:val="center"/>
              <w:rPr>
                <w:rFonts w:ascii="宋体" w:hAnsi="宋体" w:cs="宋体" w:eastAsia="宋体" w:hint="default"/>
                <w:sz w:val="18"/>
                <w:szCs w:val="18"/>
              </w:rPr>
            </w:pPr>
            <w:r>
              <w:rPr>
                <w:rFonts w:ascii="宋体" w:hAnsi="宋体" w:cs="宋体" w:eastAsia="宋体" w:hint="default"/>
                <w:sz w:val="18"/>
                <w:szCs w:val="18"/>
              </w:rPr>
              <w:t>受托 </w:t>
            </w:r>
            <w:r>
              <w:rPr>
                <w:rFonts w:ascii="宋体" w:hAnsi="宋体" w:cs="宋体" w:eastAsia="宋体" w:hint="default"/>
                <w:spacing w:val="-3"/>
                <w:sz w:val="18"/>
                <w:szCs w:val="18"/>
              </w:rPr>
              <w:t>人）类</w:t>
            </w:r>
            <w:r>
              <w:rPr>
                <w:rFonts w:ascii="宋体" w:hAnsi="宋体" w:cs="宋体" w:eastAsia="宋体" w:hint="default"/>
                <w:sz w:val="18"/>
                <w:szCs w:val="18"/>
              </w:rPr>
              <w:t> 型</w:t>
            </w:r>
          </w:p>
        </w:tc>
        <w:tc>
          <w:tcPr>
            <w:tcW w:w="60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率</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84" w:right="95" w:hanging="89"/>
              <w:jc w:val="left"/>
              <w:rPr>
                <w:rFonts w:ascii="宋体" w:hAnsi="宋体" w:cs="宋体" w:eastAsia="宋体" w:hint="default"/>
                <w:sz w:val="18"/>
                <w:szCs w:val="18"/>
              </w:rPr>
            </w:pPr>
            <w:r>
              <w:rPr>
                <w:rFonts w:ascii="宋体" w:hAnsi="宋体" w:cs="宋体" w:eastAsia="宋体" w:hint="default"/>
                <w:sz w:val="18"/>
                <w:szCs w:val="18"/>
              </w:rPr>
              <w:t>益金 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5" w:right="95"/>
              <w:jc w:val="both"/>
              <w:rPr>
                <w:rFonts w:ascii="宋体" w:hAnsi="宋体" w:cs="宋体" w:eastAsia="宋体" w:hint="default"/>
                <w:sz w:val="18"/>
                <w:szCs w:val="18"/>
              </w:rPr>
            </w:pPr>
            <w:r>
              <w:rPr>
                <w:rFonts w:ascii="宋体" w:hAnsi="宋体" w:cs="宋体" w:eastAsia="宋体" w:hint="default"/>
                <w:sz w:val="18"/>
                <w:szCs w:val="18"/>
              </w:rPr>
              <w:t>际收 回情 况</w:t>
            </w: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8" w:right="0"/>
              <w:jc w:val="left"/>
              <w:rPr>
                <w:rFonts w:ascii="宋体" w:hAnsi="宋体" w:cs="宋体" w:eastAsia="宋体" w:hint="default"/>
                <w:sz w:val="18"/>
                <w:szCs w:val="18"/>
              </w:rPr>
            </w:pPr>
            <w:r>
              <w:rPr>
                <w:rFonts w:ascii="宋体" w:hAnsi="宋体" w:cs="宋体" w:eastAsia="宋体" w:hint="default"/>
                <w:sz w:val="18"/>
                <w:szCs w:val="18"/>
              </w:rPr>
              <w:t>程序</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88" w:right="86"/>
              <w:jc w:val="both"/>
              <w:rPr>
                <w:rFonts w:ascii="宋体" w:hAnsi="宋体" w:cs="宋体" w:eastAsia="宋体" w:hint="default"/>
                <w:sz w:val="18"/>
                <w:szCs w:val="18"/>
              </w:rPr>
            </w:pPr>
            <w:r>
              <w:rPr>
                <w:rFonts w:ascii="宋体" w:hAnsi="宋体" w:cs="宋体" w:eastAsia="宋体" w:hint="default"/>
                <w:sz w:val="18"/>
                <w:szCs w:val="18"/>
              </w:rPr>
              <w:t>委托 理财 计划</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83" w:right="83"/>
              <w:jc w:val="both"/>
              <w:rPr>
                <w:rFonts w:ascii="宋体" w:hAnsi="宋体" w:cs="宋体" w:eastAsia="宋体" w:hint="default"/>
                <w:sz w:val="18"/>
                <w:szCs w:val="18"/>
              </w:rPr>
            </w:pPr>
            <w:r>
              <w:rPr>
                <w:rFonts w:ascii="宋体" w:hAnsi="宋体" w:cs="宋体" w:eastAsia="宋体" w:hint="default"/>
                <w:sz w:val="18"/>
                <w:szCs w:val="18"/>
              </w:rPr>
              <w:t>关查 询索 引</w:t>
            </w:r>
          </w:p>
        </w:tc>
      </w:tr>
      <w:tr>
        <w:trPr>
          <w:trHeight w:val="258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中国 民生 银行 股份 有限 公司 广州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31"/>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货币 资金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41" w:right="0"/>
              <w:jc w:val="center"/>
              <w:rPr>
                <w:rFonts w:ascii="Times New Roman" w:hAnsi="Times New Roman" w:cs="Times New Roman" w:eastAsia="Times New Roman" w:hint="default"/>
                <w:sz w:val="18"/>
                <w:szCs w:val="18"/>
              </w:rPr>
            </w:pPr>
            <w:r>
              <w:rPr>
                <w:rFonts w:ascii="Times New Roman"/>
                <w:sz w:val="18"/>
              </w:rPr>
              <w:t>4.15%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3" w:right="0"/>
              <w:jc w:val="left"/>
              <w:rPr>
                <w:rFonts w:ascii="Times New Roman" w:hAnsi="Times New Roman" w:cs="Times New Roman" w:eastAsia="Times New Roman" w:hint="default"/>
                <w:sz w:val="18"/>
                <w:szCs w:val="18"/>
              </w:rPr>
            </w:pPr>
            <w:r>
              <w:rPr>
                <w:rFonts w:ascii="Times New Roman"/>
                <w:sz w:val="18"/>
              </w:rPr>
              <w:t>132.57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3" w:right="0"/>
              <w:jc w:val="left"/>
              <w:rPr>
                <w:rFonts w:ascii="Times New Roman" w:hAnsi="Times New Roman" w:cs="Times New Roman" w:eastAsia="Times New Roman" w:hint="default"/>
                <w:sz w:val="18"/>
                <w:szCs w:val="18"/>
              </w:rPr>
            </w:pPr>
            <w:r>
              <w:rPr>
                <w:rFonts w:ascii="Times New Roman"/>
                <w:sz w:val="18"/>
              </w:rPr>
              <w:t>132.57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3" w:right="0"/>
              <w:jc w:val="left"/>
              <w:rPr>
                <w:rFonts w:ascii="Times New Roman" w:hAnsi="Times New Roman" w:cs="Times New Roman" w:eastAsia="Times New Roman" w:hint="default"/>
                <w:sz w:val="18"/>
                <w:szCs w:val="18"/>
              </w:rPr>
            </w:pPr>
            <w:r>
              <w:rPr>
                <w:rFonts w:ascii="Times New Roman"/>
                <w:sz w:val="18"/>
              </w:rPr>
              <w:t>132.57</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广州 农商 银行 华夏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both"/>
              <w:rPr>
                <w:rFonts w:ascii="宋体" w:hAnsi="宋体" w:cs="宋体" w:eastAsia="宋体" w:hint="default"/>
                <w:sz w:val="18"/>
                <w:szCs w:val="18"/>
              </w:rPr>
            </w:pPr>
            <w:r>
              <w:rPr>
                <w:rFonts w:ascii="宋体" w:hAnsi="宋体" w:cs="宋体" w:eastAsia="宋体" w:hint="default"/>
                <w:sz w:val="18"/>
                <w:szCs w:val="18"/>
              </w:rPr>
              <w:t>货币 资金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4.80%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536.55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536.55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536.55</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广州 农商 银行 华夏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167"/>
              <w:jc w:val="both"/>
              <w:rPr>
                <w:rFonts w:ascii="宋体" w:hAnsi="宋体" w:cs="宋体" w:eastAsia="宋体" w:hint="default"/>
                <w:sz w:val="18"/>
                <w:szCs w:val="18"/>
              </w:rPr>
            </w:pPr>
            <w:r>
              <w:rPr>
                <w:rFonts w:ascii="宋体" w:hAnsi="宋体" w:cs="宋体" w:eastAsia="宋体" w:hint="default"/>
                <w:sz w:val="18"/>
                <w:szCs w:val="18"/>
              </w:rPr>
              <w:t>货币 资金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4.80%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536.55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536.55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536.55</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258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工商 银行 股份 有限 公司 广州 员村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31"/>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货币 资金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41" w:right="0"/>
              <w:jc w:val="center"/>
              <w:rPr>
                <w:rFonts w:ascii="Times New Roman" w:hAnsi="Times New Roman" w:cs="Times New Roman" w:eastAsia="Times New Roman" w:hint="default"/>
                <w:sz w:val="18"/>
                <w:szCs w:val="18"/>
              </w:rPr>
            </w:pPr>
            <w:r>
              <w:rPr>
                <w:rFonts w:ascii="Times New Roman"/>
                <w:sz w:val="18"/>
              </w:rPr>
              <w:t>5.00%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3" w:right="0"/>
              <w:jc w:val="left"/>
              <w:rPr>
                <w:rFonts w:ascii="Times New Roman" w:hAnsi="Times New Roman" w:cs="Times New Roman" w:eastAsia="Times New Roman" w:hint="default"/>
                <w:sz w:val="18"/>
                <w:szCs w:val="18"/>
              </w:rPr>
            </w:pPr>
            <w:r>
              <w:rPr>
                <w:rFonts w:ascii="Times New Roman"/>
                <w:sz w:val="18"/>
              </w:rPr>
              <w:t>139.73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3" w:right="0"/>
              <w:jc w:val="left"/>
              <w:rPr>
                <w:rFonts w:ascii="Times New Roman" w:hAnsi="Times New Roman" w:cs="Times New Roman" w:eastAsia="Times New Roman" w:hint="default"/>
                <w:sz w:val="18"/>
                <w:szCs w:val="18"/>
              </w:rPr>
            </w:pPr>
            <w:r>
              <w:rPr>
                <w:rFonts w:ascii="Times New Roman"/>
                <w:sz w:val="18"/>
              </w:rPr>
              <w:t>139.73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3" w:right="0"/>
              <w:jc w:val="left"/>
              <w:rPr>
                <w:rFonts w:ascii="Times New Roman" w:hAnsi="Times New Roman" w:cs="Times New Roman" w:eastAsia="Times New Roman" w:hint="default"/>
                <w:sz w:val="18"/>
                <w:szCs w:val="18"/>
              </w:rPr>
            </w:pPr>
            <w:r>
              <w:rPr>
                <w:rFonts w:ascii="Times New Roman"/>
                <w:sz w:val="18"/>
              </w:rPr>
              <w:t>139.73</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中国 民生 银行 股份 有限 公司 广州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31"/>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货币 资金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41" w:right="0"/>
              <w:jc w:val="center"/>
              <w:rPr>
                <w:rFonts w:ascii="Times New Roman" w:hAnsi="Times New Roman" w:cs="Times New Roman" w:eastAsia="Times New Roman" w:hint="default"/>
                <w:sz w:val="18"/>
                <w:szCs w:val="18"/>
              </w:rPr>
            </w:pPr>
            <w:r>
              <w:rPr>
                <w:rFonts w:ascii="Times New Roman"/>
                <w:sz w:val="18"/>
              </w:rPr>
              <w:t>4.30%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33" w:right="0"/>
              <w:jc w:val="left"/>
              <w:rPr>
                <w:rFonts w:ascii="Times New Roman" w:hAnsi="Times New Roman" w:cs="Times New Roman" w:eastAsia="Times New Roman" w:hint="default"/>
                <w:sz w:val="18"/>
                <w:szCs w:val="18"/>
              </w:rPr>
            </w:pPr>
            <w:r>
              <w:rPr>
                <w:rFonts w:ascii="Times New Roman"/>
                <w:sz w:val="18"/>
              </w:rPr>
              <w:t>103.92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33" w:right="0"/>
              <w:jc w:val="left"/>
              <w:rPr>
                <w:rFonts w:ascii="Times New Roman" w:hAnsi="Times New Roman" w:cs="Times New Roman" w:eastAsia="Times New Roman" w:hint="default"/>
                <w:sz w:val="18"/>
                <w:szCs w:val="18"/>
              </w:rPr>
            </w:pPr>
            <w:r>
              <w:rPr>
                <w:rFonts w:ascii="Times New Roman"/>
                <w:sz w:val="18"/>
              </w:rPr>
              <w:t>103.92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33" w:right="0"/>
              <w:jc w:val="left"/>
              <w:rPr>
                <w:rFonts w:ascii="Times New Roman" w:hAnsi="Times New Roman" w:cs="Times New Roman" w:eastAsia="Times New Roman" w:hint="default"/>
                <w:sz w:val="18"/>
                <w:szCs w:val="18"/>
              </w:rPr>
            </w:pPr>
            <w:r>
              <w:rPr>
                <w:rFonts w:ascii="Times New Roman"/>
                <w:sz w:val="18"/>
              </w:rPr>
              <w:t>103.92</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176"/>
              <w:jc w:val="both"/>
              <w:rPr>
                <w:rFonts w:ascii="宋体" w:hAnsi="宋体" w:cs="宋体" w:eastAsia="宋体" w:hint="default"/>
                <w:sz w:val="18"/>
                <w:szCs w:val="18"/>
              </w:rPr>
            </w:pPr>
            <w:r>
              <w:rPr>
                <w:rFonts w:ascii="宋体" w:hAnsi="宋体" w:cs="宋体" w:eastAsia="宋体" w:hint="default"/>
                <w:sz w:val="18"/>
                <w:szCs w:val="18"/>
              </w:rPr>
              <w:t>中信 银行 股份 有限</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31"/>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167"/>
              <w:jc w:val="both"/>
              <w:rPr>
                <w:rFonts w:ascii="宋体" w:hAnsi="宋体" w:cs="宋体" w:eastAsia="宋体" w:hint="default"/>
                <w:sz w:val="18"/>
                <w:szCs w:val="18"/>
              </w:rPr>
            </w:pPr>
            <w:r>
              <w:rPr>
                <w:rFonts w:ascii="宋体" w:hAnsi="宋体" w:cs="宋体" w:eastAsia="宋体" w:hint="default"/>
                <w:sz w:val="18"/>
                <w:szCs w:val="18"/>
              </w:rPr>
              <w:t>货币 资金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167"/>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1" w:right="0"/>
              <w:jc w:val="center"/>
              <w:rPr>
                <w:rFonts w:ascii="Times New Roman" w:hAnsi="Times New Roman" w:cs="Times New Roman" w:eastAsia="Times New Roman" w:hint="default"/>
                <w:sz w:val="18"/>
                <w:szCs w:val="18"/>
              </w:rPr>
            </w:pPr>
            <w:r>
              <w:rPr>
                <w:rFonts w:ascii="Times New Roman"/>
                <w:sz w:val="18"/>
              </w:rPr>
              <w:t>4.40%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3" w:right="0"/>
              <w:jc w:val="left"/>
              <w:rPr>
                <w:rFonts w:ascii="Times New Roman" w:hAnsi="Times New Roman" w:cs="Times New Roman" w:eastAsia="Times New Roman" w:hint="default"/>
                <w:sz w:val="18"/>
                <w:szCs w:val="18"/>
              </w:rPr>
            </w:pPr>
            <w:r>
              <w:rPr>
                <w:rFonts w:ascii="Times New Roman"/>
                <w:sz w:val="18"/>
              </w:rPr>
              <w:t>133.81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3" w:right="0"/>
              <w:jc w:val="left"/>
              <w:rPr>
                <w:rFonts w:ascii="Times New Roman" w:hAnsi="Times New Roman" w:cs="Times New Roman" w:eastAsia="Times New Roman" w:hint="default"/>
                <w:sz w:val="18"/>
                <w:szCs w:val="18"/>
              </w:rPr>
            </w:pPr>
            <w:r>
              <w:rPr>
                <w:rFonts w:ascii="Times New Roman"/>
                <w:sz w:val="18"/>
              </w:rPr>
              <w:t>133.81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3" w:right="0"/>
              <w:jc w:val="left"/>
              <w:rPr>
                <w:rFonts w:ascii="Times New Roman" w:hAnsi="Times New Roman" w:cs="Times New Roman" w:eastAsia="Times New Roman" w:hint="default"/>
                <w:sz w:val="18"/>
                <w:szCs w:val="18"/>
              </w:rPr>
            </w:pPr>
            <w:r>
              <w:rPr>
                <w:rFonts w:ascii="Times New Roman"/>
                <w:sz w:val="18"/>
              </w:rPr>
              <w:t>133.81</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129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76"/>
              <w:jc w:val="both"/>
              <w:rPr>
                <w:rFonts w:ascii="宋体" w:hAnsi="宋体" w:cs="宋体" w:eastAsia="宋体" w:hint="default"/>
                <w:sz w:val="18"/>
                <w:szCs w:val="18"/>
              </w:rPr>
            </w:pPr>
            <w:r>
              <w:rPr>
                <w:rFonts w:ascii="宋体" w:hAnsi="宋体" w:cs="宋体" w:eastAsia="宋体" w:hint="default"/>
                <w:sz w:val="18"/>
                <w:szCs w:val="18"/>
              </w:rPr>
              <w:t>公司 广州 天河 支行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工商 银行 股份 有限 公司 广州 员村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31"/>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货币 资金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2" w:right="0"/>
              <w:jc w:val="left"/>
              <w:rPr>
                <w:rFonts w:ascii="Times New Roman" w:hAnsi="Times New Roman" w:cs="Times New Roman" w:eastAsia="Times New Roman" w:hint="default"/>
                <w:sz w:val="18"/>
                <w:szCs w:val="18"/>
              </w:rPr>
            </w:pPr>
            <w:r>
              <w:rPr>
                <w:rFonts w:ascii="Times New Roman"/>
                <w:sz w:val="18"/>
              </w:rPr>
              <w:t>5.00%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142.47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142.47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142.47</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290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招商 银行 股份 有限 公司 广州 南方 报业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31"/>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both"/>
              <w:rPr>
                <w:rFonts w:ascii="宋体" w:hAnsi="宋体" w:cs="宋体" w:eastAsia="宋体" w:hint="default"/>
                <w:sz w:val="18"/>
                <w:szCs w:val="18"/>
              </w:rPr>
            </w:pPr>
            <w:r>
              <w:rPr>
                <w:rFonts w:ascii="宋体" w:hAnsi="宋体" w:cs="宋体" w:eastAsia="宋体" w:hint="default"/>
                <w:sz w:val="18"/>
                <w:szCs w:val="18"/>
              </w:rPr>
              <w:t>货币 资金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67"/>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3.72%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62.17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62.17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62.17</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中国 建设 银行 股份 有限 公司 广东 省分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31"/>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both"/>
              <w:rPr>
                <w:rFonts w:ascii="宋体" w:hAnsi="宋体" w:cs="宋体" w:eastAsia="宋体" w:hint="default"/>
                <w:sz w:val="18"/>
                <w:szCs w:val="18"/>
              </w:rPr>
            </w:pPr>
            <w:r>
              <w:rPr>
                <w:rFonts w:ascii="宋体" w:hAnsi="宋体" w:cs="宋体" w:eastAsia="宋体" w:hint="default"/>
                <w:sz w:val="18"/>
                <w:szCs w:val="18"/>
              </w:rPr>
              <w:t>货币 资金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67"/>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3.99%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200.05</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258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工商 银行 股份 有限 公司 广州 员村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31"/>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货币 资金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62" w:right="0"/>
              <w:jc w:val="left"/>
              <w:rPr>
                <w:rFonts w:ascii="Times New Roman" w:hAnsi="Times New Roman" w:cs="Times New Roman" w:eastAsia="Times New Roman" w:hint="default"/>
                <w:sz w:val="18"/>
                <w:szCs w:val="18"/>
              </w:rPr>
            </w:pPr>
            <w:r>
              <w:rPr>
                <w:rFonts w:ascii="Times New Roman"/>
                <w:sz w:val="18"/>
              </w:rPr>
              <w:t>5.00%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21"/>
              <w:jc w:val="right"/>
              <w:rPr>
                <w:rFonts w:ascii="Times New Roman" w:hAnsi="Times New Roman" w:cs="Times New Roman" w:eastAsia="Times New Roman" w:hint="default"/>
                <w:sz w:val="18"/>
                <w:szCs w:val="18"/>
              </w:rPr>
            </w:pPr>
            <w:r>
              <w:rPr>
                <w:rFonts w:ascii="Times New Roman"/>
                <w:spacing w:val="-1"/>
                <w:sz w:val="18"/>
              </w:rPr>
              <w:t>131.51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21"/>
              <w:jc w:val="right"/>
              <w:rPr>
                <w:rFonts w:ascii="Times New Roman" w:hAnsi="Times New Roman" w:cs="Times New Roman" w:eastAsia="Times New Roman" w:hint="default"/>
                <w:sz w:val="18"/>
                <w:szCs w:val="18"/>
              </w:rPr>
            </w:pPr>
            <w:r>
              <w:rPr>
                <w:rFonts w:ascii="Times New Roman"/>
                <w:spacing w:val="-1"/>
                <w:sz w:val="18"/>
              </w:rPr>
              <w:t>131.51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21"/>
              <w:jc w:val="right"/>
              <w:rPr>
                <w:rFonts w:ascii="Times New Roman" w:hAnsi="Times New Roman" w:cs="Times New Roman" w:eastAsia="Times New Roman" w:hint="default"/>
                <w:sz w:val="18"/>
                <w:szCs w:val="18"/>
              </w:rPr>
            </w:pPr>
            <w:r>
              <w:rPr>
                <w:rFonts w:ascii="Times New Roman"/>
                <w:spacing w:val="-1"/>
                <w:sz w:val="18"/>
              </w:rPr>
              <w:t>131.51</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1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兴业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3" w:right="167"/>
              <w:jc w:val="both"/>
              <w:rPr>
                <w:rFonts w:ascii="宋体" w:hAnsi="宋体" w:cs="宋体" w:eastAsia="宋体" w:hint="default"/>
                <w:sz w:val="18"/>
                <w:szCs w:val="18"/>
              </w:rPr>
            </w:pPr>
            <w:r>
              <w:rPr>
                <w:rFonts w:ascii="宋体" w:hAnsi="宋体" w:cs="宋体" w:eastAsia="宋体" w:hint="default"/>
                <w:sz w:val="18"/>
                <w:szCs w:val="18"/>
              </w:rPr>
              <w:t>货币 资金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5.10%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125.75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125.75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125.75</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98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76"/>
              <w:jc w:val="both"/>
              <w:rPr>
                <w:rFonts w:ascii="宋体" w:hAnsi="宋体" w:cs="宋体" w:eastAsia="宋体" w:hint="default"/>
                <w:sz w:val="18"/>
                <w:szCs w:val="18"/>
              </w:rPr>
            </w:pPr>
            <w:r>
              <w:rPr>
                <w:rFonts w:ascii="宋体" w:hAnsi="宋体" w:cs="宋体" w:eastAsia="宋体" w:hint="default"/>
                <w:sz w:val="18"/>
                <w:szCs w:val="18"/>
              </w:rPr>
              <w:t>广州 越秀 支行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中国 建设 银行 股份 有限 公司 广东 省分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31"/>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both"/>
              <w:rPr>
                <w:rFonts w:ascii="宋体" w:hAnsi="宋体" w:cs="宋体" w:eastAsia="宋体" w:hint="default"/>
                <w:sz w:val="18"/>
                <w:szCs w:val="18"/>
              </w:rPr>
            </w:pPr>
            <w:r>
              <w:rPr>
                <w:rFonts w:ascii="宋体" w:hAnsi="宋体" w:cs="宋体" w:eastAsia="宋体" w:hint="default"/>
                <w:sz w:val="18"/>
                <w:szCs w:val="18"/>
              </w:rPr>
              <w:t>货币 资金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67"/>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3.99%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295.15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295.15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295.15</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258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中国 民生 银行 股份 有限 公司 广州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31"/>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货币 资金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2" w:right="0"/>
              <w:jc w:val="left"/>
              <w:rPr>
                <w:rFonts w:ascii="Times New Roman" w:hAnsi="Times New Roman" w:cs="Times New Roman" w:eastAsia="Times New Roman" w:hint="default"/>
                <w:sz w:val="18"/>
                <w:szCs w:val="18"/>
              </w:rPr>
            </w:pPr>
            <w:r>
              <w:rPr>
                <w:rFonts w:ascii="Times New Roman"/>
                <w:sz w:val="18"/>
              </w:rPr>
              <w:t>4.35%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3" w:right="0"/>
              <w:jc w:val="left"/>
              <w:rPr>
                <w:rFonts w:ascii="Times New Roman" w:hAnsi="Times New Roman" w:cs="Times New Roman" w:eastAsia="Times New Roman" w:hint="default"/>
                <w:sz w:val="18"/>
                <w:szCs w:val="18"/>
              </w:rPr>
            </w:pPr>
            <w:r>
              <w:rPr>
                <w:rFonts w:ascii="Times New Roman"/>
                <w:sz w:val="18"/>
              </w:rPr>
              <w:t>236.83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3" w:right="0"/>
              <w:jc w:val="left"/>
              <w:rPr>
                <w:rFonts w:ascii="Times New Roman" w:hAnsi="Times New Roman" w:cs="Times New Roman" w:eastAsia="Times New Roman" w:hint="default"/>
                <w:sz w:val="18"/>
                <w:szCs w:val="18"/>
              </w:rPr>
            </w:pPr>
            <w:r>
              <w:rPr>
                <w:rFonts w:ascii="Times New Roman"/>
                <w:sz w:val="18"/>
              </w:rPr>
              <w:t>236.83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3" w:right="0"/>
              <w:jc w:val="left"/>
              <w:rPr>
                <w:rFonts w:ascii="Times New Roman" w:hAnsi="Times New Roman" w:cs="Times New Roman" w:eastAsia="Times New Roman" w:hint="default"/>
                <w:sz w:val="18"/>
                <w:szCs w:val="18"/>
              </w:rPr>
            </w:pPr>
            <w:r>
              <w:rPr>
                <w:rFonts w:ascii="Times New Roman"/>
                <w:sz w:val="18"/>
              </w:rPr>
              <w:t>236.83</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兴业 银行 股份 有限 公司 广州 康王 路支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31"/>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both"/>
              <w:rPr>
                <w:rFonts w:ascii="宋体" w:hAnsi="宋体" w:cs="宋体" w:eastAsia="宋体" w:hint="default"/>
                <w:sz w:val="18"/>
                <w:szCs w:val="18"/>
              </w:rPr>
            </w:pPr>
            <w:r>
              <w:rPr>
                <w:rFonts w:ascii="宋体" w:hAnsi="宋体" w:cs="宋体" w:eastAsia="宋体" w:hint="default"/>
                <w:sz w:val="18"/>
                <w:szCs w:val="18"/>
              </w:rPr>
              <w:t>货币 资金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67"/>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4.70%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115.89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115.89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115.89</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258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中信 银行 股份 有限 公司 广州 天河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31"/>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货币 资金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62" w:right="0"/>
              <w:jc w:val="left"/>
              <w:rPr>
                <w:rFonts w:ascii="Times New Roman" w:hAnsi="Times New Roman" w:cs="Times New Roman" w:eastAsia="Times New Roman" w:hint="default"/>
                <w:sz w:val="18"/>
                <w:szCs w:val="18"/>
              </w:rPr>
            </w:pPr>
            <w:r>
              <w:rPr>
                <w:rFonts w:ascii="Times New Roman"/>
                <w:sz w:val="18"/>
              </w:rPr>
              <w:t>4.40%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33" w:right="0"/>
              <w:jc w:val="left"/>
              <w:rPr>
                <w:rFonts w:ascii="Times New Roman" w:hAnsi="Times New Roman" w:cs="Times New Roman" w:eastAsia="Times New Roman" w:hint="default"/>
                <w:sz w:val="18"/>
                <w:szCs w:val="18"/>
              </w:rPr>
            </w:pPr>
            <w:r>
              <w:rPr>
                <w:rFonts w:ascii="Times New Roman"/>
                <w:sz w:val="18"/>
              </w:rPr>
              <w:t>126.58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33" w:right="0"/>
              <w:jc w:val="left"/>
              <w:rPr>
                <w:rFonts w:ascii="Times New Roman" w:hAnsi="Times New Roman" w:cs="Times New Roman" w:eastAsia="Times New Roman" w:hint="default"/>
                <w:sz w:val="18"/>
                <w:szCs w:val="18"/>
              </w:rPr>
            </w:pPr>
            <w:r>
              <w:rPr>
                <w:rFonts w:ascii="Times New Roman"/>
                <w:sz w:val="18"/>
              </w:rPr>
              <w:t>126.58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33" w:right="0"/>
              <w:jc w:val="left"/>
              <w:rPr>
                <w:rFonts w:ascii="Times New Roman" w:hAnsi="Times New Roman" w:cs="Times New Roman" w:eastAsia="Times New Roman" w:hint="default"/>
                <w:sz w:val="18"/>
                <w:szCs w:val="18"/>
              </w:rPr>
            </w:pPr>
            <w:r>
              <w:rPr>
                <w:rFonts w:ascii="Times New Roman"/>
                <w:sz w:val="18"/>
              </w:rPr>
              <w:t>126.58</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2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招商 银行 股份 有限 公司 广州</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4" w:lineRule="auto"/>
              <w:ind w:left="23" w:right="31"/>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4" w:lineRule="auto"/>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货币 资金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4" w:lineRule="auto"/>
              <w:ind w:left="23" w:right="167"/>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105.86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105.86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105.86</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98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76"/>
              <w:jc w:val="both"/>
              <w:rPr>
                <w:rFonts w:ascii="宋体" w:hAnsi="宋体" w:cs="宋体" w:eastAsia="宋体" w:hint="default"/>
                <w:sz w:val="18"/>
                <w:szCs w:val="18"/>
              </w:rPr>
            </w:pPr>
            <w:r>
              <w:rPr>
                <w:rFonts w:ascii="宋体" w:hAnsi="宋体" w:cs="宋体" w:eastAsia="宋体" w:hint="default"/>
                <w:sz w:val="18"/>
                <w:szCs w:val="18"/>
              </w:rPr>
              <w:t>南方 报业 支行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广州 农商 银行 华夏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both"/>
              <w:rPr>
                <w:rFonts w:ascii="宋体" w:hAnsi="宋体" w:cs="宋体" w:eastAsia="宋体" w:hint="default"/>
                <w:sz w:val="18"/>
                <w:szCs w:val="18"/>
              </w:rPr>
            </w:pPr>
            <w:r>
              <w:rPr>
                <w:rFonts w:ascii="宋体" w:hAnsi="宋体" w:cs="宋体" w:eastAsia="宋体" w:hint="default"/>
                <w:sz w:val="18"/>
                <w:szCs w:val="18"/>
              </w:rPr>
              <w:t>货币 资金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4.30%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113.1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113.1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113.10</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广州 农商 银行 华夏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3" w:right="31"/>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167"/>
              <w:jc w:val="both"/>
              <w:rPr>
                <w:rFonts w:ascii="宋体" w:hAnsi="宋体" w:cs="宋体" w:eastAsia="宋体" w:hint="default"/>
                <w:sz w:val="18"/>
                <w:szCs w:val="18"/>
              </w:rPr>
            </w:pPr>
            <w:r>
              <w:rPr>
                <w:rFonts w:ascii="宋体" w:hAnsi="宋体" w:cs="宋体" w:eastAsia="宋体" w:hint="default"/>
                <w:sz w:val="18"/>
                <w:szCs w:val="18"/>
              </w:rPr>
              <w:t>货币 资金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3" w:right="167"/>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4.40%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344.67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344.67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344.67</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兴业 银行 股份 有限 公司 广州 东风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31"/>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货币 资金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2" w:right="0"/>
              <w:jc w:val="left"/>
              <w:rPr>
                <w:rFonts w:ascii="Times New Roman" w:hAnsi="Times New Roman" w:cs="Times New Roman" w:eastAsia="Times New Roman" w:hint="default"/>
                <w:sz w:val="18"/>
                <w:szCs w:val="18"/>
              </w:rPr>
            </w:pPr>
            <w:r>
              <w:rPr>
                <w:rFonts w:ascii="Times New Roman"/>
                <w:sz w:val="18"/>
              </w:rPr>
              <w:t>4.80%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80.22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80.22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80.22</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321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光大 银行 股份 有限 公司 广州 黄埔 大道 西支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67"/>
              <w:jc w:val="both"/>
              <w:rPr>
                <w:rFonts w:ascii="宋体" w:hAnsi="宋体" w:cs="宋体" w:eastAsia="宋体" w:hint="default"/>
                <w:sz w:val="18"/>
                <w:szCs w:val="18"/>
              </w:rPr>
            </w:pPr>
            <w:r>
              <w:rPr>
                <w:rFonts w:ascii="宋体" w:hAnsi="宋体" w:cs="宋体" w:eastAsia="宋体" w:hint="default"/>
                <w:sz w:val="18"/>
                <w:szCs w:val="18"/>
              </w:rPr>
              <w:t>货币 资金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4.45%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111.25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111.25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111.25</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兴业 银行 股份 有限 公司 广州 康王 路支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31"/>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both"/>
              <w:rPr>
                <w:rFonts w:ascii="宋体" w:hAnsi="宋体" w:cs="宋体" w:eastAsia="宋体" w:hint="default"/>
                <w:sz w:val="18"/>
                <w:szCs w:val="18"/>
              </w:rPr>
            </w:pPr>
            <w:r>
              <w:rPr>
                <w:rFonts w:ascii="宋体" w:hAnsi="宋体" w:cs="宋体" w:eastAsia="宋体" w:hint="default"/>
                <w:sz w:val="18"/>
                <w:szCs w:val="18"/>
              </w:rPr>
              <w:t>货币 资金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67"/>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4.10%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37.07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37.07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37.07</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1"/>
              <w:ind w:left="24" w:right="176"/>
              <w:jc w:val="left"/>
              <w:rPr>
                <w:rFonts w:ascii="宋体" w:hAnsi="宋体" w:cs="宋体" w:eastAsia="宋体" w:hint="default"/>
                <w:sz w:val="18"/>
                <w:szCs w:val="18"/>
              </w:rPr>
            </w:pPr>
            <w:r>
              <w:rPr>
                <w:rFonts w:ascii="宋体" w:hAnsi="宋体" w:cs="宋体" w:eastAsia="宋体" w:hint="default"/>
                <w:sz w:val="18"/>
                <w:szCs w:val="18"/>
              </w:rPr>
              <w:t>中国 民生</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1"/>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1"/>
              <w:ind w:left="23" w:right="167"/>
              <w:jc w:val="left"/>
              <w:rPr>
                <w:rFonts w:ascii="宋体" w:hAnsi="宋体" w:cs="宋体" w:eastAsia="宋体" w:hint="default"/>
                <w:sz w:val="18"/>
                <w:szCs w:val="18"/>
              </w:rPr>
            </w:pPr>
            <w:r>
              <w:rPr>
                <w:rFonts w:ascii="宋体" w:hAnsi="宋体" w:cs="宋体" w:eastAsia="宋体" w:hint="default"/>
                <w:sz w:val="18"/>
                <w:szCs w:val="18"/>
              </w:rPr>
              <w:t>货币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7"/>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4.65%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235.08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235.08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235.08</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192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76"/>
              <w:jc w:val="both"/>
              <w:rPr>
                <w:rFonts w:ascii="宋体" w:hAnsi="宋体" w:cs="宋体" w:eastAsia="宋体" w:hint="default"/>
                <w:sz w:val="18"/>
                <w:szCs w:val="18"/>
              </w:rPr>
            </w:pPr>
            <w:r>
              <w:rPr>
                <w:rFonts w:ascii="宋体" w:hAnsi="宋体" w:cs="宋体" w:eastAsia="宋体" w:hint="default"/>
                <w:sz w:val="18"/>
                <w:szCs w:val="18"/>
              </w:rPr>
              <w:t>银行 股份 有限 公司 广州 分行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市场</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中国 建设 银行 股份 有限 公司 广东 省分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3" w:right="31"/>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3" w:right="167"/>
              <w:jc w:val="both"/>
              <w:rPr>
                <w:rFonts w:ascii="宋体" w:hAnsi="宋体" w:cs="宋体" w:eastAsia="宋体" w:hint="default"/>
                <w:sz w:val="18"/>
                <w:szCs w:val="18"/>
              </w:rPr>
            </w:pPr>
            <w:r>
              <w:rPr>
                <w:rFonts w:ascii="宋体" w:hAnsi="宋体" w:cs="宋体" w:eastAsia="宋体" w:hint="default"/>
                <w:sz w:val="18"/>
                <w:szCs w:val="18"/>
              </w:rPr>
              <w:t>货币 资金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3" w:right="167"/>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3.84%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490.67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490.67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490.67</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258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中信 银行 股份 有限 公司 广州 天河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31"/>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货币 资金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2" w:right="0"/>
              <w:jc w:val="left"/>
              <w:rPr>
                <w:rFonts w:ascii="Times New Roman" w:hAnsi="Times New Roman" w:cs="Times New Roman" w:eastAsia="Times New Roman" w:hint="default"/>
                <w:sz w:val="18"/>
                <w:szCs w:val="18"/>
              </w:rPr>
            </w:pPr>
            <w:r>
              <w:rPr>
                <w:rFonts w:ascii="Times New Roman"/>
                <w:sz w:val="18"/>
              </w:rPr>
              <w:t>4.65%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140.14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140.14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3" w:right="0"/>
              <w:jc w:val="left"/>
              <w:rPr>
                <w:rFonts w:ascii="Times New Roman" w:hAnsi="Times New Roman" w:cs="Times New Roman" w:eastAsia="Times New Roman" w:hint="default"/>
                <w:sz w:val="18"/>
                <w:szCs w:val="18"/>
              </w:rPr>
            </w:pPr>
            <w:r>
              <w:rPr>
                <w:rFonts w:ascii="Times New Roman"/>
                <w:sz w:val="18"/>
              </w:rPr>
              <w:t>140.14</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广州 农商 银行 华夏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67"/>
              <w:jc w:val="both"/>
              <w:rPr>
                <w:rFonts w:ascii="宋体" w:hAnsi="宋体" w:cs="宋体" w:eastAsia="宋体" w:hint="default"/>
                <w:sz w:val="18"/>
                <w:szCs w:val="18"/>
              </w:rPr>
            </w:pPr>
            <w:r>
              <w:rPr>
                <w:rFonts w:ascii="宋体" w:hAnsi="宋体" w:cs="宋体" w:eastAsia="宋体" w:hint="default"/>
                <w:sz w:val="18"/>
                <w:szCs w:val="18"/>
              </w:rPr>
              <w:t>货币 资金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373.56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373.56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373.56</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321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光大 银行 股份 有限 公司 广州 黄埔 大道 西支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67"/>
              <w:jc w:val="both"/>
              <w:rPr>
                <w:rFonts w:ascii="宋体" w:hAnsi="宋体" w:cs="宋体" w:eastAsia="宋体" w:hint="default"/>
                <w:sz w:val="18"/>
                <w:szCs w:val="18"/>
              </w:rPr>
            </w:pPr>
            <w:r>
              <w:rPr>
                <w:rFonts w:ascii="宋体" w:hAnsi="宋体" w:cs="宋体" w:eastAsia="宋体" w:hint="default"/>
                <w:sz w:val="18"/>
                <w:szCs w:val="18"/>
              </w:rPr>
              <w:t>货币 资金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4.60%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115.00</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61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中国 建设 银行 股份 有限</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3" w:right="167"/>
              <w:jc w:val="both"/>
              <w:rPr>
                <w:rFonts w:ascii="宋体" w:hAnsi="宋体" w:cs="宋体" w:eastAsia="宋体" w:hint="default"/>
                <w:sz w:val="18"/>
                <w:szCs w:val="18"/>
              </w:rPr>
            </w:pPr>
            <w:r>
              <w:rPr>
                <w:rFonts w:ascii="宋体" w:hAnsi="宋体" w:cs="宋体" w:eastAsia="宋体" w:hint="default"/>
                <w:sz w:val="18"/>
                <w:szCs w:val="18"/>
              </w:rPr>
              <w:t>货币 资金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3" w:right="167"/>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3.40%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419.18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419.18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419.18</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60"/>
        <w:gridCol w:w="562"/>
        <w:gridCol w:w="562"/>
        <w:gridCol w:w="562"/>
        <w:gridCol w:w="548"/>
        <w:gridCol w:w="547"/>
        <w:gridCol w:w="547"/>
        <w:gridCol w:w="538"/>
      </w:tblGrid>
      <w:tr>
        <w:trPr>
          <w:trHeight w:val="129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76"/>
              <w:jc w:val="both"/>
              <w:rPr>
                <w:rFonts w:ascii="宋体" w:hAnsi="宋体" w:cs="宋体" w:eastAsia="宋体" w:hint="default"/>
                <w:sz w:val="18"/>
                <w:szCs w:val="18"/>
              </w:rPr>
            </w:pPr>
            <w:r>
              <w:rPr>
                <w:rFonts w:ascii="宋体" w:hAnsi="宋体" w:cs="宋体" w:eastAsia="宋体" w:hint="default"/>
                <w:sz w:val="18"/>
                <w:szCs w:val="18"/>
              </w:rPr>
              <w:t>公司 广东 省分 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中国 民生 银行 股份 有限 公司 广州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31"/>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货币 资金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41" w:right="0"/>
              <w:jc w:val="center"/>
              <w:rPr>
                <w:rFonts w:ascii="Times New Roman" w:hAnsi="Times New Roman" w:cs="Times New Roman" w:eastAsia="Times New Roman" w:hint="default"/>
                <w:sz w:val="18"/>
                <w:szCs w:val="18"/>
              </w:rPr>
            </w:pPr>
            <w:r>
              <w:rPr>
                <w:rFonts w:ascii="Times New Roman"/>
                <w:sz w:val="18"/>
              </w:rPr>
              <w:t>3.95%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199.12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290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中国 银行 股份 有限 公司 广州 国贸 大厦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31"/>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both"/>
              <w:rPr>
                <w:rFonts w:ascii="宋体" w:hAnsi="宋体" w:cs="宋体" w:eastAsia="宋体" w:hint="default"/>
                <w:sz w:val="18"/>
                <w:szCs w:val="18"/>
              </w:rPr>
            </w:pPr>
            <w:r>
              <w:rPr>
                <w:rFonts w:ascii="宋体" w:hAnsi="宋体" w:cs="宋体" w:eastAsia="宋体" w:hint="default"/>
                <w:sz w:val="18"/>
                <w:szCs w:val="18"/>
              </w:rPr>
              <w:t>货币 资金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67"/>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3.35%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87.19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中信 银行 股份 有限 公司 广州 天河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31"/>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货币 资金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41" w:right="0"/>
              <w:jc w:val="center"/>
              <w:rPr>
                <w:rFonts w:ascii="Times New Roman" w:hAnsi="Times New Roman" w:cs="Times New Roman" w:eastAsia="Times New Roman" w:hint="default"/>
                <w:sz w:val="18"/>
                <w:szCs w:val="18"/>
              </w:rPr>
            </w:pPr>
            <w:r>
              <w:rPr>
                <w:rFonts w:ascii="Times New Roman"/>
                <w:sz w:val="18"/>
              </w:rPr>
              <w:t>3.90%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115.4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290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中国 建设 银行 股份 有限 公司 广东 省分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31"/>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both"/>
              <w:rPr>
                <w:rFonts w:ascii="宋体" w:hAnsi="宋体" w:cs="宋体" w:eastAsia="宋体" w:hint="default"/>
                <w:sz w:val="18"/>
                <w:szCs w:val="18"/>
              </w:rPr>
            </w:pPr>
            <w:r>
              <w:rPr>
                <w:rFonts w:ascii="宋体" w:hAnsi="宋体" w:cs="宋体" w:eastAsia="宋体" w:hint="default"/>
                <w:sz w:val="18"/>
                <w:szCs w:val="18"/>
              </w:rPr>
              <w:t>货币 资金 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67"/>
              <w:jc w:val="left"/>
              <w:rPr>
                <w:rFonts w:ascii="宋体" w:hAnsi="宋体" w:cs="宋体" w:eastAsia="宋体" w:hint="default"/>
                <w:sz w:val="18"/>
                <w:szCs w:val="18"/>
              </w:rPr>
            </w:pPr>
            <w:r>
              <w:rPr>
                <w:rFonts w:ascii="宋体" w:hAnsi="宋体" w:cs="宋体" w:eastAsia="宋体" w:hint="default"/>
                <w:sz w:val="18"/>
                <w:szCs w:val="18"/>
              </w:rPr>
              <w:t>浮动 收益</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3.40%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419.18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6,406.</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22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5,585.</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33</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034"/>
        <w:jc w:val="left"/>
      </w:pPr>
      <w:r>
        <w:rPr/>
        <w:t>委托理财出现预期无法收回本金或存在其他可能导致减值的情形</w:t>
      </w:r>
    </w:p>
    <w:p>
      <w:pPr>
        <w:pStyle w:val="BodyText"/>
        <w:spacing w:line="240" w:lineRule="auto" w:before="117"/>
        <w:ind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79" w:top="1100" w:bottom="1160" w:left="980" w:right="0"/>
        </w:sectPr>
      </w:pPr>
    </w:p>
    <w:p>
      <w:pPr>
        <w:spacing w:line="240" w:lineRule="auto" w:before="4"/>
        <w:rPr>
          <w:rFonts w:ascii="宋体" w:hAnsi="宋体" w:cs="宋体" w:eastAsia="宋体" w:hint="default"/>
          <w:sz w:val="21"/>
          <w:szCs w:val="21"/>
        </w:rPr>
      </w:pPr>
    </w:p>
    <w:p>
      <w:pPr>
        <w:pStyle w:val="Heading4"/>
        <w:spacing w:line="240" w:lineRule="auto" w:before="37"/>
        <w:ind w:right="0"/>
        <w:jc w:val="both"/>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11"/>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1"/>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11"/>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r>
        <w:rPr/>
        <w:t>十八、社会责任情况</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right="0"/>
        <w:jc w:val="both"/>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9"/>
        <w:rPr>
          <w:rFonts w:ascii="宋体" w:hAnsi="宋体" w:cs="宋体" w:eastAsia="宋体" w:hint="default"/>
          <w:b/>
          <w:bCs/>
          <w:sz w:val="26"/>
          <w:szCs w:val="26"/>
        </w:rPr>
      </w:pPr>
    </w:p>
    <w:p>
      <w:pPr>
        <w:pStyle w:val="BodyText"/>
        <w:spacing w:line="309" w:lineRule="auto"/>
        <w:ind w:right="1133" w:firstLine="360"/>
        <w:jc w:val="both"/>
      </w:pPr>
      <w:r>
        <w:rPr/>
        <w:t>作为一家上市公司，公司在发展壮大的过程中，始终坚持积极履行社会责任。</w:t>
      </w:r>
      <w:r>
        <w:rPr>
          <w:rFonts w:ascii="Times New Roman" w:hAnsi="Times New Roman" w:cs="Times New Roman" w:eastAsia="Times New Roman" w:hint="default"/>
        </w:rPr>
        <w:t>2018</w:t>
      </w:r>
      <w:r>
        <w:rPr>
          <w:rFonts w:ascii="Times New Roman" w:hAnsi="Times New Roman" w:cs="Times New Roman" w:eastAsia="Times New Roman" w:hint="default"/>
          <w:spacing w:val="-26"/>
        </w:rPr>
        <w:t> </w:t>
      </w:r>
      <w:r>
        <w:rPr/>
        <w:t>年，公司按照</w:t>
      </w:r>
      <w:r>
        <w:rPr>
          <w:rFonts w:ascii="Times New Roman" w:hAnsi="Times New Roman" w:cs="Times New Roman" w:eastAsia="Times New Roman" w:hint="default"/>
        </w:rPr>
        <w:t>“</w:t>
      </w:r>
      <w:r>
        <w:rPr/>
        <w:t>为社会、客户、合作 伙伴、投资者和企业员工创造价值</w:t>
      </w:r>
      <w:r>
        <w:rPr>
          <w:rFonts w:ascii="Times New Roman" w:hAnsi="Times New Roman" w:cs="Times New Roman" w:eastAsia="Times New Roman" w:hint="default"/>
        </w:rPr>
        <w:t>”</w:t>
      </w:r>
      <w:r>
        <w:rPr/>
        <w:t>的企业责任理念，在创造经济价值的同时，重视与股东、债权人、员工、客户、供应商</w:t>
      </w:r>
      <w:r>
        <w:rPr>
          <w:spacing w:val="-75"/>
        </w:rPr>
        <w:t> </w:t>
      </w:r>
      <w:r>
        <w:rPr>
          <w:spacing w:val="-75"/>
        </w:rPr>
      </w:r>
      <w:r>
        <w:rPr>
          <w:spacing w:val="-2"/>
        </w:rPr>
        <w:t>等利益相关方及时沟通，在合作过程中做到重信誉、重承诺、重合同、守信用，与利益相关方保持健康良好、合作共赢的关</w:t>
      </w:r>
      <w:r>
        <w:rPr>
          <w:spacing w:val="-70"/>
        </w:rPr>
        <w:t> </w:t>
      </w:r>
      <w:r>
        <w:rPr>
          <w:spacing w:val="-70"/>
        </w:rPr>
      </w:r>
      <w:r>
        <w:rPr>
          <w:spacing w:val="-2"/>
        </w:rPr>
        <w:t>系；秉承绿色经营理念，提供安全优质产品，保护员工合法权益，积极参与社会公益，促进公司与员工、社会与自然的和谐</w:t>
      </w:r>
      <w:r>
        <w:rPr>
          <w:spacing w:val="-68"/>
        </w:rPr>
        <w:t> </w:t>
      </w:r>
      <w:r>
        <w:rPr>
          <w:spacing w:val="-68"/>
        </w:rPr>
      </w:r>
      <w:r>
        <w:rPr/>
        <w:t>发展。</w:t>
      </w:r>
    </w:p>
    <w:p>
      <w:pPr>
        <w:pStyle w:val="BodyText"/>
        <w:spacing w:line="340" w:lineRule="auto" w:before="65"/>
        <w:ind w:left="513" w:right="1118"/>
        <w:jc w:val="left"/>
      </w:pPr>
      <w:r>
        <w:rPr/>
        <w:t>（</w:t>
      </w:r>
      <w:r>
        <w:rPr>
          <w:rFonts w:ascii="Times New Roman" w:hAnsi="Times New Roman" w:cs="Times New Roman" w:eastAsia="Times New Roman" w:hint="default"/>
        </w:rPr>
        <w:t>1</w:t>
      </w:r>
      <w:r>
        <w:rPr/>
        <w:t>）股东权益责任 </w:t>
      </w:r>
      <w:r>
        <w:rPr>
          <w:spacing w:val="-5"/>
        </w:rPr>
        <w:t>保障股东特别是中小股东的权益，是公司最基本的社会责任。报告期内，公司召开的股东大会均按要求开通了网络投票，</w:t>
      </w:r>
    </w:p>
    <w:p>
      <w:pPr>
        <w:pStyle w:val="BodyText"/>
        <w:spacing w:line="307" w:lineRule="auto" w:before="1"/>
        <w:ind w:right="1121"/>
        <w:jc w:val="both"/>
      </w:pPr>
      <w:r>
        <w:rPr>
          <w:spacing w:val="-2"/>
        </w:rPr>
        <w:t>保障了股东基本的参与权和表决权。公司严格按照《公司章程》等有关规定，在征求独立董事的意见后制定年度权益分派方</w:t>
      </w:r>
      <w:r>
        <w:rPr>
          <w:spacing w:val="-65"/>
        </w:rPr>
        <w:t> </w:t>
      </w:r>
      <w:r>
        <w:rPr>
          <w:spacing w:val="-65"/>
        </w:rPr>
      </w:r>
      <w:r>
        <w:rPr>
          <w:spacing w:val="6"/>
        </w:rPr>
        <w:t>案并经董事会和股东大会审议通过，</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6</w:t>
      </w:r>
      <w:r>
        <w:rPr>
          <w:spacing w:val="6"/>
        </w:rPr>
        <w:t>月，公司</w:t>
      </w:r>
      <w:r>
        <w:rPr>
          <w:rFonts w:ascii="Times New Roman" w:hAnsi="Times New Roman" w:cs="Times New Roman" w:eastAsia="Times New Roman" w:hint="default"/>
          <w:spacing w:val="6"/>
        </w:rPr>
        <w:t>2017</w:t>
      </w:r>
      <w:r>
        <w:rPr>
          <w:spacing w:val="6"/>
        </w:rPr>
        <w:t>年度权益分派方案实施完成，以</w:t>
      </w:r>
      <w:r>
        <w:rPr>
          <w:rFonts w:ascii="Times New Roman" w:hAnsi="Times New Roman" w:cs="Times New Roman" w:eastAsia="Times New Roman" w:hint="default"/>
          <w:spacing w:val="6"/>
        </w:rPr>
        <w:t>2017</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日公司总股本</w:t>
      </w:r>
      <w:r>
        <w:rPr>
          <w:spacing w:val="-82"/>
        </w:rPr>
        <w:t> </w:t>
      </w:r>
      <w:r>
        <w:rPr>
          <w:rFonts w:ascii="Times New Roman" w:hAnsi="Times New Roman" w:cs="Times New Roman" w:eastAsia="Times New Roman" w:hint="default"/>
        </w:rPr>
        <w:t>2,428,885,725</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2.00</w:t>
      </w:r>
      <w:r>
        <w:rPr/>
        <w:t>元（含税）。公司在进行信息披露时，始终坚持真实、准确、</w:t>
      </w:r>
      <w:r>
        <w:rPr>
          <w:spacing w:val="-86"/>
        </w:rPr>
        <w:t> </w:t>
      </w:r>
      <w:r>
        <w:rPr>
          <w:spacing w:val="-86"/>
        </w:rPr>
      </w:r>
      <w:r>
        <w:rPr/>
        <w:t>及时、完整、公平的披露原则，秉持公平、公正、公开的原则对待全体投资者。</w:t>
      </w:r>
    </w:p>
    <w:p>
      <w:pPr>
        <w:pStyle w:val="BodyText"/>
        <w:spacing w:line="338" w:lineRule="auto" w:before="67"/>
        <w:ind w:left="513" w:right="1034"/>
        <w:jc w:val="left"/>
      </w:pPr>
      <w:r>
        <w:rPr/>
        <w:t>（</w:t>
      </w:r>
      <w:r>
        <w:rPr>
          <w:rFonts w:ascii="Times New Roman" w:hAnsi="Times New Roman" w:cs="Times New Roman" w:eastAsia="Times New Roman" w:hint="default"/>
        </w:rPr>
        <w:t>2</w:t>
      </w:r>
      <w:r>
        <w:rPr/>
        <w:t>）债权人、供应商权益责任 </w:t>
      </w:r>
      <w:r>
        <w:rPr>
          <w:spacing w:val="-2"/>
        </w:rPr>
        <w:t>公司一贯奉行稳健诚信的经营策略，对于债权人，充分尊重其对债权权益相关的重大信息的知情权；对于供应商，重视</w:t>
      </w:r>
    </w:p>
    <w:p>
      <w:pPr>
        <w:pStyle w:val="BodyText"/>
        <w:spacing w:line="300" w:lineRule="auto" w:before="2"/>
        <w:ind w:right="1133"/>
        <w:jc w:val="both"/>
      </w:pPr>
      <w:r>
        <w:rPr/>
        <w:t>其权益，不无故拖欠款项。</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年，公司持续阳光采购、合作共赢的理念，强化供应商考核要求，通过使用制造企业生产 过程执行管理系统（</w:t>
      </w:r>
      <w:r>
        <w:rPr>
          <w:rFonts w:ascii="Times New Roman" w:hAnsi="Times New Roman" w:cs="Times New Roman" w:eastAsia="Times New Roman" w:hint="default"/>
        </w:rPr>
        <w:t>MES</w:t>
      </w:r>
      <w:r>
        <w:rPr/>
        <w:t>），客观透明、高效快捷地对众多供应商进行筛选，努力做到公平、公正，与各供应商保持良好</w:t>
      </w:r>
      <w:r>
        <w:rPr>
          <w:spacing w:val="-18"/>
        </w:rPr>
        <w:t> </w:t>
      </w:r>
      <w:r>
        <w:rPr>
          <w:spacing w:val="-18"/>
        </w:rPr>
      </w:r>
      <w:r>
        <w:rPr/>
        <w:t>合作关系。</w:t>
      </w:r>
    </w:p>
    <w:p>
      <w:pPr>
        <w:pStyle w:val="BodyText"/>
        <w:spacing w:line="338" w:lineRule="auto" w:before="72"/>
        <w:ind w:left="513" w:right="1034"/>
        <w:jc w:val="left"/>
      </w:pPr>
      <w:r>
        <w:rPr/>
        <w:t>（</w:t>
      </w:r>
      <w:r>
        <w:rPr>
          <w:rFonts w:ascii="Times New Roman" w:hAnsi="Times New Roman" w:cs="Times New Roman" w:eastAsia="Times New Roman" w:hint="default"/>
        </w:rPr>
        <w:t>3</w:t>
      </w:r>
      <w:r>
        <w:rPr/>
        <w:t>）员工权益责任 </w:t>
      </w:r>
      <w:r>
        <w:rPr>
          <w:spacing w:val="-2"/>
        </w:rPr>
        <w:t>公司坚持以人为本，把人才战略作为企业发展的重点，严格遵守《劳动法》《劳动合同法》《妇女权益保护法》等相关</w:t>
      </w:r>
    </w:p>
    <w:p>
      <w:pPr>
        <w:pStyle w:val="BodyText"/>
        <w:spacing w:line="309" w:lineRule="auto" w:before="2"/>
        <w:ind w:right="1043"/>
        <w:jc w:val="both"/>
      </w:pPr>
      <w:r>
        <w:rPr/>
        <w:t>法律法规，依法与各员工签订劳动合同，依法为各员工购买各项保险并及时足额缴纳，保障员工的合法权益。</w:t>
      </w:r>
      <w:r>
        <w:rPr>
          <w:rFonts w:ascii="Times New Roman" w:hAnsi="Times New Roman" w:cs="Times New Roman" w:eastAsia="Times New Roman" w:hint="default"/>
        </w:rPr>
        <w:t>2018 </w:t>
      </w:r>
      <w:r>
        <w:rPr/>
        <w:t>年，除</w:t>
      </w:r>
      <w:r>
        <w:rPr>
          <w:spacing w:val="-84"/>
        </w:rPr>
        <w:t> </w:t>
      </w:r>
      <w:r>
        <w:rPr>
          <w:spacing w:val="-84"/>
        </w:rPr>
      </w:r>
      <w:r>
        <w:rPr>
          <w:spacing w:val="-2"/>
        </w:rPr>
        <w:t>国家规定的基本保险外，公司还为各员工购买了一些商业保险，为员工提供切实保障。公司根据不同类别的岗位制定了不同</w:t>
      </w:r>
      <w:r>
        <w:rPr>
          <w:spacing w:val="-65"/>
        </w:rPr>
        <w:t> </w:t>
      </w:r>
      <w:r>
        <w:rPr>
          <w:spacing w:val="-65"/>
        </w:rPr>
      </w:r>
      <w:r>
        <w:rPr>
          <w:spacing w:val="-2"/>
        </w:rPr>
        <w:t>的薪酬考核体系，对工作表现突出人员或团队进行物质与精神奖励；为员工提供平等的发展机会和晋升渠道，实现员工与企</w:t>
      </w:r>
      <w:r>
        <w:rPr>
          <w:spacing w:val="-63"/>
        </w:rPr>
        <w:t> </w:t>
      </w:r>
      <w:r>
        <w:rPr>
          <w:spacing w:val="-63"/>
        </w:rPr>
      </w:r>
      <w:r>
        <w:rPr/>
        <w:t>业的共同成长。公司重视人才培养，鼓励在职教育，积极提供各类职业素质提升培训；</w:t>
      </w:r>
      <w:r>
        <w:rPr>
          <w:rFonts w:ascii="Times New Roman" w:hAnsi="Times New Roman" w:cs="Times New Roman" w:eastAsia="Times New Roman" w:hint="default"/>
        </w:rPr>
        <w:t>2018 </w:t>
      </w:r>
      <w:r>
        <w:rPr/>
        <w:t>年，举办了人工智能知识普及</w:t>
      </w:r>
      <w:r>
        <w:rPr>
          <w:spacing w:val="-84"/>
        </w:rPr>
        <w:t> </w:t>
      </w:r>
      <w:r>
        <w:rPr/>
        <w:t>专题课堂《人工智能真的来了》，举办了“人工智能赋能新时代”主题演讲比赛，开设了</w:t>
      </w:r>
      <w:r>
        <w:rPr>
          <w:spacing w:val="-41"/>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期运通大讲堂《公司法实务》、</w:t>
      </w:r>
    </w:p>
    <w:p>
      <w:pPr>
        <w:pStyle w:val="BodyText"/>
        <w:spacing w:line="316" w:lineRule="auto" w:before="5"/>
        <w:ind w:right="1133"/>
        <w:jc w:val="both"/>
      </w:pPr>
      <w:r>
        <w:rPr>
          <w:spacing w:val="-2"/>
        </w:rPr>
        <w:t>《互联网时代中个人与组织的破局模式与方法》，以及其他内容丰富并涵盖公司多个业务方面的活动。除外，党工团办组织</w:t>
      </w:r>
      <w:r>
        <w:rPr>
          <w:spacing w:val="-66"/>
        </w:rPr>
        <w:t> </w:t>
      </w:r>
      <w:r>
        <w:rPr>
          <w:spacing w:val="-66"/>
        </w:rPr>
      </w:r>
      <w:r>
        <w:rPr>
          <w:spacing w:val="-2"/>
        </w:rPr>
        <w:t>了职业病防治、保育员、育婴师、美容师等职业培训；举办了三八节、六一节、周年庆、志愿者日、趣味运动会、羽毛球比</w:t>
      </w:r>
      <w:r>
        <w:rPr>
          <w:spacing w:val="-70"/>
        </w:rPr>
        <w:t> </w:t>
      </w:r>
      <w:r>
        <w:rPr>
          <w:spacing w:val="-70"/>
        </w:rPr>
      </w:r>
      <w:r>
        <w:rPr>
          <w:spacing w:val="-2"/>
        </w:rPr>
        <w:t>赛、摄影比赛、乒乓球赛等活动；积极关爱员工生活，为员工订购春运团体票；关注员工健康，持续开展员工职业健康体检</w:t>
      </w:r>
      <w:r>
        <w:rPr>
          <w:spacing w:val="-68"/>
        </w:rPr>
        <w:t> </w:t>
      </w:r>
      <w:r>
        <w:rPr>
          <w:spacing w:val="-68"/>
        </w:rPr>
      </w:r>
      <w:r>
        <w:rPr/>
        <w:t>等；不断完善职工帮扶助困制度，构建温馨和谐氛围。</w:t>
      </w:r>
    </w:p>
    <w:p>
      <w:pPr>
        <w:pStyle w:val="BodyText"/>
        <w:spacing w:line="340" w:lineRule="auto" w:before="60"/>
        <w:ind w:left="513" w:right="1034"/>
        <w:jc w:val="left"/>
      </w:pPr>
      <w:r>
        <w:rPr/>
        <w:t>（</w:t>
      </w:r>
      <w:r>
        <w:rPr>
          <w:rFonts w:ascii="Times New Roman" w:hAnsi="Times New Roman" w:cs="Times New Roman" w:eastAsia="Times New Roman" w:hint="default"/>
        </w:rPr>
        <w:t>4</w:t>
      </w:r>
      <w:r>
        <w:rPr/>
        <w:t>）安全生产责任 </w:t>
      </w:r>
      <w:r>
        <w:rPr>
          <w:spacing w:val="-2"/>
        </w:rPr>
        <w:t>安全生产是公司一直秉行的准则。加强安全生产工作的领导和管理，更好地遵守国家有关的法律、法规、标准及其他要</w:t>
      </w:r>
    </w:p>
    <w:p>
      <w:pPr>
        <w:spacing w:after="0" w:line="3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12" w:lineRule="auto" w:before="44"/>
        <w:ind w:left="232" w:right="1131"/>
        <w:jc w:val="both"/>
      </w:pPr>
      <w:r>
        <w:rPr>
          <w:spacing w:val="-5"/>
        </w:rPr>
        <w:t>求，建立建全安全生产的自我约束机制，防止事故，保障职工的安全与健康，公司对安全生产建立了包括安全生产目标管理、</w:t>
      </w:r>
      <w:r>
        <w:rPr>
          <w:spacing w:val="-78"/>
        </w:rPr>
        <w:t> </w:t>
      </w:r>
      <w:r>
        <w:rPr>
          <w:spacing w:val="-78"/>
        </w:rPr>
      </w:r>
      <w:r>
        <w:rPr>
          <w:spacing w:val="-2"/>
        </w:rPr>
        <w:t>目标落实、安全生产管理标准、贯彻执行、安全教育培训、安全生产监控检查、考核评价、持续改进、应急事故处理在内的</w:t>
      </w:r>
      <w:r>
        <w:rPr>
          <w:spacing w:val="-73"/>
        </w:rPr>
        <w:t> </w:t>
      </w:r>
      <w:r>
        <w:rPr>
          <w:spacing w:val="-73"/>
        </w:rPr>
      </w:r>
      <w:r>
        <w:rPr>
          <w:spacing w:val="-2"/>
        </w:rPr>
        <w:t>管理制度，构建安全生产管理网络；全员签订安全生产合约，落实安全生产责任；制订安全生产考核标准，组织安全生产交</w:t>
      </w:r>
      <w:r>
        <w:rPr>
          <w:spacing w:val="-67"/>
        </w:rPr>
        <w:t> </w:t>
      </w:r>
      <w:r>
        <w:rPr>
          <w:spacing w:val="-67"/>
        </w:rPr>
      </w:r>
      <w:r>
        <w:rPr/>
        <w:t>叉考核。</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年围绕“安全第一、预防为主，综合治理”的方针，按照安全生产分层分级抓重点，抓落实的思路，组织并 </w:t>
      </w:r>
      <w:r>
        <w:rPr>
          <w:spacing w:val="-2"/>
        </w:rPr>
        <w:t>监督全员安全生产合约的落实；强化新员工、日常、现场安全教育；安委会成员多次参加省市安监局相关培训，及时了解最</w:t>
      </w:r>
      <w:r>
        <w:rPr>
          <w:spacing w:val="-65"/>
        </w:rPr>
        <w:t> </w:t>
      </w:r>
      <w:r>
        <w:rPr>
          <w:spacing w:val="-65"/>
        </w:rPr>
      </w:r>
      <w:r>
        <w:rPr/>
        <w:t>新安全法规和政策；组织月度安全生产会议</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3"/>
        </w:rPr>
        <w:t>次、安全培训</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次，安委会进行安全检查</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spacing w:val="-3"/>
        </w:rPr>
        <w:t>次。</w:t>
      </w:r>
      <w:r>
        <w:rPr>
          <w:rFonts w:ascii="Times New Roman" w:hAnsi="Times New Roman" w:cs="Times New Roman" w:eastAsia="Times New Roman" w:hint="default"/>
          <w:spacing w:val="-3"/>
        </w:rPr>
        <w:t>2018</w:t>
      </w:r>
      <w:r>
        <w:rPr>
          <w:rFonts w:ascii="Times New Roman" w:hAnsi="Times New Roman" w:cs="Times New Roman" w:eastAsia="Times New Roman" w:hint="default"/>
        </w:rPr>
        <w:t> </w:t>
      </w:r>
      <w:r>
        <w:rPr/>
        <w:t>年全年无重大安全生产 事故。</w:t>
      </w:r>
    </w:p>
    <w:p>
      <w:pPr>
        <w:pStyle w:val="BodyText"/>
        <w:spacing w:line="338" w:lineRule="auto" w:before="63"/>
        <w:ind w:left="593" w:right="0"/>
        <w:jc w:val="left"/>
      </w:pPr>
      <w:r>
        <w:rPr/>
        <w:t>（</w:t>
      </w:r>
      <w:r>
        <w:rPr>
          <w:rFonts w:ascii="Times New Roman" w:hAnsi="Times New Roman" w:cs="Times New Roman" w:eastAsia="Times New Roman" w:hint="default"/>
        </w:rPr>
        <w:t>5</w:t>
      </w:r>
      <w:r>
        <w:rPr/>
        <w:t>）商品质量责任 </w:t>
      </w:r>
      <w:r>
        <w:rPr>
          <w:spacing w:val="-5"/>
        </w:rPr>
        <w:t>公司坚持</w:t>
      </w:r>
      <w:r>
        <w:rPr>
          <w:rFonts w:ascii="Times New Roman" w:hAnsi="Times New Roman" w:cs="Times New Roman" w:eastAsia="Times New Roman" w:hint="default"/>
          <w:spacing w:val="-5"/>
        </w:rPr>
        <w:t>“</w:t>
      </w:r>
      <w:r>
        <w:rPr>
          <w:spacing w:val="-5"/>
        </w:rPr>
        <w:t>质量是我们的自尊心</w:t>
      </w:r>
      <w:r>
        <w:rPr>
          <w:rFonts w:ascii="Times New Roman" w:hAnsi="Times New Roman" w:cs="Times New Roman" w:eastAsia="Times New Roman" w:hint="default"/>
          <w:spacing w:val="-5"/>
        </w:rPr>
        <w:t>”</w:t>
      </w:r>
      <w:r>
        <w:rPr>
          <w:spacing w:val="-5"/>
        </w:rPr>
        <w:t>原则。公司高度重视产品质量，制定了《质量目标管理规定》《质量计划管理规定》《产</w:t>
      </w:r>
    </w:p>
    <w:p>
      <w:pPr>
        <w:pStyle w:val="BodyText"/>
        <w:spacing w:line="230" w:lineRule="exact"/>
        <w:ind w:left="232" w:right="0"/>
        <w:jc w:val="both"/>
      </w:pPr>
      <w:r>
        <w:rPr/>
        <w:t>品重大质量事件处理规范》等一系列质量管理制度，规范了原材料和制造过程质量控制的业务操作。</w:t>
      </w:r>
      <w:r>
        <w:rPr>
          <w:rFonts w:ascii="Times New Roman" w:hAnsi="Times New Roman" w:cs="Times New Roman" w:eastAsia="Times New Roman" w:hint="default"/>
        </w:rPr>
        <w:t>2018 </w:t>
      </w:r>
      <w:r>
        <w:rPr>
          <w:rFonts w:ascii="Times New Roman" w:hAnsi="Times New Roman" w:cs="Times New Roman" w:eastAsia="Times New Roman" w:hint="default"/>
          <w:spacing w:val="6"/>
        </w:rPr>
        <w:t> </w:t>
      </w:r>
      <w:r>
        <w:rPr/>
        <w:t>年，公司积极应</w:t>
      </w:r>
    </w:p>
    <w:p>
      <w:pPr>
        <w:pStyle w:val="BodyText"/>
        <w:spacing w:line="319" w:lineRule="auto" w:before="63"/>
        <w:ind w:left="232" w:right="1131"/>
        <w:jc w:val="both"/>
      </w:pPr>
      <w:r>
        <w:rPr>
          <w:spacing w:val="-2"/>
        </w:rPr>
        <w:t>对业务重心变化，联合质量、工艺、研发、生产、采购等各部门，面对新型产品，定制化、快速化市场需求的情况，从研发</w:t>
      </w:r>
      <w:r>
        <w:rPr>
          <w:spacing w:val="-70"/>
        </w:rPr>
        <w:t> </w:t>
      </w:r>
      <w:r>
        <w:rPr>
          <w:spacing w:val="-70"/>
        </w:rPr>
      </w:r>
      <w:r>
        <w:rPr>
          <w:spacing w:val="-2"/>
        </w:rPr>
        <w:t>输出、供应商管控、生产过程控制等几个方面分别梳理和优化系统控制方案，持续推进产品质量的稳定性和可控性。在处理</w:t>
      </w:r>
      <w:r>
        <w:rPr>
          <w:spacing w:val="-64"/>
        </w:rPr>
        <w:t> </w:t>
      </w:r>
      <w:r>
        <w:rPr>
          <w:spacing w:val="-64"/>
        </w:rPr>
      </w:r>
      <w:r>
        <w:rPr/>
        <w:t>日常客诉问题上，统一接口，横向展开，从点到面，逐步向预防转化。公司</w:t>
      </w:r>
      <w:r>
        <w:rPr>
          <w:spacing w:val="-47"/>
        </w:rPr>
        <w:t> </w:t>
      </w:r>
      <w:r>
        <w:rPr>
          <w:rFonts w:ascii="Times New Roman" w:hAnsi="Times New Roman" w:cs="Times New Roman" w:eastAsia="Times New Roman" w:hint="default"/>
        </w:rPr>
        <w:t>ISO9001</w:t>
      </w:r>
      <w:r>
        <w:rPr>
          <w:rFonts w:ascii="Times New Roman" w:hAnsi="Times New Roman" w:cs="Times New Roman" w:eastAsia="Times New Roman" w:hint="default"/>
          <w:spacing w:val="-2"/>
        </w:rPr>
        <w:t> </w:t>
      </w:r>
      <w:r>
        <w:rPr/>
        <w:t>年审顺利通过。</w:t>
      </w:r>
    </w:p>
    <w:p>
      <w:pPr>
        <w:pStyle w:val="BodyText"/>
        <w:spacing w:line="340" w:lineRule="auto" w:before="38"/>
        <w:ind w:left="593" w:right="0"/>
        <w:jc w:val="left"/>
      </w:pPr>
      <w:r>
        <w:rPr/>
        <w:t>（</w:t>
      </w:r>
      <w:r>
        <w:rPr>
          <w:rFonts w:ascii="Times New Roman" w:hAnsi="Times New Roman" w:cs="Times New Roman" w:eastAsia="Times New Roman" w:hint="default"/>
        </w:rPr>
        <w:t>6</w:t>
      </w:r>
      <w:r>
        <w:rPr/>
        <w:t>）环境保护责任 </w:t>
      </w:r>
      <w:r>
        <w:rPr>
          <w:spacing w:val="-2"/>
        </w:rPr>
        <w:t>作为高科技电子企业，公司生产以装配为主，无水污染、基本无大气、噪声污染，经营活动对自然生态环境产生的直接</w:t>
      </w:r>
    </w:p>
    <w:p>
      <w:pPr>
        <w:pStyle w:val="BodyText"/>
        <w:spacing w:line="240" w:lineRule="auto" w:before="1"/>
        <w:ind w:left="232" w:right="0"/>
        <w:jc w:val="both"/>
      </w:pPr>
      <w:r>
        <w:rPr/>
        <w:t>影响甚微。公司一向秉承绿色经营的理念，</w:t>
      </w:r>
      <w:r>
        <w:rPr>
          <w:rFonts w:ascii="Times New Roman" w:hAnsi="Times New Roman" w:cs="Times New Roman" w:eastAsia="Times New Roman" w:hint="default"/>
        </w:rPr>
        <w:t>2018</w:t>
      </w:r>
      <w:r>
        <w:rPr>
          <w:rFonts w:ascii="Times New Roman" w:hAnsi="Times New Roman" w:cs="Times New Roman" w:eastAsia="Times New Roman" w:hint="default"/>
          <w:spacing w:val="-14"/>
        </w:rPr>
        <w:t> </w:t>
      </w:r>
      <w:r>
        <w:rPr/>
        <w:t>年</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t>月，公司连续第十二年发起</w:t>
      </w:r>
      <w:r>
        <w:rPr>
          <w:rFonts w:ascii="Times New Roman" w:hAnsi="Times New Roman" w:cs="Times New Roman" w:eastAsia="Times New Roman" w:hint="default"/>
        </w:rPr>
        <w:t>“</w:t>
      </w:r>
      <w:r>
        <w:rPr/>
        <w:t>地球一小时</w:t>
      </w:r>
      <w:r>
        <w:rPr>
          <w:rFonts w:ascii="Times New Roman" w:hAnsi="Times New Roman" w:cs="Times New Roman" w:eastAsia="Times New Roman" w:hint="default"/>
        </w:rPr>
        <w:t>”</w:t>
      </w:r>
      <w:r>
        <w:rPr/>
        <w:t>系列活动，向全球</w:t>
      </w:r>
      <w:r>
        <w:rPr>
          <w:spacing w:val="-59"/>
        </w:rPr>
        <w:t> </w:t>
      </w:r>
      <w:r>
        <w:rPr>
          <w:rFonts w:ascii="Times New Roman" w:hAnsi="Times New Roman" w:cs="Times New Roman" w:eastAsia="Times New Roman" w:hint="default"/>
        </w:rPr>
        <w:t>2.6</w:t>
      </w:r>
      <w:r>
        <w:rPr>
          <w:rFonts w:ascii="Times New Roman" w:hAnsi="Times New Roman" w:cs="Times New Roman" w:eastAsia="Times New Roman" w:hint="default"/>
          <w:spacing w:val="-14"/>
        </w:rPr>
        <w:t> </w:t>
      </w:r>
      <w:r>
        <w:rPr/>
        <w:t>万名员</w:t>
      </w:r>
    </w:p>
    <w:p>
      <w:pPr>
        <w:pStyle w:val="BodyText"/>
        <w:spacing w:line="300" w:lineRule="auto" w:before="63"/>
        <w:ind w:left="232" w:right="1132"/>
        <w:jc w:val="both"/>
      </w:pPr>
      <w:r>
        <w:rPr/>
        <w:t>工发出倡议书，倡导环保节能、绿色生活；向全球</w:t>
      </w:r>
      <w:r>
        <w:rPr>
          <w:spacing w:val="-41"/>
        </w:rPr>
        <w:t> </w:t>
      </w:r>
      <w:r>
        <w:rPr>
          <w:rFonts w:ascii="Times New Roman" w:hAnsi="Times New Roman" w:cs="Times New Roman" w:eastAsia="Times New Roman" w:hint="default"/>
        </w:rPr>
        <w:t>80</w:t>
      </w:r>
      <w:r>
        <w:rPr>
          <w:rFonts w:ascii="Times New Roman" w:hAnsi="Times New Roman" w:cs="Times New Roman" w:eastAsia="Times New Roman" w:hint="default"/>
          <w:spacing w:val="4"/>
        </w:rPr>
        <w:t> </w:t>
      </w:r>
      <w:r>
        <w:rPr/>
        <w:t>多个国家和地区的用户积极倡导凭条无纸化、账单电子化及智能社区 银行普及化，呼吁更多的人加入环保事业。</w:t>
      </w:r>
    </w:p>
    <w:p>
      <w:pPr>
        <w:pStyle w:val="BodyText"/>
        <w:spacing w:line="340" w:lineRule="auto" w:before="70"/>
        <w:ind w:left="593" w:right="0"/>
        <w:jc w:val="left"/>
      </w:pPr>
      <w:r>
        <w:rPr/>
        <w:t>（</w:t>
      </w:r>
      <w:r>
        <w:rPr>
          <w:rFonts w:ascii="Times New Roman" w:hAnsi="Times New Roman" w:cs="Times New Roman" w:eastAsia="Times New Roman" w:hint="default"/>
        </w:rPr>
        <w:t>7</w:t>
      </w:r>
      <w:r>
        <w:rPr/>
        <w:t>）社会公益责任 </w:t>
      </w:r>
      <w:r>
        <w:rPr>
          <w:spacing w:val="-2"/>
        </w:rPr>
        <w:t>公司在努力创造企业价值的同时，注重社会价值的创造。在面临行业急剧变革和经营成本上升的双重压力下，公司努力</w:t>
      </w:r>
    </w:p>
    <w:p>
      <w:pPr>
        <w:pStyle w:val="BodyText"/>
        <w:spacing w:line="316" w:lineRule="auto" w:before="1"/>
        <w:ind w:left="232" w:right="1043"/>
        <w:jc w:val="both"/>
      </w:pPr>
      <w:r>
        <w:rPr>
          <w:spacing w:val="-2"/>
        </w:rPr>
        <w:t>保持发展，吸纳更多就业人员；持续为地区财政创收；积极投身社会公益慈善事业，践行企业所应承担的社会责任，将企业</w:t>
      </w:r>
      <w:r>
        <w:rPr>
          <w:spacing w:val="-66"/>
        </w:rPr>
        <w:t> </w:t>
      </w:r>
      <w:r>
        <w:rPr>
          <w:spacing w:val="-66"/>
        </w:rPr>
      </w:r>
      <w:r>
        <w:rPr/>
        <w:t>取得的经营成果反馈给社会，促进公司与员工、社会和自然的全面和谐发展，努力创造和谐公共关系，提升公司品牌形象。</w:t>
      </w:r>
    </w:p>
    <w:p>
      <w:pPr>
        <w:pStyle w:val="BodyText"/>
        <w:spacing w:line="316" w:lineRule="auto" w:before="59"/>
        <w:ind w:left="232" w:right="0" w:firstLine="360"/>
        <w:jc w:val="left"/>
      </w:pPr>
      <w:r>
        <w:rPr>
          <w:spacing w:val="-2"/>
        </w:rPr>
        <w:t>未来，公司在经营发展的同时将持续履行社会责任，兼顾各利益相关者利益，坚持绿色经营理念，努力打造广受客户青</w:t>
      </w:r>
      <w:r>
        <w:rPr/>
        <w:t> 睐、赢得社会信赖的知名品牌，实现商业利益与社会责任的和谐统一。</w:t>
      </w:r>
    </w:p>
    <w:p>
      <w:pPr>
        <w:spacing w:line="240" w:lineRule="auto" w:before="2"/>
        <w:rPr>
          <w:rFonts w:ascii="宋体" w:hAnsi="宋体" w:cs="宋体" w:eastAsia="宋体" w:hint="default"/>
          <w:sz w:val="23"/>
          <w:szCs w:val="23"/>
        </w:rPr>
      </w:pPr>
    </w:p>
    <w:p>
      <w:pPr>
        <w:pStyle w:val="Heading4"/>
        <w:spacing w:line="240" w:lineRule="auto"/>
        <w:ind w:left="232" w:right="0"/>
        <w:jc w:val="both"/>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232" w:right="0"/>
        <w:jc w:val="both"/>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4"/>
        <w:spacing w:line="240" w:lineRule="auto" w:before="127"/>
        <w:ind w:left="232" w:right="0"/>
        <w:jc w:val="both"/>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12"/>
        <w:rPr>
          <w:rFonts w:ascii="宋体" w:hAnsi="宋体" w:cs="宋体" w:eastAsia="宋体" w:hint="default"/>
          <w:b/>
          <w:bCs/>
          <w:sz w:val="26"/>
          <w:szCs w:val="26"/>
        </w:rPr>
      </w:pPr>
    </w:p>
    <w:p>
      <w:pPr>
        <w:pStyle w:val="BodyText"/>
        <w:spacing w:line="357" w:lineRule="auto"/>
        <w:ind w:left="232" w:right="5714"/>
        <w:jc w:val="left"/>
      </w:pPr>
      <w:r>
        <w:rPr/>
        <w:t>上市公司及其子公司是否属于环境保护部门公布的重点排污单位 是</w:t>
      </w:r>
    </w:p>
    <w:tbl>
      <w:tblPr>
        <w:tblW w:w="0" w:type="auto"/>
        <w:jc w:val="left"/>
        <w:tblInd w:w="103" w:type="dxa"/>
        <w:tblLayout w:type="fixed"/>
        <w:tblCellMar>
          <w:top w:w="0" w:type="dxa"/>
          <w:left w:w="0" w:type="dxa"/>
          <w:bottom w:w="0" w:type="dxa"/>
          <w:right w:w="0" w:type="dxa"/>
        </w:tblCellMar>
        <w:tblLook w:val="01E0"/>
      </w:tblPr>
      <w:tblGrid>
        <w:gridCol w:w="994"/>
        <w:gridCol w:w="1130"/>
        <w:gridCol w:w="634"/>
        <w:gridCol w:w="879"/>
        <w:gridCol w:w="1066"/>
        <w:gridCol w:w="891"/>
        <w:gridCol w:w="960"/>
        <w:gridCol w:w="1354"/>
        <w:gridCol w:w="1414"/>
        <w:gridCol w:w="569"/>
      </w:tblGrid>
      <w:tr>
        <w:trPr>
          <w:trHeight w:val="1198"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2"/>
                <w:szCs w:val="22"/>
              </w:rPr>
            </w:pPr>
          </w:p>
          <w:p>
            <w:pPr>
              <w:pStyle w:val="TableParagraph"/>
              <w:spacing w:line="316" w:lineRule="auto"/>
              <w:ind w:left="24" w:right="58"/>
              <w:jc w:val="left"/>
              <w:rPr>
                <w:rFonts w:ascii="宋体" w:hAnsi="宋体" w:cs="宋体" w:eastAsia="宋体" w:hint="default"/>
                <w:sz w:val="18"/>
                <w:szCs w:val="18"/>
              </w:rPr>
            </w:pPr>
            <w:r>
              <w:rPr>
                <w:rFonts w:ascii="宋体" w:hAnsi="宋体" w:cs="宋体" w:eastAsia="宋体" w:hint="default"/>
                <w:sz w:val="18"/>
                <w:szCs w:val="18"/>
              </w:rPr>
              <w:t>公司或子公 司名称</w:t>
            </w:r>
          </w:p>
        </w:tc>
        <w:tc>
          <w:tcPr>
            <w:tcW w:w="1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35"/>
              <w:ind w:left="23" w:right="194"/>
              <w:jc w:val="both"/>
              <w:rPr>
                <w:rFonts w:ascii="宋体" w:hAnsi="宋体" w:cs="宋体" w:eastAsia="宋体" w:hint="default"/>
                <w:sz w:val="18"/>
                <w:szCs w:val="18"/>
              </w:rPr>
            </w:pPr>
            <w:r>
              <w:rPr>
                <w:rFonts w:ascii="宋体" w:hAnsi="宋体" w:cs="宋体" w:eastAsia="宋体" w:hint="default"/>
                <w:sz w:val="18"/>
                <w:szCs w:val="18"/>
              </w:rPr>
              <w:t>主要污染物 及特征污染 物的名称</w:t>
            </w:r>
          </w:p>
        </w:tc>
        <w:tc>
          <w:tcPr>
            <w:tcW w:w="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2"/>
                <w:szCs w:val="22"/>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排放方 式</w:t>
            </w:r>
          </w:p>
        </w:tc>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2"/>
                <w:szCs w:val="22"/>
              </w:rPr>
            </w:pPr>
          </w:p>
          <w:p>
            <w:pPr>
              <w:pStyle w:val="TableParagraph"/>
              <w:spacing w:line="316" w:lineRule="auto"/>
              <w:ind w:left="23" w:right="123"/>
              <w:jc w:val="left"/>
              <w:rPr>
                <w:rFonts w:ascii="宋体" w:hAnsi="宋体" w:cs="宋体" w:eastAsia="宋体" w:hint="default"/>
                <w:sz w:val="18"/>
                <w:szCs w:val="18"/>
              </w:rPr>
            </w:pPr>
            <w:r>
              <w:rPr>
                <w:rFonts w:ascii="宋体" w:hAnsi="宋体" w:cs="宋体" w:eastAsia="宋体" w:hint="default"/>
                <w:sz w:val="18"/>
                <w:szCs w:val="18"/>
              </w:rPr>
              <w:t>排放口数 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2"/>
                <w:szCs w:val="22"/>
              </w:rPr>
            </w:pPr>
          </w:p>
          <w:p>
            <w:pPr>
              <w:pStyle w:val="TableParagraph"/>
              <w:spacing w:line="316" w:lineRule="auto"/>
              <w:ind w:left="23" w:right="131"/>
              <w:jc w:val="left"/>
              <w:rPr>
                <w:rFonts w:ascii="宋体" w:hAnsi="宋体" w:cs="宋体" w:eastAsia="宋体" w:hint="default"/>
                <w:sz w:val="18"/>
                <w:szCs w:val="18"/>
              </w:rPr>
            </w:pPr>
            <w:r>
              <w:rPr>
                <w:rFonts w:ascii="宋体" w:hAnsi="宋体" w:cs="宋体" w:eastAsia="宋体" w:hint="default"/>
                <w:sz w:val="18"/>
                <w:szCs w:val="18"/>
              </w:rPr>
              <w:t>排放口分布 情况</w:t>
            </w:r>
          </w:p>
        </w:tc>
        <w:tc>
          <w:tcPr>
            <w:tcW w:w="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排放浓度</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2"/>
                <w:szCs w:val="22"/>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执行的污染 物排放标准</w:t>
            </w: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排放总量</w:t>
            </w:r>
          </w:p>
          <w:p>
            <w:pPr>
              <w:pStyle w:val="TableParagraph"/>
              <w:spacing w:line="240" w:lineRule="auto" w:before="11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实际排放总量</w:t>
            </w:r>
            <w:r>
              <w:rPr>
                <w:rFonts w:ascii="Times New Roman" w:hAnsi="Times New Roman" w:cs="Times New Roman" w:eastAsia="Times New Roman" w:hint="default"/>
                <w:sz w:val="18"/>
                <w:szCs w:val="18"/>
              </w:rPr>
              <w:t>)</w:t>
            </w: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135"/>
              <w:ind w:left="24" w:right="59"/>
              <w:jc w:val="both"/>
              <w:rPr>
                <w:rFonts w:ascii="Times New Roman" w:hAnsi="Times New Roman" w:cs="Times New Roman" w:eastAsia="Times New Roman" w:hint="default"/>
                <w:sz w:val="18"/>
                <w:szCs w:val="18"/>
              </w:rPr>
            </w:pPr>
            <w:r>
              <w:rPr>
                <w:rFonts w:ascii="宋体" w:hAnsi="宋体" w:cs="宋体" w:eastAsia="宋体" w:hint="default"/>
                <w:sz w:val="18"/>
                <w:szCs w:val="18"/>
              </w:rPr>
              <w:t>核定的排放总量 </w:t>
            </w:r>
            <w:r>
              <w:rPr>
                <w:rFonts w:ascii="Times New Roman" w:hAnsi="Times New Roman" w:cs="Times New Roman" w:eastAsia="Times New Roman" w:hint="default"/>
                <w:sz w:val="18"/>
                <w:szCs w:val="18"/>
              </w:rPr>
              <w:t>(</w:t>
            </w:r>
            <w:r>
              <w:rPr>
                <w:rFonts w:ascii="宋体" w:hAnsi="宋体" w:cs="宋体" w:eastAsia="宋体" w:hint="default"/>
                <w:sz w:val="18"/>
                <w:szCs w:val="18"/>
              </w:rPr>
              <w:t>环保部门核定的 排放总量</w:t>
            </w:r>
            <w:r>
              <w:rPr>
                <w:rFonts w:ascii="Times New Roman" w:hAnsi="Times New Roman" w:cs="Times New Roman" w:eastAsia="Times New Roman" w:hint="default"/>
                <w:sz w:val="18"/>
                <w:szCs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35"/>
              <w:ind w:left="24" w:right="173"/>
              <w:jc w:val="both"/>
              <w:rPr>
                <w:rFonts w:ascii="宋体" w:hAnsi="宋体" w:cs="宋体" w:eastAsia="宋体" w:hint="default"/>
                <w:sz w:val="18"/>
                <w:szCs w:val="18"/>
              </w:rPr>
            </w:pPr>
            <w:r>
              <w:rPr>
                <w:rFonts w:ascii="宋体" w:hAnsi="宋体" w:cs="宋体" w:eastAsia="宋体" w:hint="default"/>
                <w:sz w:val="18"/>
                <w:szCs w:val="18"/>
              </w:rPr>
              <w:t>超标 排放 情况</w:t>
            </w:r>
          </w:p>
        </w:tc>
      </w:tr>
      <w:tr>
        <w:trPr>
          <w:trHeight w:val="864"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316" w:lineRule="auto"/>
              <w:ind w:left="24" w:right="58"/>
              <w:jc w:val="both"/>
              <w:rPr>
                <w:rFonts w:ascii="宋体" w:hAnsi="宋体" w:cs="宋体" w:eastAsia="宋体" w:hint="default"/>
                <w:sz w:val="18"/>
                <w:szCs w:val="18"/>
              </w:rPr>
            </w:pPr>
            <w:r>
              <w:rPr>
                <w:rFonts w:ascii="宋体" w:hAnsi="宋体" w:cs="宋体" w:eastAsia="宋体" w:hint="default"/>
                <w:sz w:val="18"/>
                <w:szCs w:val="18"/>
              </w:rPr>
              <w:t>赣州中联环 保科技开发 有限公司</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COD</w:t>
            </w:r>
          </w:p>
        </w:tc>
        <w:tc>
          <w:tcPr>
            <w:tcW w:w="6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4"/>
              <w:ind w:left="23" w:right="59"/>
              <w:jc w:val="left"/>
              <w:rPr>
                <w:rFonts w:ascii="宋体" w:hAnsi="宋体" w:cs="宋体" w:eastAsia="宋体" w:hint="default"/>
                <w:sz w:val="18"/>
                <w:szCs w:val="18"/>
              </w:rPr>
            </w:pPr>
            <w:r>
              <w:rPr>
                <w:rFonts w:ascii="宋体" w:hAnsi="宋体" w:cs="宋体" w:eastAsia="宋体" w:hint="default"/>
                <w:sz w:val="18"/>
                <w:szCs w:val="18"/>
              </w:rPr>
              <w:t>达标排 放</w:t>
            </w:r>
          </w:p>
        </w:tc>
        <w:tc>
          <w:tcPr>
            <w:tcW w:w="8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316" w:lineRule="auto"/>
              <w:ind w:left="23" w:right="131"/>
              <w:jc w:val="both"/>
              <w:rPr>
                <w:rFonts w:ascii="宋体" w:hAnsi="宋体" w:cs="宋体" w:eastAsia="宋体" w:hint="default"/>
                <w:sz w:val="18"/>
                <w:szCs w:val="18"/>
              </w:rPr>
            </w:pPr>
            <w:r>
              <w:rPr>
                <w:rFonts w:ascii="宋体" w:hAnsi="宋体" w:cs="宋体" w:eastAsia="宋体" w:hint="default"/>
                <w:sz w:val="18"/>
                <w:szCs w:val="18"/>
              </w:rPr>
              <w:t>污水处理中 心处理工序 末端</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123"/>
              <w:ind w:left="23" w:right="1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COD</w:t>
            </w:r>
            <w:r>
              <w:rPr>
                <w:rFonts w:ascii="宋体" w:hAnsi="宋体" w:cs="宋体" w:eastAsia="宋体" w:hint="default"/>
                <w:sz w:val="18"/>
                <w:szCs w:val="18"/>
              </w:rPr>
              <w:t>：≤ </w:t>
            </w:r>
            <w:r>
              <w:rPr>
                <w:rFonts w:ascii="Times New Roman" w:hAnsi="Times New Roman" w:cs="Times New Roman" w:eastAsia="Times New Roman" w:hint="default"/>
                <w:sz w:val="18"/>
                <w:szCs w:val="18"/>
              </w:rPr>
              <w:t>50mg/L</w:t>
            </w:r>
          </w:p>
        </w:tc>
        <w:tc>
          <w:tcPr>
            <w:tcW w:w="960" w:type="dxa"/>
            <w:vMerge w:val="restart"/>
            <w:tcBorders>
              <w:top w:val="single" w:sz="4" w:space="0" w:color="000000"/>
              <w:left w:val="single" w:sz="4" w:space="0" w:color="000000"/>
              <w:right w:val="single" w:sz="4" w:space="0" w:color="000000"/>
            </w:tcBorders>
          </w:tcPr>
          <w:p>
            <w:pPr>
              <w:pStyle w:val="TableParagraph"/>
              <w:spacing w:line="312" w:lineRule="exact" w:before="98"/>
              <w:ind w:left="23" w:right="24"/>
              <w:jc w:val="left"/>
              <w:rPr>
                <w:rFonts w:ascii="Times New Roman" w:hAnsi="Times New Roman" w:cs="Times New Roman" w:eastAsia="Times New Roman" w:hint="default"/>
                <w:sz w:val="18"/>
                <w:szCs w:val="18"/>
              </w:rPr>
            </w:pPr>
            <w:hyperlink r:id="rId34">
              <w:r>
                <w:rPr>
                  <w:rFonts w:ascii="宋体" w:hAnsi="宋体" w:cs="宋体" w:eastAsia="宋体" w:hint="default"/>
                  <w:sz w:val="18"/>
                  <w:szCs w:val="18"/>
                </w:rPr>
                <w:t>电镀污染物</w:t>
              </w:r>
            </w:hyperlink>
            <w:r>
              <w:rPr>
                <w:rFonts w:ascii="宋体" w:hAnsi="宋体" w:cs="宋体" w:eastAsia="宋体" w:hint="default"/>
                <w:sz w:val="18"/>
                <w:szCs w:val="18"/>
              </w:rPr>
              <w:t> </w:t>
            </w:r>
            <w:hyperlink r:id="rId34">
              <w:r>
                <w:rPr>
                  <w:rFonts w:ascii="宋体" w:hAnsi="宋体" w:cs="宋体" w:eastAsia="宋体" w:hint="default"/>
                  <w:sz w:val="18"/>
                  <w:szCs w:val="18"/>
                </w:rPr>
                <w:t>排放标准</w:t>
              </w:r>
            </w:hyperlink>
            <w:r>
              <w:rPr>
                <w:rFonts w:ascii="宋体" w:hAnsi="宋体" w:cs="宋体" w:eastAsia="宋体" w:hint="default"/>
                <w:sz w:val="18"/>
                <w:szCs w:val="18"/>
              </w:rPr>
              <w:t> </w:t>
            </w:r>
            <w:hyperlink r:id="rId34">
              <w:r>
                <w:rPr>
                  <w:rFonts w:ascii="Times New Roman" w:hAnsi="Times New Roman" w:cs="Times New Roman" w:eastAsia="Times New Roman" w:hint="default"/>
                  <w:sz w:val="18"/>
                  <w:szCs w:val="18"/>
                </w:rPr>
                <w:t>(GB21900-</w:t>
              </w:r>
            </w:hyperlink>
            <w:r>
              <w:rPr>
                <w:rFonts w:ascii="Times New Roman" w:hAnsi="Times New Roman" w:cs="Times New Roman" w:eastAsia="Times New Roman" w:hint="default"/>
                <w:sz w:val="18"/>
                <w:szCs w:val="18"/>
              </w:rPr>
              <w:t> </w:t>
            </w:r>
            <w:hyperlink r:id="rId34">
              <w:r>
                <w:rPr>
                  <w:rFonts w:ascii="Times New Roman" w:hAnsi="Times New Roman" w:cs="Times New Roman" w:eastAsia="Times New Roman" w:hint="default"/>
                  <w:sz w:val="18"/>
                  <w:szCs w:val="18"/>
                </w:rPr>
                <w:t>2008)</w:t>
              </w:r>
            </w:hyperlink>
          </w:p>
          <w:p>
            <w:pPr>
              <w:pStyle w:val="TableParagraph"/>
              <w:spacing w:line="240" w:lineRule="auto" w:before="78"/>
              <w:ind w:left="23" w:right="0"/>
              <w:jc w:val="left"/>
              <w:rPr>
                <w:rFonts w:ascii="宋体" w:hAnsi="宋体" w:cs="宋体" w:eastAsia="宋体" w:hint="default"/>
                <w:sz w:val="18"/>
                <w:szCs w:val="18"/>
              </w:rPr>
            </w:pPr>
            <w:r>
              <w:rPr>
                <w:rFonts w:ascii="宋体" w:hAnsi="宋体" w:cs="宋体" w:eastAsia="宋体" w:hint="default"/>
                <w:sz w:val="18"/>
                <w:szCs w:val="18"/>
              </w:rPr>
              <w:t>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要求</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COD:20t/a</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COD:54t/a</w:t>
            </w: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04" w:hRule="exact"/>
        </w:trPr>
        <w:tc>
          <w:tcPr>
            <w:tcW w:w="994" w:type="dxa"/>
            <w:vMerge/>
            <w:tcBorders>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氨氮</w:t>
            </w:r>
          </w:p>
        </w:tc>
        <w:tc>
          <w:tcPr>
            <w:tcW w:w="634" w:type="dxa"/>
            <w:vMerge/>
            <w:tcBorders>
              <w:left w:val="single" w:sz="4" w:space="0" w:color="000000"/>
              <w:bottom w:val="single" w:sz="4" w:space="0" w:color="000000"/>
              <w:right w:val="single" w:sz="4" w:space="0" w:color="000000"/>
            </w:tcBorders>
          </w:tcPr>
          <w:p>
            <w:pPr/>
          </w:p>
        </w:tc>
        <w:tc>
          <w:tcPr>
            <w:tcW w:w="879"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38" w:lineRule="auto"/>
              <w:ind w:left="23" w:right="20"/>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氨氮：≤</w:t>
            </w:r>
            <w:r>
              <w:rPr>
                <w:rFonts w:ascii="Times New Roman" w:hAnsi="Times New Roman" w:cs="Times New Roman" w:eastAsia="Times New Roman" w:hint="default"/>
                <w:spacing w:val="-12"/>
                <w:sz w:val="18"/>
                <w:szCs w:val="18"/>
              </w:rPr>
              <w:t>15</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Times New Roman" w:hAnsi="Times New Roman" w:cs="Times New Roman" w:eastAsia="Times New Roman" w:hint="default"/>
                <w:sz w:val="18"/>
                <w:szCs w:val="18"/>
              </w:rPr>
              <w:t>mg/L</w:t>
            </w:r>
          </w:p>
        </w:tc>
        <w:tc>
          <w:tcPr>
            <w:tcW w:w="960" w:type="dxa"/>
            <w:vMerge/>
            <w:tcBorders>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氨氮</w:t>
            </w:r>
            <w:r>
              <w:rPr>
                <w:rFonts w:ascii="Times New Roman" w:hAnsi="Times New Roman" w:cs="Times New Roman" w:eastAsia="Times New Roman" w:hint="default"/>
                <w:sz w:val="18"/>
                <w:szCs w:val="18"/>
              </w:rPr>
              <w:t>:2t/a</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氨氮</w:t>
            </w:r>
            <w:r>
              <w:rPr>
                <w:rFonts w:ascii="Times New Roman" w:hAnsi="Times New Roman" w:cs="Times New Roman" w:eastAsia="Times New Roman" w:hint="default"/>
                <w:sz w:val="18"/>
                <w:szCs w:val="18"/>
              </w:rPr>
              <w:t>:14t/a</w:t>
            </w:r>
          </w:p>
        </w:tc>
        <w:tc>
          <w:tcPr>
            <w:tcW w:w="569"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00" w:right="0"/>
        </w:sectPr>
      </w:pPr>
    </w:p>
    <w:p>
      <w:pPr>
        <w:spacing w:line="240" w:lineRule="auto" w:before="11"/>
        <w:rPr>
          <w:rFonts w:ascii="宋体" w:hAnsi="宋体" w:cs="宋体" w:eastAsia="宋体" w:hint="default"/>
          <w:sz w:val="21"/>
          <w:szCs w:val="21"/>
        </w:rPr>
      </w:pPr>
    </w:p>
    <w:p>
      <w:pPr>
        <w:pStyle w:val="BodyText"/>
        <w:spacing w:line="360" w:lineRule="auto" w:before="44"/>
        <w:ind w:left="515" w:right="1031"/>
        <w:jc w:val="left"/>
      </w:pPr>
      <w:r>
        <w:rPr/>
        <w:t>防治污染设施的建设和运行情况 赣州中联环保科技开发有限公司废水处理中心采用先进的分类收集、分质处理、废水资源再利用的电镀废水处理工艺，</w:t>
      </w:r>
    </w:p>
    <w:p>
      <w:pPr>
        <w:pStyle w:val="BodyText"/>
        <w:spacing w:line="222" w:lineRule="exact"/>
        <w:ind w:right="0"/>
        <w:jc w:val="left"/>
      </w:pPr>
      <w:r>
        <w:rPr/>
        <w:t>结合物化处理、生化处理、高级氧化、膜处理及蒸发浓缩结晶组合处理工艺，实现各类污染物达标排放，设施设备处于优良</w:t>
      </w:r>
    </w:p>
    <w:p>
      <w:pPr>
        <w:pStyle w:val="BodyText"/>
        <w:spacing w:line="357" w:lineRule="auto" w:before="76"/>
        <w:ind w:left="515" w:right="6251" w:hanging="363"/>
        <w:jc w:val="left"/>
      </w:pPr>
      <w:r>
        <w:rPr/>
        <w:t>的运行状态且运行稳定。 建设项目环境影响评价及其他环境保护行政许可情况</w:t>
      </w:r>
    </w:p>
    <w:p>
      <w:pPr>
        <w:pStyle w:val="BodyText"/>
        <w:spacing w:line="309" w:lineRule="auto" w:before="29"/>
        <w:ind w:right="1128" w:firstLine="362"/>
        <w:jc w:val="both"/>
      </w:pPr>
      <w:r>
        <w:rPr>
          <w:spacing w:val="-2"/>
        </w:rPr>
        <w:t>中联环保严格遵守建设项目环境影响评价制度、竣工验收管理制度等规章制度，及时开展环境影响评价及验收工作，做</w:t>
      </w:r>
      <w:r>
        <w:rPr/>
        <w:t> 到项目建设环保</w:t>
      </w:r>
      <w:r>
        <w:rPr>
          <w:rFonts w:ascii="Times New Roman" w:hAnsi="Times New Roman" w:cs="Times New Roman" w:eastAsia="Times New Roman" w:hint="default"/>
        </w:rPr>
        <w:t>“</w:t>
      </w:r>
      <w:r>
        <w:rPr/>
        <w:t>三同时</w:t>
      </w:r>
      <w:r>
        <w:rPr>
          <w:rFonts w:ascii="Times New Roman" w:hAnsi="Times New Roman" w:cs="Times New Roman" w:eastAsia="Times New Roman" w:hint="default"/>
        </w:rPr>
        <w:t>”</w:t>
      </w:r>
      <w:r>
        <w:rPr/>
        <w:t>。项目于</w:t>
      </w:r>
      <w:r>
        <w:rPr>
          <w:spacing w:val="-46"/>
        </w:rPr>
        <w:t> </w:t>
      </w:r>
      <w:r>
        <w:rPr>
          <w:rFonts w:ascii="Times New Roman" w:hAnsi="Times New Roman" w:cs="Times New Roman" w:eastAsia="Times New Roman" w:hint="default"/>
        </w:rPr>
        <w:t>2008 </w:t>
      </w:r>
      <w:r>
        <w:rPr/>
        <w:t>年得到江西省环境保护厅环评批复（赣环督字</w:t>
      </w:r>
      <w:r>
        <w:rPr>
          <w:spacing w:val="-47"/>
        </w:rPr>
        <w:t> </w:t>
      </w:r>
      <w:r>
        <w:rPr>
          <w:rFonts w:ascii="Times New Roman" w:hAnsi="Times New Roman" w:cs="Times New Roman" w:eastAsia="Times New Roman" w:hint="default"/>
        </w:rPr>
        <w:t>2008[495]</w:t>
      </w:r>
      <w:r>
        <w:rPr/>
        <w:t>号），</w:t>
      </w:r>
      <w:r>
        <w:rPr>
          <w:rFonts w:ascii="Times New Roman" w:hAnsi="Times New Roman" w:cs="Times New Roman" w:eastAsia="Times New Roman" w:hint="default"/>
        </w:rPr>
        <w:t>2013 </w:t>
      </w:r>
      <w:r>
        <w:rPr/>
        <w:t>年</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日得 </w:t>
      </w:r>
      <w:r>
        <w:rPr>
          <w:spacing w:val="-5"/>
        </w:rPr>
        <w:t>到《江西省环保厅关于赣州市水西稀土深加工表面精饰产业集控区（一期）先期工程竣工环境保护验收意见的函》验收函件。</w:t>
      </w:r>
    </w:p>
    <w:p>
      <w:pPr>
        <w:pStyle w:val="BodyText"/>
        <w:spacing w:line="240" w:lineRule="auto" w:before="65"/>
        <w:ind w:left="515" w:right="1034"/>
        <w:jc w:val="left"/>
      </w:pPr>
      <w:r>
        <w:rPr/>
        <w:t>突发环境事件应急预案</w:t>
      </w:r>
    </w:p>
    <w:p>
      <w:pPr>
        <w:pStyle w:val="BodyText"/>
        <w:spacing w:line="300" w:lineRule="auto" w:before="115"/>
        <w:ind w:right="1130" w:firstLine="362"/>
        <w:jc w:val="both"/>
      </w:pPr>
      <w:r>
        <w:rPr/>
        <w:t>中联环保于</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1"/>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41"/>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spacing w:val="-3"/>
        </w:rPr>
        <w:t>日完成了《管理计划》《申报登记》《突发事件应急预案》等文件，并在“赣州市环保局章</w:t>
      </w:r>
      <w:r>
        <w:rPr/>
        <w:t> </w:t>
      </w:r>
      <w:r>
        <w:rPr>
          <w:spacing w:val="-1"/>
        </w:rPr>
        <w:t>贡分局”进行登记备案，备案登记编号为：</w:t>
      </w:r>
      <w:r>
        <w:rPr>
          <w:rFonts w:ascii="Times New Roman" w:hAnsi="Times New Roman" w:cs="Times New Roman" w:eastAsia="Times New Roman" w:hint="default"/>
          <w:spacing w:val="-1"/>
        </w:rPr>
        <w:t>360702-2017-010-L</w:t>
      </w:r>
      <w:r>
        <w:rPr>
          <w:spacing w:val="-1"/>
        </w:rPr>
        <w:t>，风险级别为：一般环境风险（</w:t>
      </w:r>
      <w:r>
        <w:rPr>
          <w:rFonts w:ascii="Times New Roman" w:hAnsi="Times New Roman" w:cs="Times New Roman" w:eastAsia="Times New Roman" w:hint="default"/>
          <w:spacing w:val="-1"/>
        </w:rPr>
        <w:t>L</w:t>
      </w:r>
      <w:r>
        <w:rPr>
          <w:spacing w:val="-1"/>
        </w:rPr>
        <w:t>），并定期开展演练演习工</w:t>
      </w:r>
      <w:r>
        <w:rPr>
          <w:spacing w:val="-67"/>
        </w:rPr>
        <w:t> </w:t>
      </w:r>
      <w:r>
        <w:rPr>
          <w:spacing w:val="-67"/>
        </w:rPr>
      </w:r>
      <w:r>
        <w:rPr/>
        <w:t>作。</w:t>
      </w:r>
    </w:p>
    <w:p>
      <w:pPr>
        <w:pStyle w:val="BodyText"/>
        <w:spacing w:line="360" w:lineRule="auto" w:before="72"/>
        <w:ind w:left="513" w:right="1034" w:firstLine="2"/>
        <w:jc w:val="left"/>
      </w:pPr>
      <w:r>
        <w:rPr/>
        <w:t>环境自行监测方案 </w:t>
      </w:r>
      <w:r>
        <w:rPr>
          <w:spacing w:val="-2"/>
        </w:rPr>
        <w:t>中联环保拥有完善的自行检测方案、检测分析仪器、实验室及检测人员，同时委托第三方检测公司“江西省南环检测技</w:t>
      </w:r>
    </w:p>
    <w:p>
      <w:pPr>
        <w:pStyle w:val="BodyText"/>
        <w:spacing w:line="222" w:lineRule="exact"/>
        <w:ind w:right="0"/>
        <w:jc w:val="both"/>
      </w:pPr>
      <w:r>
        <w:rPr/>
        <w:t>术有限公司”进行定期检测，并按检测方案和地方监管部门要求严格落实每一项工作。</w:t>
      </w:r>
    </w:p>
    <w:p>
      <w:pPr>
        <w:pStyle w:val="BodyText"/>
        <w:spacing w:line="360" w:lineRule="auto" w:before="115"/>
        <w:ind w:left="501" w:right="8411" w:firstLine="14"/>
        <w:jc w:val="left"/>
      </w:pPr>
      <w:r>
        <w:rPr/>
        <w:t>其他应当公开的环境信息 无</w:t>
      </w:r>
    </w:p>
    <w:p>
      <w:pPr>
        <w:pStyle w:val="BodyText"/>
        <w:spacing w:line="357" w:lineRule="auto" w:before="27"/>
        <w:ind w:left="515" w:right="1034" w:hanging="15"/>
        <w:jc w:val="left"/>
      </w:pPr>
      <w:r>
        <w:rPr/>
        <w:t>其他环保相关信息 </w:t>
      </w:r>
      <w:r>
        <w:rPr>
          <w:spacing w:val="-2"/>
        </w:rPr>
        <w:t>赣州中联环保科技开发有限公司是公司控股子公司广州市龙源环保科技有限公司的全资子公司，主要从事电镀污水处理</w:t>
      </w:r>
    </w:p>
    <w:p>
      <w:pPr>
        <w:pStyle w:val="BodyText"/>
        <w:spacing w:line="224" w:lineRule="exact"/>
        <w:ind w:right="0"/>
        <w:jc w:val="both"/>
      </w:pPr>
      <w:r>
        <w:rPr/>
        <w:t>业务。中联环保开发的赣州中联环保电镀产业园，是省、市两级政府的重点企业，是市政府的配套园区，企业自身不产生污</w:t>
      </w:r>
    </w:p>
    <w:p>
      <w:pPr>
        <w:pStyle w:val="BodyText"/>
        <w:spacing w:line="240" w:lineRule="auto" w:before="77"/>
        <w:ind w:right="0"/>
        <w:jc w:val="both"/>
      </w:pPr>
      <w:r>
        <w:rPr/>
        <w:t>染，只对入园电镀企业的废水进行处理，处理后达标排放。</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十九、其他重大事项的说明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513" w:right="1034" w:hanging="361"/>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3</w:t>
      </w:r>
      <w:r>
        <w:rPr>
          <w:spacing w:val="-2"/>
        </w:rPr>
        <w:t>日召开的</w:t>
      </w:r>
      <w:r>
        <w:rPr>
          <w:rFonts w:ascii="Times New Roman" w:hAnsi="Times New Roman" w:cs="Times New Roman" w:eastAsia="Times New Roman" w:hint="default"/>
          <w:spacing w:val="-2"/>
        </w:rPr>
        <w:t>2016</w:t>
      </w:r>
      <w:r>
        <w:rPr>
          <w:spacing w:val="-2"/>
        </w:rPr>
        <w:t>年第一次临时股东大会审议通过了《关于使用自有资金进行风险投资的议案》，于</w:t>
      </w:r>
      <w:r>
        <w:rPr>
          <w:rFonts w:ascii="Times New Roman" w:hAnsi="Times New Roman" w:cs="Times New Roman" w:eastAsia="Times New Roman" w:hint="default"/>
          <w:spacing w:val="-2"/>
        </w:rPr>
        <w:t>2016</w:t>
      </w:r>
    </w:p>
    <w:p>
      <w:pPr>
        <w:pStyle w:val="BodyText"/>
        <w:spacing w:line="228" w:lineRule="exact"/>
        <w:ind w:right="0"/>
        <w:jc w:val="both"/>
      </w:pP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日召开的</w:t>
      </w:r>
      <w:r>
        <w:rPr>
          <w:rFonts w:ascii="Times New Roman" w:hAnsi="Times New Roman" w:cs="Times New Roman" w:eastAsia="Times New Roman" w:hint="default"/>
        </w:rPr>
        <w:t>2015</w:t>
      </w:r>
      <w:r>
        <w:rPr/>
        <w:t>年度股东大会审议通过了《关于使用自有资金追加风险投资额度的议案》，股东大会同意公司（含子</w:t>
      </w:r>
    </w:p>
    <w:p>
      <w:pPr>
        <w:pStyle w:val="BodyText"/>
        <w:spacing w:line="300" w:lineRule="auto" w:before="63"/>
        <w:ind w:right="1132"/>
        <w:jc w:val="both"/>
      </w:pPr>
      <w:r>
        <w:rPr>
          <w:spacing w:val="-2"/>
        </w:rPr>
        <w:t>公司）总计使用最高额度不超过（含）人民币</w:t>
      </w:r>
      <w:r>
        <w:rPr>
          <w:rFonts w:ascii="Times New Roman" w:hAnsi="Times New Roman" w:cs="Times New Roman" w:eastAsia="Times New Roman" w:hint="default"/>
          <w:spacing w:val="-2"/>
        </w:rPr>
        <w:t>22</w:t>
      </w:r>
      <w:r>
        <w:rPr>
          <w:spacing w:val="-2"/>
        </w:rPr>
        <w:t>亿元的自有资金进行风险投资，在上述额度内，资金可以滚动使用，投资期</w:t>
      </w:r>
      <w:r>
        <w:rPr>
          <w:spacing w:val="-65"/>
        </w:rPr>
        <w:t> </w:t>
      </w:r>
      <w:r>
        <w:rPr>
          <w:spacing w:val="-65"/>
        </w:rPr>
      </w:r>
      <w:r>
        <w:rPr/>
        <w:t>限自获股东大会审议通过之日起至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w:t>
      </w:r>
      <w:r>
        <w:rPr/>
        <w:t>日有效。（详见刊登在</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4</w:t>
      </w:r>
      <w:r>
        <w:rPr/>
        <w:t>日、</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日《证券时 报》及巨潮资讯网</w:t>
      </w:r>
      <w:hyperlink r:id="rId12">
        <w:r>
          <w:rPr>
            <w:rFonts w:ascii="Times New Roman" w:hAnsi="Times New Roman" w:cs="Times New Roman" w:eastAsia="Times New Roman" w:hint="default"/>
          </w:rPr>
          <w:t>www.cninfo.com.cn</w:t>
        </w:r>
        <w:r>
          <w:rPr/>
          <w:t>上的相关公告）</w:t>
        </w:r>
      </w:hyperlink>
    </w:p>
    <w:p>
      <w:pPr>
        <w:pStyle w:val="BodyText"/>
        <w:spacing w:line="240" w:lineRule="auto" w:before="52"/>
        <w:ind w:left="498" w:right="1034"/>
        <w:jc w:val="left"/>
      </w:pPr>
      <w:r>
        <w:rPr/>
        <w:t>报告期，公司使用自有资金继续购买神州控股的普通股股票，截至</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16 </w:t>
      </w:r>
      <w:r>
        <w:rPr/>
        <w:t>日收盘共持有神州控股普通股股票</w:t>
      </w:r>
    </w:p>
    <w:p>
      <w:pPr>
        <w:pStyle w:val="BodyText"/>
        <w:spacing w:line="300" w:lineRule="auto" w:before="63"/>
        <w:ind w:right="1034"/>
        <w:jc w:val="left"/>
      </w:pPr>
      <w:r>
        <w:rPr>
          <w:rFonts w:ascii="Times New Roman" w:hAnsi="Times New Roman" w:cs="Times New Roman" w:eastAsia="Times New Roman" w:hint="default"/>
          <w:spacing w:val="-1"/>
        </w:rPr>
        <w:t>251,947,250</w:t>
      </w:r>
      <w:r>
        <w:rPr>
          <w:rFonts w:ascii="Times New Roman" w:hAnsi="Times New Roman" w:cs="Times New Roman" w:eastAsia="Times New Roman" w:hint="default"/>
          <w:spacing w:val="6"/>
        </w:rPr>
        <w:t> </w:t>
      </w:r>
      <w:r>
        <w:rPr>
          <w:spacing w:val="-5"/>
        </w:rPr>
        <w:t>股，占神州控股当时已发行普通股总股本</w:t>
      </w:r>
      <w:r>
        <w:rPr>
          <w:spacing w:val="-41"/>
        </w:rPr>
        <w:t> </w:t>
      </w:r>
      <w:r>
        <w:rPr>
          <w:rFonts w:ascii="Times New Roman" w:hAnsi="Times New Roman" w:cs="Times New Roman" w:eastAsia="Times New Roman" w:hint="default"/>
          <w:spacing w:val="-1"/>
        </w:rPr>
        <w:t>1,677,261,976</w:t>
      </w:r>
      <w:r>
        <w:rPr>
          <w:rFonts w:ascii="Times New Roman" w:hAnsi="Times New Roman" w:cs="Times New Roman" w:eastAsia="Times New Roman" w:hint="default"/>
          <w:spacing w:val="6"/>
        </w:rPr>
        <w:t> </w:t>
      </w:r>
      <w:r>
        <w:rPr/>
        <w:t>股的</w:t>
      </w:r>
      <w:r>
        <w:rPr>
          <w:spacing w:val="-44"/>
        </w:rPr>
        <w:t> </w:t>
      </w:r>
      <w:r>
        <w:rPr>
          <w:rFonts w:ascii="Times New Roman" w:hAnsi="Times New Roman" w:cs="Times New Roman" w:eastAsia="Times New Roman" w:hint="default"/>
          <w:spacing w:val="-7"/>
        </w:rPr>
        <w:t>15.02%</w:t>
      </w:r>
      <w:r>
        <w:rPr>
          <w:spacing w:val="-7"/>
        </w:rPr>
        <w:t>（详见刊登在</w:t>
      </w:r>
      <w:r>
        <w:rPr>
          <w:spacing w:val="-4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42"/>
        </w:rPr>
        <w:t> </w:t>
      </w:r>
      <w:r>
        <w:rPr>
          <w:rFonts w:ascii="Times New Roman" w:hAnsi="Times New Roman" w:cs="Times New Roman" w:eastAsia="Times New Roman" w:hint="default"/>
          <w:spacing w:val="-1"/>
        </w:rPr>
        <w:t>21</w:t>
      </w:r>
      <w:r>
        <w:rPr>
          <w:rFonts w:ascii="Times New Roman" w:hAnsi="Times New Roman" w:cs="Times New Roman" w:eastAsia="Times New Roman" w:hint="default"/>
          <w:spacing w:val="4"/>
        </w:rPr>
        <w:t> </w:t>
      </w:r>
      <w:r>
        <w:rPr>
          <w:spacing w:val="-12"/>
        </w:rPr>
        <w:t>日《证券时报》</w:t>
      </w:r>
      <w:r>
        <w:rPr/>
        <w:t> 及巨潮资讯网</w:t>
      </w:r>
      <w:r>
        <w:rPr>
          <w:spacing w:val="-48"/>
        </w:rPr>
        <w:t> </w:t>
      </w:r>
      <w:hyperlink r:id="rId10">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2"/>
        </w:rPr>
        <w:t> </w:t>
      </w:r>
      <w:r>
        <w:rPr/>
        <w:t>上的相关公告）。</w:t>
      </w:r>
    </w:p>
    <w:p>
      <w:pPr>
        <w:pStyle w:val="BodyText"/>
        <w:spacing w:line="240" w:lineRule="auto" w:before="53"/>
        <w:ind w:left="498" w:right="1034"/>
        <w:jc w:val="left"/>
      </w:pPr>
      <w:r>
        <w:rPr/>
        <w:t>截至目前，公司持有神州控股普通股股票</w:t>
      </w:r>
      <w:r>
        <w:rPr>
          <w:spacing w:val="-47"/>
        </w:rPr>
        <w:t> </w:t>
      </w:r>
      <w:r>
        <w:rPr>
          <w:rFonts w:ascii="Times New Roman" w:hAnsi="Times New Roman" w:cs="Times New Roman" w:eastAsia="Times New Roman" w:hint="default"/>
        </w:rPr>
        <w:t>265,869,250 </w:t>
      </w:r>
      <w:r>
        <w:rPr/>
        <w:t>股，占其现总股本</w:t>
      </w:r>
      <w:r>
        <w:rPr>
          <w:spacing w:val="-48"/>
        </w:rPr>
        <w:t> </w:t>
      </w:r>
      <w:r>
        <w:rPr>
          <w:rFonts w:ascii="Times New Roman" w:hAnsi="Times New Roman" w:cs="Times New Roman" w:eastAsia="Times New Roman" w:hint="default"/>
        </w:rPr>
        <w:t>1,670,977,976 </w:t>
      </w:r>
      <w:r>
        <w:rPr/>
        <w:t>股的</w:t>
      </w:r>
      <w:r>
        <w:rPr>
          <w:spacing w:val="-50"/>
        </w:rPr>
        <w:t> </w:t>
      </w:r>
      <w:r>
        <w:rPr>
          <w:rFonts w:ascii="Times New Roman" w:hAnsi="Times New Roman" w:cs="Times New Roman" w:eastAsia="Times New Roman" w:hint="default"/>
        </w:rPr>
        <w:t>15.91%</w:t>
      </w:r>
      <w:r>
        <w:rPr/>
        <w:t>。</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二十、公司子公司重大事项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36" w:type="dxa"/>
        <w:tblLayout w:type="fixed"/>
        <w:tblCellMar>
          <w:top w:w="0" w:type="dxa"/>
          <w:left w:w="0" w:type="dxa"/>
          <w:bottom w:w="0" w:type="dxa"/>
          <w:right w:w="0" w:type="dxa"/>
        </w:tblCellMar>
        <w:tblLook w:val="01E0"/>
      </w:tblPr>
      <w:tblGrid>
        <w:gridCol w:w="994"/>
        <w:gridCol w:w="4830"/>
        <w:gridCol w:w="4100"/>
      </w:tblGrid>
      <w:tr>
        <w:trPr>
          <w:trHeight w:val="410" w:hRule="exact"/>
        </w:trPr>
        <w:tc>
          <w:tcPr>
            <w:tcW w:w="9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38"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8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重要事项</w:t>
            </w:r>
          </w:p>
        </w:tc>
        <w:tc>
          <w:tcPr>
            <w:tcW w:w="41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677" w:hRule="exact"/>
        </w:trPr>
        <w:tc>
          <w:tcPr>
            <w:tcW w:w="99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中科江南</w:t>
            </w:r>
          </w:p>
        </w:tc>
        <w:tc>
          <w:tcPr>
            <w:tcW w:w="4830" w:type="dxa"/>
            <w:tcBorders>
              <w:top w:val="single" w:sz="10" w:space="0" w:color="000000"/>
              <w:left w:val="single" w:sz="6" w:space="0" w:color="000000"/>
              <w:bottom w:val="single" w:sz="6" w:space="0" w:color="000000"/>
              <w:right w:val="single" w:sz="6" w:space="0" w:color="000000"/>
            </w:tcBorders>
          </w:tcPr>
          <w:p>
            <w:pPr>
              <w:pStyle w:val="TableParagraph"/>
              <w:spacing w:line="300" w:lineRule="auto" w:before="29"/>
              <w:ind w:left="2" w:right="1"/>
              <w:jc w:val="left"/>
              <w:rPr>
                <w:rFonts w:ascii="宋体" w:hAnsi="宋体" w:cs="宋体" w:eastAsia="宋体" w:hint="default"/>
                <w:sz w:val="18"/>
                <w:szCs w:val="18"/>
              </w:rPr>
            </w:pPr>
            <w:r>
              <w:rPr>
                <w:rFonts w:ascii="宋体" w:hAnsi="宋体" w:cs="宋体" w:eastAsia="宋体" w:hint="default"/>
                <w:spacing w:val="2"/>
                <w:sz w:val="18"/>
                <w:szCs w:val="18"/>
              </w:rPr>
              <w:t>公司以自有资金</w:t>
            </w:r>
            <w:r>
              <w:rPr>
                <w:rFonts w:ascii="Times New Roman" w:hAnsi="Times New Roman" w:cs="Times New Roman" w:eastAsia="Times New Roman" w:hint="default"/>
                <w:spacing w:val="2"/>
                <w:sz w:val="18"/>
                <w:szCs w:val="18"/>
              </w:rPr>
              <w:t>31,280</w:t>
            </w:r>
            <w:r>
              <w:rPr>
                <w:rFonts w:ascii="宋体" w:hAnsi="宋体" w:cs="宋体" w:eastAsia="宋体" w:hint="default"/>
                <w:spacing w:val="2"/>
                <w:sz w:val="18"/>
                <w:szCs w:val="18"/>
              </w:rPr>
              <w:t>万元收购中科江南</w:t>
            </w:r>
            <w:r>
              <w:rPr>
                <w:rFonts w:ascii="Times New Roman" w:hAnsi="Times New Roman" w:cs="Times New Roman" w:eastAsia="Times New Roman" w:hint="default"/>
                <w:spacing w:val="2"/>
                <w:sz w:val="18"/>
                <w:szCs w:val="18"/>
              </w:rPr>
              <w:t>46%</w:t>
            </w:r>
            <w:r>
              <w:rPr>
                <w:rFonts w:ascii="宋体" w:hAnsi="宋体" w:cs="宋体" w:eastAsia="宋体" w:hint="default"/>
                <w:spacing w:val="2"/>
                <w:sz w:val="18"/>
                <w:szCs w:val="18"/>
              </w:rPr>
              <w:t>股权，</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月已完成工商变更登记。</w:t>
            </w:r>
          </w:p>
        </w:tc>
        <w:tc>
          <w:tcPr>
            <w:tcW w:w="4100" w:type="dxa"/>
            <w:tcBorders>
              <w:top w:val="single" w:sz="10" w:space="0" w:color="000000"/>
              <w:left w:val="single" w:sz="6" w:space="0" w:color="000000"/>
              <w:bottom w:val="single" w:sz="6" w:space="0" w:color="000000"/>
              <w:right w:val="single" w:sz="6" w:space="0" w:color="000000"/>
            </w:tcBorders>
          </w:tcPr>
          <w:p>
            <w:pPr>
              <w:pStyle w:val="TableParagraph"/>
              <w:spacing w:line="300" w:lineRule="auto" w:before="29"/>
              <w:ind w:left="2" w:right="2"/>
              <w:jc w:val="left"/>
              <w:rPr>
                <w:rFonts w:ascii="宋体" w:hAnsi="宋体" w:cs="宋体" w:eastAsia="宋体" w:hint="default"/>
                <w:sz w:val="18"/>
                <w:szCs w:val="18"/>
              </w:rPr>
            </w:pPr>
            <w:r>
              <w:rPr>
                <w:rFonts w:ascii="宋体" w:hAnsi="宋体" w:cs="宋体" w:eastAsia="宋体" w:hint="default"/>
                <w:spacing w:val="-3"/>
                <w:sz w:val="18"/>
                <w:szCs w:val="18"/>
              </w:rPr>
              <w:t>刊登在《证券时报》及巨潮资讯网</w:t>
            </w:r>
            <w:hyperlink r:id="rId10">
              <w:r>
                <w:rPr>
                  <w:rFonts w:ascii="Times New Roman" w:hAnsi="Times New Roman" w:cs="Times New Roman" w:eastAsia="Times New Roman" w:hint="default"/>
                  <w:spacing w:val="-3"/>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z w:val="18"/>
                <w:szCs w:val="18"/>
              </w:rPr>
              <w:t>上的临</w:t>
            </w:r>
            <w:r>
              <w:rPr>
                <w:rFonts w:ascii="Times New Roman" w:hAnsi="Times New Roman" w:cs="Times New Roman" w:eastAsia="Times New Roman" w:hint="default"/>
                <w:sz w:val="18"/>
                <w:szCs w:val="18"/>
              </w:rPr>
              <w:t>2018-004</w:t>
            </w:r>
            <w:r>
              <w:rPr>
                <w:rFonts w:ascii="宋体" w:hAnsi="宋体" w:cs="宋体" w:eastAsia="宋体" w:hint="default"/>
                <w:sz w:val="18"/>
                <w:szCs w:val="18"/>
              </w:rPr>
              <w:t>、</w:t>
            </w:r>
            <w:r>
              <w:rPr>
                <w:rFonts w:ascii="Times New Roman" w:hAnsi="Times New Roman" w:cs="Times New Roman" w:eastAsia="Times New Roman" w:hint="default"/>
                <w:sz w:val="18"/>
                <w:szCs w:val="18"/>
              </w:rPr>
              <w:t>007</w:t>
            </w:r>
            <w:r>
              <w:rPr>
                <w:rFonts w:ascii="宋体" w:hAnsi="宋体" w:cs="宋体" w:eastAsia="宋体" w:hint="default"/>
                <w:sz w:val="18"/>
                <w:szCs w:val="18"/>
              </w:rPr>
              <w:t>、</w:t>
            </w:r>
            <w:r>
              <w:rPr>
                <w:rFonts w:ascii="Times New Roman" w:hAnsi="Times New Roman" w:cs="Times New Roman" w:eastAsia="Times New Roman" w:hint="default"/>
                <w:sz w:val="18"/>
                <w:szCs w:val="18"/>
              </w:rPr>
              <w:t>012</w:t>
            </w:r>
            <w:r>
              <w:rPr>
                <w:rFonts w:ascii="宋体" w:hAnsi="宋体" w:cs="宋体" w:eastAsia="宋体" w:hint="default"/>
                <w:sz w:val="18"/>
                <w:szCs w:val="18"/>
              </w:rPr>
              <w:t>号公告</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信义科技</w:t>
            </w:r>
          </w:p>
        </w:tc>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5"/>
              <w:jc w:val="center"/>
              <w:rPr>
                <w:rFonts w:ascii="宋体" w:hAnsi="宋体" w:cs="宋体" w:eastAsia="宋体" w:hint="default"/>
                <w:sz w:val="18"/>
                <w:szCs w:val="18"/>
              </w:rPr>
            </w:pPr>
            <w:r>
              <w:rPr>
                <w:rFonts w:ascii="宋体" w:hAnsi="宋体" w:cs="宋体" w:eastAsia="宋体" w:hint="default"/>
                <w:spacing w:val="6"/>
                <w:sz w:val="18"/>
                <w:szCs w:val="18"/>
              </w:rPr>
              <w:t>公司全资子公司广州银通以自有资金人民币</w:t>
            </w:r>
            <w:r>
              <w:rPr>
                <w:rFonts w:ascii="Times New Roman" w:hAnsi="Times New Roman" w:cs="Times New Roman" w:eastAsia="Times New Roman" w:hint="default"/>
                <w:spacing w:val="6"/>
                <w:sz w:val="18"/>
                <w:szCs w:val="18"/>
              </w:rPr>
              <w:t>32,725</w:t>
            </w:r>
            <w:r>
              <w:rPr>
                <w:rFonts w:ascii="宋体" w:hAnsi="宋体" w:cs="宋体" w:eastAsia="宋体" w:hint="default"/>
                <w:spacing w:val="6"/>
                <w:sz w:val="18"/>
                <w:szCs w:val="18"/>
              </w:rPr>
              <w:t>万元收购</w:t>
            </w:r>
            <w:r>
              <w:rPr>
                <w:rFonts w:ascii="宋体" w:hAnsi="宋体" w:cs="宋体" w:eastAsia="宋体" w:hint="default"/>
                <w:sz w:val="18"/>
                <w:szCs w:val="18"/>
              </w:rPr>
            </w:r>
          </w:p>
        </w:tc>
        <w:tc>
          <w:tcPr>
            <w:tcW w:w="4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pacing w:val="-3"/>
                <w:sz w:val="18"/>
                <w:szCs w:val="18"/>
              </w:rPr>
              <w:t>刊登在《证券时报》及巨潮资讯网</w:t>
            </w:r>
            <w:hyperlink r:id="rId10">
              <w:r>
                <w:rPr>
                  <w:rFonts w:ascii="Times New Roman" w:hAnsi="Times New Roman" w:cs="Times New Roman" w:eastAsia="Times New Roman" w:hint="default"/>
                  <w:spacing w:val="-3"/>
                  <w:sz w:val="18"/>
                  <w:szCs w:val="18"/>
                </w:rPr>
                <w:t>www.cninfo.com.cn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6" w:type="dxa"/>
        <w:tblLayout w:type="fixed"/>
        <w:tblCellMar>
          <w:top w:w="0" w:type="dxa"/>
          <w:left w:w="0" w:type="dxa"/>
          <w:bottom w:w="0" w:type="dxa"/>
          <w:right w:w="0" w:type="dxa"/>
        </w:tblCellMar>
        <w:tblLook w:val="01E0"/>
      </w:tblPr>
      <w:tblGrid>
        <w:gridCol w:w="994"/>
        <w:gridCol w:w="4830"/>
        <w:gridCol w:w="4100"/>
      </w:tblGrid>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
        </w:tc>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信义科技</w:t>
            </w:r>
            <w:r>
              <w:rPr>
                <w:rFonts w:ascii="Times New Roman" w:hAnsi="Times New Roman" w:cs="Times New Roman" w:eastAsia="Times New Roman" w:hint="default"/>
                <w:sz w:val="18"/>
                <w:szCs w:val="18"/>
              </w:rPr>
              <w:t>85%</w:t>
            </w:r>
            <w:r>
              <w:rPr>
                <w:rFonts w:ascii="宋体" w:hAnsi="宋体" w:cs="宋体" w:eastAsia="宋体" w:hint="default"/>
                <w:sz w:val="18"/>
                <w:szCs w:val="18"/>
              </w:rPr>
              <w:t>的股权，</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月已完成工商变更登记。</w:t>
            </w:r>
          </w:p>
        </w:tc>
        <w:tc>
          <w:tcPr>
            <w:tcW w:w="4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上的临</w:t>
            </w:r>
            <w:r>
              <w:rPr>
                <w:rFonts w:ascii="Times New Roman" w:hAnsi="Times New Roman" w:cs="Times New Roman" w:eastAsia="Times New Roman" w:hint="default"/>
                <w:sz w:val="18"/>
                <w:szCs w:val="18"/>
              </w:rPr>
              <w:t>2018-001</w:t>
            </w:r>
            <w:r>
              <w:rPr>
                <w:rFonts w:ascii="宋体" w:hAnsi="宋体" w:cs="宋体" w:eastAsia="宋体" w:hint="default"/>
                <w:sz w:val="18"/>
                <w:szCs w:val="18"/>
              </w:rPr>
              <w:t>、</w:t>
            </w:r>
            <w:r>
              <w:rPr>
                <w:rFonts w:ascii="Times New Roman" w:hAnsi="Times New Roman" w:cs="Times New Roman" w:eastAsia="Times New Roman" w:hint="default"/>
                <w:sz w:val="18"/>
                <w:szCs w:val="18"/>
              </w:rPr>
              <w:t>002</w:t>
            </w:r>
            <w:r>
              <w:rPr>
                <w:rFonts w:ascii="宋体" w:hAnsi="宋体" w:cs="宋体" w:eastAsia="宋体" w:hint="default"/>
                <w:sz w:val="18"/>
                <w:szCs w:val="18"/>
              </w:rPr>
              <w:t>、</w:t>
            </w:r>
            <w:r>
              <w:rPr>
                <w:rFonts w:ascii="Times New Roman" w:hAnsi="Times New Roman" w:cs="Times New Roman" w:eastAsia="Times New Roman" w:hint="default"/>
                <w:sz w:val="18"/>
                <w:szCs w:val="18"/>
              </w:rPr>
              <w:t>003</w:t>
            </w:r>
            <w:r>
              <w:rPr>
                <w:rFonts w:ascii="宋体" w:hAnsi="宋体" w:cs="宋体" w:eastAsia="宋体" w:hint="default"/>
                <w:sz w:val="18"/>
                <w:szCs w:val="18"/>
              </w:rPr>
              <w:t>号公告</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运通购快</w:t>
            </w:r>
          </w:p>
        </w:tc>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5"/>
              <w:jc w:val="left"/>
              <w:rPr>
                <w:rFonts w:ascii="宋体" w:hAnsi="宋体" w:cs="宋体" w:eastAsia="宋体" w:hint="default"/>
                <w:sz w:val="18"/>
                <w:szCs w:val="18"/>
              </w:rPr>
            </w:pPr>
            <w:r>
              <w:rPr>
                <w:rFonts w:ascii="宋体" w:hAnsi="宋体" w:cs="宋体" w:eastAsia="宋体" w:hint="default"/>
                <w:spacing w:val="6"/>
                <w:sz w:val="18"/>
                <w:szCs w:val="18"/>
              </w:rPr>
              <w:t>公司全资孙公司深圳银通以募集资金</w:t>
            </w:r>
            <w:r>
              <w:rPr>
                <w:rFonts w:ascii="Times New Roman" w:hAnsi="Times New Roman" w:cs="Times New Roman" w:eastAsia="Times New Roman" w:hint="default"/>
                <w:spacing w:val="6"/>
                <w:sz w:val="18"/>
                <w:szCs w:val="18"/>
              </w:rPr>
              <w:t>14,000</w:t>
            </w:r>
            <w:r>
              <w:rPr>
                <w:rFonts w:ascii="宋体" w:hAnsi="宋体" w:cs="宋体" w:eastAsia="宋体" w:hint="default"/>
                <w:spacing w:val="6"/>
                <w:sz w:val="18"/>
                <w:szCs w:val="18"/>
              </w:rPr>
              <w:t>万元出资设立运</w:t>
            </w:r>
            <w:r>
              <w:rPr>
                <w:rFonts w:ascii="宋体" w:hAnsi="宋体" w:cs="宋体" w:eastAsia="宋体" w:hint="default"/>
                <w:spacing w:val="7"/>
                <w:sz w:val="18"/>
                <w:szCs w:val="18"/>
              </w:rPr>
              <w:t> </w:t>
            </w:r>
            <w:r>
              <w:rPr>
                <w:rFonts w:ascii="宋体" w:hAnsi="宋体" w:cs="宋体" w:eastAsia="宋体" w:hint="default"/>
                <w:sz w:val="18"/>
                <w:szCs w:val="18"/>
              </w:rPr>
              <w:t>通购快，占</w:t>
            </w:r>
            <w:r>
              <w:rPr>
                <w:rFonts w:ascii="Times New Roman" w:hAnsi="Times New Roman" w:cs="Times New Roman" w:eastAsia="Times New Roman" w:hint="default"/>
                <w:sz w:val="18"/>
                <w:szCs w:val="18"/>
              </w:rPr>
              <w:t>70%</w:t>
            </w:r>
            <w:r>
              <w:rPr>
                <w:rFonts w:ascii="宋体" w:hAnsi="宋体" w:cs="宋体" w:eastAsia="宋体" w:hint="default"/>
                <w:sz w:val="18"/>
                <w:szCs w:val="18"/>
              </w:rPr>
              <w:t>股权，</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月已完成工商设立登记。</w:t>
            </w:r>
          </w:p>
        </w:tc>
        <w:tc>
          <w:tcPr>
            <w:tcW w:w="410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2"/>
              <w:jc w:val="left"/>
              <w:rPr>
                <w:rFonts w:ascii="宋体" w:hAnsi="宋体" w:cs="宋体" w:eastAsia="宋体" w:hint="default"/>
                <w:sz w:val="18"/>
                <w:szCs w:val="18"/>
              </w:rPr>
            </w:pPr>
            <w:r>
              <w:rPr>
                <w:rFonts w:ascii="宋体" w:hAnsi="宋体" w:cs="宋体" w:eastAsia="宋体" w:hint="default"/>
                <w:spacing w:val="-3"/>
                <w:sz w:val="18"/>
                <w:szCs w:val="18"/>
              </w:rPr>
              <w:t>刊登在《证券时报》及巨潮资讯网</w:t>
            </w:r>
            <w:hyperlink r:id="rId10">
              <w:r>
                <w:rPr>
                  <w:rFonts w:ascii="Times New Roman" w:hAnsi="Times New Roman" w:cs="Times New Roman" w:eastAsia="Times New Roman" w:hint="default"/>
                  <w:spacing w:val="-3"/>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z w:val="18"/>
                <w:szCs w:val="18"/>
              </w:rPr>
              <w:t>上的临</w:t>
            </w:r>
            <w:r>
              <w:rPr>
                <w:rFonts w:ascii="Times New Roman" w:hAnsi="Times New Roman" w:cs="Times New Roman" w:eastAsia="Times New Roman" w:hint="default"/>
                <w:sz w:val="18"/>
                <w:szCs w:val="18"/>
              </w:rPr>
              <w:t>2018-013</w:t>
            </w:r>
            <w:r>
              <w:rPr>
                <w:rFonts w:ascii="宋体" w:hAnsi="宋体" w:cs="宋体" w:eastAsia="宋体" w:hint="default"/>
                <w:sz w:val="18"/>
                <w:szCs w:val="18"/>
              </w:rPr>
              <w:t>、</w:t>
            </w:r>
            <w:r>
              <w:rPr>
                <w:rFonts w:ascii="Times New Roman" w:hAnsi="Times New Roman" w:cs="Times New Roman" w:eastAsia="Times New Roman" w:hint="default"/>
                <w:sz w:val="18"/>
                <w:szCs w:val="18"/>
              </w:rPr>
              <w:t>022</w:t>
            </w:r>
            <w:r>
              <w:rPr>
                <w:rFonts w:ascii="宋体" w:hAnsi="宋体" w:cs="宋体" w:eastAsia="宋体" w:hint="default"/>
                <w:sz w:val="18"/>
                <w:szCs w:val="18"/>
              </w:rPr>
              <w:t>、</w:t>
            </w:r>
            <w:r>
              <w:rPr>
                <w:rFonts w:ascii="Times New Roman" w:hAnsi="Times New Roman" w:cs="Times New Roman" w:eastAsia="Times New Roman" w:hint="default"/>
                <w:sz w:val="18"/>
                <w:szCs w:val="18"/>
              </w:rPr>
              <w:t>029</w:t>
            </w:r>
            <w:r>
              <w:rPr>
                <w:rFonts w:ascii="宋体" w:hAnsi="宋体" w:cs="宋体" w:eastAsia="宋体" w:hint="default"/>
                <w:sz w:val="18"/>
                <w:szCs w:val="18"/>
              </w:rPr>
              <w:t>、</w:t>
            </w:r>
            <w:r>
              <w:rPr>
                <w:rFonts w:ascii="Times New Roman" w:hAnsi="Times New Roman" w:cs="Times New Roman" w:eastAsia="Times New Roman" w:hint="default"/>
                <w:sz w:val="18"/>
                <w:szCs w:val="18"/>
              </w:rPr>
              <w:t>032</w:t>
            </w:r>
            <w:r>
              <w:rPr>
                <w:rFonts w:ascii="宋体" w:hAnsi="宋体" w:cs="宋体" w:eastAsia="宋体" w:hint="default"/>
                <w:sz w:val="18"/>
                <w:szCs w:val="18"/>
              </w:rPr>
              <w:t>号公告</w:t>
            </w:r>
          </w:p>
        </w:tc>
      </w:tr>
      <w:tr>
        <w:trPr>
          <w:trHeight w:val="660"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运通区块链</w:t>
            </w:r>
          </w:p>
        </w:tc>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公司全资子公司运通信息出资</w:t>
            </w:r>
            <w:r>
              <w:rPr>
                <w:rFonts w:ascii="Times New Roman" w:hAnsi="Times New Roman" w:cs="Times New Roman" w:eastAsia="Times New Roman" w:hint="default"/>
                <w:sz w:val="18"/>
                <w:szCs w:val="18"/>
              </w:rPr>
              <w:t>450</w:t>
            </w:r>
            <w:r>
              <w:rPr>
                <w:rFonts w:ascii="宋体" w:hAnsi="宋体" w:cs="宋体" w:eastAsia="宋体" w:hint="default"/>
                <w:sz w:val="18"/>
                <w:szCs w:val="18"/>
              </w:rPr>
              <w:t>万元设立运通区块链，持有</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股权，</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月已完成工商设立登记。</w:t>
            </w:r>
          </w:p>
        </w:tc>
        <w:tc>
          <w:tcPr>
            <w:tcW w:w="410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2"/>
              <w:jc w:val="left"/>
              <w:rPr>
                <w:rFonts w:ascii="宋体" w:hAnsi="宋体" w:cs="宋体" w:eastAsia="宋体" w:hint="default"/>
                <w:sz w:val="18"/>
                <w:szCs w:val="18"/>
              </w:rPr>
            </w:pPr>
            <w:r>
              <w:rPr>
                <w:rFonts w:ascii="宋体" w:hAnsi="宋体" w:cs="宋体" w:eastAsia="宋体" w:hint="default"/>
                <w:spacing w:val="-3"/>
                <w:sz w:val="18"/>
                <w:szCs w:val="18"/>
              </w:rPr>
              <w:t>刊登在《证券时报》及巨潮资讯网</w:t>
            </w:r>
            <w:hyperlink r:id="rId10">
              <w:r>
                <w:rPr>
                  <w:rFonts w:ascii="Times New Roman" w:hAnsi="Times New Roman" w:cs="Times New Roman" w:eastAsia="Times New Roman" w:hint="default"/>
                  <w:spacing w:val="-3"/>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z w:val="18"/>
                <w:szCs w:val="18"/>
              </w:rPr>
              <w:t>上的临</w:t>
            </w:r>
            <w:r>
              <w:rPr>
                <w:rFonts w:ascii="Times New Roman" w:hAnsi="Times New Roman" w:cs="Times New Roman" w:eastAsia="Times New Roman" w:hint="default"/>
                <w:sz w:val="18"/>
                <w:szCs w:val="18"/>
              </w:rPr>
              <w:t>2018-035</w:t>
            </w:r>
            <w:r>
              <w:rPr>
                <w:rFonts w:ascii="宋体" w:hAnsi="宋体" w:cs="宋体" w:eastAsia="宋体" w:hint="default"/>
                <w:sz w:val="18"/>
                <w:szCs w:val="18"/>
              </w:rPr>
              <w:t>号公告</w:t>
            </w:r>
          </w:p>
        </w:tc>
      </w:tr>
      <w:tr>
        <w:trPr>
          <w:trHeight w:val="970"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 w:right="0"/>
              <w:jc w:val="left"/>
              <w:rPr>
                <w:rFonts w:ascii="宋体" w:hAnsi="宋体" w:cs="宋体" w:eastAsia="宋体" w:hint="default"/>
                <w:sz w:val="18"/>
                <w:szCs w:val="18"/>
              </w:rPr>
            </w:pPr>
            <w:r>
              <w:rPr>
                <w:rFonts w:ascii="宋体" w:hAnsi="宋体" w:cs="宋体" w:eastAsia="宋体" w:hint="default"/>
                <w:sz w:val="18"/>
                <w:szCs w:val="18"/>
              </w:rPr>
              <w:t>支点创投</w:t>
            </w:r>
          </w:p>
        </w:tc>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3"/>
              <w:jc w:val="both"/>
              <w:rPr>
                <w:rFonts w:ascii="宋体" w:hAnsi="宋体" w:cs="宋体" w:eastAsia="宋体" w:hint="default"/>
                <w:sz w:val="18"/>
                <w:szCs w:val="18"/>
              </w:rPr>
            </w:pPr>
            <w:r>
              <w:rPr>
                <w:rFonts w:ascii="宋体" w:hAnsi="宋体" w:cs="宋体" w:eastAsia="宋体" w:hint="default"/>
                <w:sz w:val="18"/>
                <w:szCs w:val="18"/>
              </w:rPr>
              <w:t>公司使用自有资金向支点投资增资</w:t>
            </w:r>
            <w:r>
              <w:rPr>
                <w:rFonts w:ascii="Times New Roman" w:hAnsi="Times New Roman" w:cs="Times New Roman" w:eastAsia="Times New Roman" w:hint="default"/>
                <w:sz w:val="18"/>
                <w:szCs w:val="18"/>
              </w:rPr>
              <w:t>21,000</w:t>
            </w:r>
            <w:r>
              <w:rPr>
                <w:rFonts w:ascii="宋体" w:hAnsi="宋体" w:cs="宋体" w:eastAsia="宋体" w:hint="default"/>
                <w:sz w:val="18"/>
                <w:szCs w:val="18"/>
              </w:rPr>
              <w:t>万元，增资完成后， 支点创投注册资本变更为</w:t>
            </w:r>
            <w:r>
              <w:rPr>
                <w:rFonts w:ascii="Times New Roman" w:hAnsi="Times New Roman" w:cs="Times New Roman" w:eastAsia="Times New Roman" w:hint="default"/>
                <w:sz w:val="18"/>
                <w:szCs w:val="18"/>
              </w:rPr>
              <w:t>26,000</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月已完成工商 变更登记。</w:t>
            </w:r>
          </w:p>
        </w:tc>
        <w:tc>
          <w:tcPr>
            <w:tcW w:w="4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00" w:lineRule="auto"/>
              <w:ind w:left="2" w:right="2"/>
              <w:jc w:val="left"/>
              <w:rPr>
                <w:rFonts w:ascii="宋体" w:hAnsi="宋体" w:cs="宋体" w:eastAsia="宋体" w:hint="default"/>
                <w:sz w:val="18"/>
                <w:szCs w:val="18"/>
              </w:rPr>
            </w:pPr>
            <w:r>
              <w:rPr>
                <w:rFonts w:ascii="宋体" w:hAnsi="宋体" w:cs="宋体" w:eastAsia="宋体" w:hint="default"/>
                <w:spacing w:val="-3"/>
                <w:sz w:val="18"/>
                <w:szCs w:val="18"/>
              </w:rPr>
              <w:t>刊登在《证券时报》及巨潮资讯网</w:t>
            </w:r>
            <w:hyperlink r:id="rId10">
              <w:r>
                <w:rPr>
                  <w:rFonts w:ascii="Times New Roman" w:hAnsi="Times New Roman" w:cs="Times New Roman" w:eastAsia="Times New Roman" w:hint="default"/>
                  <w:spacing w:val="-3"/>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z w:val="18"/>
                <w:szCs w:val="18"/>
              </w:rPr>
              <w:t>上的临</w:t>
            </w:r>
            <w:r>
              <w:rPr>
                <w:rFonts w:ascii="Times New Roman" w:hAnsi="Times New Roman" w:cs="Times New Roman" w:eastAsia="Times New Roman" w:hint="default"/>
                <w:sz w:val="18"/>
                <w:szCs w:val="18"/>
              </w:rPr>
              <w:t>2018-064</w:t>
            </w:r>
            <w:r>
              <w:rPr>
                <w:rFonts w:ascii="宋体" w:hAnsi="宋体" w:cs="宋体" w:eastAsia="宋体" w:hint="default"/>
                <w:sz w:val="18"/>
                <w:szCs w:val="18"/>
              </w:rPr>
              <w:t>、</w:t>
            </w:r>
            <w:r>
              <w:rPr>
                <w:rFonts w:ascii="Times New Roman" w:hAnsi="Times New Roman" w:cs="Times New Roman" w:eastAsia="Times New Roman" w:hint="default"/>
                <w:sz w:val="18"/>
                <w:szCs w:val="18"/>
              </w:rPr>
              <w:t>070</w:t>
            </w:r>
            <w:r>
              <w:rPr>
                <w:rFonts w:ascii="宋体" w:hAnsi="宋体" w:cs="宋体" w:eastAsia="宋体" w:hint="default"/>
                <w:sz w:val="18"/>
                <w:szCs w:val="18"/>
              </w:rPr>
              <w:t>号公告</w:t>
            </w:r>
          </w:p>
        </w:tc>
      </w:tr>
      <w:tr>
        <w:trPr>
          <w:trHeight w:val="5965"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 w:right="0"/>
              <w:jc w:val="left"/>
              <w:rPr>
                <w:rFonts w:ascii="宋体" w:hAnsi="宋体" w:cs="宋体" w:eastAsia="宋体" w:hint="default"/>
                <w:sz w:val="18"/>
                <w:szCs w:val="18"/>
              </w:rPr>
            </w:pPr>
            <w:r>
              <w:rPr>
                <w:rFonts w:ascii="宋体" w:hAnsi="宋体" w:cs="宋体" w:eastAsia="宋体" w:hint="default"/>
                <w:sz w:val="18"/>
                <w:szCs w:val="18"/>
              </w:rPr>
              <w:t>美电贝尔</w:t>
            </w:r>
          </w:p>
        </w:tc>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2" w:right="1"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、公司分别于</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日、</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23</w:t>
            </w:r>
            <w:r>
              <w:rPr>
                <w:rFonts w:ascii="宋体" w:hAnsi="宋体" w:cs="宋体" w:eastAsia="宋体" w:hint="default"/>
                <w:spacing w:val="-2"/>
                <w:sz w:val="18"/>
                <w:szCs w:val="18"/>
              </w:rPr>
              <w:t>日召开第五</w:t>
            </w:r>
            <w:r>
              <w:rPr>
                <w:rFonts w:ascii="宋体" w:hAnsi="宋体" w:cs="宋体" w:eastAsia="宋体" w:hint="default"/>
                <w:sz w:val="18"/>
                <w:szCs w:val="18"/>
              </w:rPr>
              <w:t> </w:t>
            </w:r>
            <w:r>
              <w:rPr>
                <w:rFonts w:ascii="宋体" w:hAnsi="宋体" w:cs="宋体" w:eastAsia="宋体" w:hint="default"/>
                <w:spacing w:val="-2"/>
                <w:sz w:val="18"/>
                <w:szCs w:val="18"/>
              </w:rPr>
              <w:t>届董事会第十一次（临时）会议、</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年第二次临时股东大会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审议通过了《关于公开挂牌转让广东美电贝尔科技集团股份有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限公司股权暨变更业绩承诺的议案》，同意公司将所持有的美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电贝尔</w:t>
            </w:r>
            <w:r>
              <w:rPr>
                <w:rFonts w:ascii="Times New Roman" w:hAnsi="Times New Roman" w:cs="Times New Roman" w:eastAsia="Times New Roman" w:hint="default"/>
                <w:sz w:val="18"/>
                <w:szCs w:val="18"/>
              </w:rPr>
              <w:t>20%</w:t>
            </w:r>
            <w:r>
              <w:rPr>
                <w:rFonts w:ascii="宋体" w:hAnsi="宋体" w:cs="宋体" w:eastAsia="宋体" w:hint="default"/>
                <w:sz w:val="18"/>
                <w:szCs w:val="18"/>
              </w:rPr>
              <w:t>股份（合计</w:t>
            </w:r>
            <w:r>
              <w:rPr>
                <w:rFonts w:ascii="Times New Roman" w:hAnsi="Times New Roman" w:cs="Times New Roman" w:eastAsia="Times New Roman" w:hint="default"/>
                <w:sz w:val="18"/>
                <w:szCs w:val="18"/>
              </w:rPr>
              <w:t>11,210,667</w:t>
            </w:r>
            <w:r>
              <w:rPr>
                <w:rFonts w:ascii="宋体" w:hAnsi="宋体" w:cs="宋体" w:eastAsia="宋体" w:hint="default"/>
                <w:sz w:val="18"/>
                <w:szCs w:val="18"/>
              </w:rPr>
              <w:t>股）进行公开挂牌转让并相</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2"/>
                <w:sz w:val="18"/>
                <w:szCs w:val="18"/>
              </w:rPr>
              <w:t>应变更业绩承诺。根据挂牌进展情况，</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日前由深</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圳洲明时代伯乐投资管理合伙企业（有限合伙）、珠海嘉诚启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慧股权投资合伙企业（有限合伙）、广州美电贝尔军工产业投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资合伙企业（有限合伙）三家公司以联合受让方式摘牌并签署</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了产权交易协议，受让总金额为</w:t>
            </w:r>
            <w:r>
              <w:rPr>
                <w:rFonts w:ascii="Times New Roman" w:hAnsi="Times New Roman" w:cs="Times New Roman" w:eastAsia="Times New Roman" w:hint="default"/>
                <w:sz w:val="18"/>
                <w:szCs w:val="18"/>
              </w:rPr>
              <w:t>5,493.2269</w:t>
            </w:r>
            <w:r>
              <w:rPr>
                <w:rFonts w:ascii="宋体" w:hAnsi="宋体" w:cs="宋体" w:eastAsia="宋体" w:hint="default"/>
                <w:sz w:val="18"/>
                <w:szCs w:val="18"/>
              </w:rPr>
              <w:t>万元。公司所持有</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3"/>
                <w:sz w:val="18"/>
                <w:szCs w:val="18"/>
              </w:rPr>
              <w:t>的美电贝尔</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股份对应的业绩对赌取消，剩余</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股份的业绩</w:t>
            </w:r>
            <w:r>
              <w:rPr>
                <w:rFonts w:ascii="宋体" w:hAnsi="宋体" w:cs="宋体" w:eastAsia="宋体" w:hint="default"/>
                <w:spacing w:val="-86"/>
                <w:sz w:val="18"/>
                <w:szCs w:val="18"/>
              </w:rPr>
              <w:t> </w:t>
            </w:r>
            <w:r>
              <w:rPr>
                <w:rFonts w:ascii="宋体" w:hAnsi="宋体" w:cs="宋体" w:eastAsia="宋体" w:hint="default"/>
                <w:spacing w:val="-2"/>
                <w:sz w:val="18"/>
                <w:szCs w:val="18"/>
              </w:rPr>
              <w:t>对赌仍然有效，向美电贝尔实际控制人郑孙满继续主张经营业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绩承诺。</w:t>
            </w:r>
          </w:p>
          <w:p>
            <w:pPr>
              <w:pStyle w:val="TableParagraph"/>
              <w:spacing w:line="300" w:lineRule="auto" w:before="24"/>
              <w:ind w:left="2" w:right="-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、若美电贝尔于</w:t>
            </w: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日前未实现上市，对于公 </w:t>
            </w:r>
            <w:r>
              <w:rPr>
                <w:rFonts w:ascii="宋体" w:hAnsi="宋体" w:cs="宋体" w:eastAsia="宋体" w:hint="default"/>
                <w:spacing w:val="2"/>
                <w:sz w:val="18"/>
                <w:szCs w:val="18"/>
              </w:rPr>
              <w:t>司持有美电贝尔</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股份，美电贝尔实际控制人郑孙满承诺自</w:t>
            </w:r>
            <w:r>
              <w:rPr>
                <w:rFonts w:ascii="宋体" w:hAnsi="宋体" w:cs="宋体" w:eastAsia="宋体" w:hint="default"/>
                <w:sz w:val="18"/>
                <w:szCs w:val="18"/>
              </w:rPr>
              <w:t> </w:t>
            </w:r>
            <w:r>
              <w:rPr>
                <w:rFonts w:ascii="宋体" w:hAnsi="宋体" w:cs="宋体" w:eastAsia="宋体" w:hint="default"/>
                <w:spacing w:val="-1"/>
                <w:sz w:val="18"/>
                <w:szCs w:val="18"/>
              </w:rPr>
              <w:t>行或寻找第三方投资者按年化</w:t>
            </w: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的资金成本率，于</w:t>
            </w:r>
            <w:r>
              <w:rPr>
                <w:rFonts w:ascii="Times New Roman" w:hAnsi="Times New Roman" w:cs="Times New Roman" w:eastAsia="Times New Roman" w:hint="default"/>
                <w:spacing w:val="-1"/>
                <w:sz w:val="18"/>
                <w:szCs w:val="18"/>
              </w:rPr>
              <w:t>2022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pacing w:val="4"/>
                <w:sz w:val="18"/>
                <w:szCs w:val="18"/>
              </w:rPr>
              <w:t>31</w:t>
            </w:r>
            <w:r>
              <w:rPr>
                <w:rFonts w:ascii="宋体" w:hAnsi="宋体" w:cs="宋体" w:eastAsia="宋体" w:hint="default"/>
                <w:spacing w:val="4"/>
                <w:sz w:val="18"/>
                <w:szCs w:val="18"/>
              </w:rPr>
              <w:t>日前回购该股份，每股回购价不低于</w:t>
            </w:r>
            <w:r>
              <w:rPr>
                <w:rFonts w:ascii="Times New Roman" w:hAnsi="Times New Roman" w:cs="Times New Roman" w:eastAsia="Times New Roman" w:hint="default"/>
                <w:spacing w:val="4"/>
                <w:sz w:val="18"/>
                <w:szCs w:val="18"/>
              </w:rPr>
              <w:t>5.754</w:t>
            </w:r>
            <w:r>
              <w:rPr>
                <w:rFonts w:ascii="宋体" w:hAnsi="宋体" w:cs="宋体" w:eastAsia="宋体" w:hint="default"/>
                <w:spacing w:val="4"/>
                <w:sz w:val="18"/>
                <w:szCs w:val="18"/>
              </w:rPr>
              <w:t>元</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股（</w:t>
            </w:r>
            <w:r>
              <w:rPr>
                <w:rFonts w:ascii="Times New Roman" w:hAnsi="Times New Roman" w:cs="Times New Roman" w:eastAsia="Times New Roman" w:hint="default"/>
                <w:spacing w:val="4"/>
                <w:sz w:val="18"/>
                <w:szCs w:val="18"/>
              </w:rPr>
              <w:t>5.754</w:t>
            </w:r>
            <w:r>
              <w:rPr>
                <w:rFonts w:ascii="宋体" w:hAnsi="宋体" w:cs="宋体" w:eastAsia="宋体" w:hint="default"/>
                <w:spacing w:val="4"/>
                <w:sz w:val="18"/>
                <w:szCs w:val="18"/>
              </w:rPr>
              <w:t>元</w:t>
            </w:r>
          </w:p>
          <w:p>
            <w:pPr>
              <w:pStyle w:val="TableParagraph"/>
              <w:spacing w:line="300" w:lineRule="auto" w:before="13"/>
              <w:ind w:left="2" w:right="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=4.567</w:t>
            </w:r>
            <w:r>
              <w:rPr>
                <w:rFonts w:ascii="宋体" w:hAnsi="宋体" w:cs="宋体" w:eastAsia="宋体" w:hint="default"/>
                <w:spacing w:val="-2"/>
                <w:sz w:val="18"/>
                <w:szCs w:val="18"/>
              </w:rPr>
              <w:t>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1+3.25*8%</w:t>
            </w:r>
            <w:r>
              <w:rPr>
                <w:rFonts w:ascii="宋体" w:hAnsi="宋体" w:cs="宋体" w:eastAsia="宋体" w:hint="default"/>
                <w:spacing w:val="-2"/>
                <w:sz w:val="18"/>
                <w:szCs w:val="18"/>
              </w:rPr>
              <w:t>））且在符合国有资产相关规定的条件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下进行回购。</w:t>
            </w:r>
          </w:p>
        </w:tc>
        <w:tc>
          <w:tcPr>
            <w:tcW w:w="4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00" w:lineRule="auto"/>
              <w:ind w:left="2" w:right="2"/>
              <w:jc w:val="left"/>
              <w:rPr>
                <w:rFonts w:ascii="宋体" w:hAnsi="宋体" w:cs="宋体" w:eastAsia="宋体" w:hint="default"/>
                <w:sz w:val="18"/>
                <w:szCs w:val="18"/>
              </w:rPr>
            </w:pPr>
            <w:r>
              <w:rPr>
                <w:rFonts w:ascii="宋体" w:hAnsi="宋体" w:cs="宋体" w:eastAsia="宋体" w:hint="default"/>
                <w:spacing w:val="-3"/>
                <w:sz w:val="18"/>
                <w:szCs w:val="18"/>
              </w:rPr>
              <w:t>刊登在《证券时报》及巨潮资讯网</w:t>
            </w:r>
            <w:hyperlink r:id="rId10">
              <w:r>
                <w:rPr>
                  <w:rFonts w:ascii="Times New Roman" w:hAnsi="Times New Roman" w:cs="Times New Roman" w:eastAsia="Times New Roman" w:hint="default"/>
                  <w:spacing w:val="-3"/>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z w:val="18"/>
                <w:szCs w:val="18"/>
              </w:rPr>
              <w:t>上的临</w:t>
            </w:r>
            <w:r>
              <w:rPr>
                <w:rFonts w:ascii="Times New Roman" w:hAnsi="Times New Roman" w:cs="Times New Roman" w:eastAsia="Times New Roman" w:hint="default"/>
                <w:sz w:val="18"/>
                <w:szCs w:val="18"/>
              </w:rPr>
              <w:t>2018-068</w:t>
            </w:r>
            <w:r>
              <w:rPr>
                <w:rFonts w:ascii="宋体" w:hAnsi="宋体" w:cs="宋体" w:eastAsia="宋体" w:hint="default"/>
                <w:sz w:val="18"/>
                <w:szCs w:val="18"/>
              </w:rPr>
              <w:t>、</w:t>
            </w:r>
            <w:r>
              <w:rPr>
                <w:rFonts w:ascii="Times New Roman" w:hAnsi="Times New Roman" w:cs="Times New Roman" w:eastAsia="Times New Roman" w:hint="default"/>
                <w:sz w:val="18"/>
                <w:szCs w:val="18"/>
              </w:rPr>
              <w:t>082</w:t>
            </w:r>
            <w:r>
              <w:rPr>
                <w:rFonts w:ascii="宋体" w:hAnsi="宋体" w:cs="宋体" w:eastAsia="宋体" w:hint="default"/>
                <w:sz w:val="18"/>
                <w:szCs w:val="18"/>
              </w:rPr>
              <w:t>号公告</w:t>
            </w:r>
          </w:p>
        </w:tc>
      </w:tr>
    </w:tbl>
    <w:p>
      <w:pPr>
        <w:spacing w:after="0" w:line="30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p>
      <w:pPr>
        <w:pStyle w:val="Heading1"/>
        <w:spacing w:line="240" w:lineRule="auto"/>
        <w:ind w:left="2964" w:right="1034"/>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034"/>
        <w:jc w:val="left"/>
        <w:rPr>
          <w:b w:val="0"/>
          <w:bCs w:val="0"/>
        </w:rPr>
      </w:pPr>
      <w:r>
        <w:rPr/>
        <w:t>一、股份变动情况</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right="1034"/>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23" w:type="dxa"/>
        <w:tblLayout w:type="fixed"/>
        <w:tblCellMar>
          <w:top w:w="0" w:type="dxa"/>
          <w:left w:w="0" w:type="dxa"/>
          <w:bottom w:w="0" w:type="dxa"/>
          <w:right w:w="0" w:type="dxa"/>
        </w:tblCellMar>
        <w:tblLook w:val="01E0"/>
      </w:tblPr>
      <w:tblGrid>
        <w:gridCol w:w="1961"/>
        <w:gridCol w:w="1217"/>
        <w:gridCol w:w="710"/>
        <w:gridCol w:w="425"/>
        <w:gridCol w:w="425"/>
        <w:gridCol w:w="636"/>
        <w:gridCol w:w="1066"/>
        <w:gridCol w:w="1133"/>
        <w:gridCol w:w="1241"/>
        <w:gridCol w:w="886"/>
      </w:tblGrid>
      <w:tr>
        <w:trPr>
          <w:trHeight w:val="402" w:hRule="exact"/>
        </w:trPr>
        <w:tc>
          <w:tcPr>
            <w:tcW w:w="19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68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3" w:hRule="exact"/>
        </w:trPr>
        <w:tc>
          <w:tcPr>
            <w:tcW w:w="1961" w:type="dxa"/>
            <w:vMerge w:val="restart"/>
            <w:tcBorders>
              <w:top w:val="nil" w:sz="6" w:space="0" w:color="auto"/>
              <w:left w:val="single" w:sz="4" w:space="0" w:color="000000"/>
              <w:right w:val="single" w:sz="4" w:space="0" w:color="000000"/>
            </w:tcBorders>
            <w:shd w:val="clear" w:color="auto" w:fill="D2D2D2"/>
          </w:tcPr>
          <w:p>
            <w:pPr/>
          </w:p>
        </w:tc>
        <w:tc>
          <w:tcPr>
            <w:tcW w:w="12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 w:right="24"/>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63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34" w:right="41"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961" w:type="dxa"/>
            <w:vMerge/>
            <w:tcBorders>
              <w:left w:val="single" w:sz="4" w:space="0" w:color="000000"/>
              <w:bottom w:val="nil" w:sz="6" w:space="0" w:color="auto"/>
              <w:right w:val="single" w:sz="4" w:space="0" w:color="000000"/>
            </w:tcBorders>
            <w:shd w:val="clear" w:color="auto" w:fill="D2D2D2"/>
          </w:tcPr>
          <w:p>
            <w:pPr/>
          </w:p>
        </w:tc>
        <w:tc>
          <w:tcPr>
            <w:tcW w:w="12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25"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636" w:type="dxa"/>
            <w:vMerge/>
            <w:tcBorders>
              <w:left w:val="single" w:sz="4" w:space="0" w:color="000000"/>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961" w:type="dxa"/>
            <w:vMerge w:val="restart"/>
            <w:tcBorders>
              <w:top w:val="nil" w:sz="6" w:space="0" w:color="auto"/>
              <w:left w:val="single" w:sz="4" w:space="0" w:color="000000"/>
              <w:right w:val="single" w:sz="4" w:space="0" w:color="000000"/>
            </w:tcBorders>
            <w:shd w:val="clear" w:color="auto" w:fill="D2D2D2"/>
          </w:tcPr>
          <w:p>
            <w:pPr/>
          </w:p>
        </w:tc>
        <w:tc>
          <w:tcPr>
            <w:tcW w:w="1217"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636"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61" w:type="dxa"/>
            <w:vMerge/>
            <w:tcBorders>
              <w:left w:val="single" w:sz="4" w:space="0" w:color="000000"/>
              <w:bottom w:val="single" w:sz="4" w:space="0" w:color="000000"/>
              <w:right w:val="single" w:sz="4" w:space="0" w:color="000000"/>
            </w:tcBorders>
            <w:shd w:val="clear" w:color="auto" w:fill="D2D2D2"/>
          </w:tcPr>
          <w:p>
            <w:pPr/>
          </w:p>
        </w:tc>
        <w:tc>
          <w:tcPr>
            <w:tcW w:w="12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636"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456,981,893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18.81%</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-30,003,429</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-30,003,429</w:t>
            </w:r>
            <w:r>
              <w:rPr>
                <w:rFonts w:ascii="Times New Roman"/>
                <w:sz w:val="18"/>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426,978,464</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17.58%</w:t>
            </w:r>
          </w:p>
        </w:tc>
      </w:tr>
      <w:tr>
        <w:trPr>
          <w:trHeight w:val="403"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217" w:type="dxa"/>
            <w:tcBorders>
              <w:top w:val="single" w:sz="4" w:space="0" w:color="000000"/>
              <w:left w:val="single" w:sz="13"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2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313,402,500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12.90%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313,402,500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12.90%</w:t>
            </w:r>
          </w:p>
        </w:tc>
      </w:tr>
      <w:tr>
        <w:trPr>
          <w:trHeight w:val="403"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2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143,579,393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5.91%</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-30,003,429</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-30,003,429</w:t>
            </w:r>
            <w:r>
              <w:rPr>
                <w:rFonts w:ascii="Times New Roman"/>
                <w:sz w:val="18"/>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113,575,964</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4.68%</w:t>
            </w:r>
          </w:p>
        </w:tc>
      </w:tr>
      <w:tr>
        <w:trPr>
          <w:trHeight w:val="401"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2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97,942,500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4.03%</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97,942,500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w:t>
            </w:r>
          </w:p>
        </w:tc>
      </w:tr>
      <w:tr>
        <w:trPr>
          <w:trHeight w:val="403"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7"/>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2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45,636,893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1.88%</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-30,003,429</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-30,003,429</w:t>
            </w:r>
            <w:r>
              <w:rPr>
                <w:rFonts w:ascii="Times New Roman"/>
                <w:sz w:val="18"/>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15,633,464</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0.64%</w:t>
            </w:r>
          </w:p>
        </w:tc>
      </w:tr>
      <w:tr>
        <w:trPr>
          <w:trHeight w:val="401"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217" w:type="dxa"/>
            <w:tcBorders>
              <w:top w:val="single" w:sz="4" w:space="0" w:color="000000"/>
              <w:left w:val="single" w:sz="13"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217" w:type="dxa"/>
            <w:tcBorders>
              <w:top w:val="single" w:sz="4" w:space="0" w:color="000000"/>
              <w:left w:val="single" w:sz="13"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7"/>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217" w:type="dxa"/>
            <w:tcBorders>
              <w:top w:val="single" w:sz="4" w:space="0" w:color="000000"/>
              <w:left w:val="single" w:sz="13"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1,971,903,832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81.19%</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30,003,429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30,003,429</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2,001,907,261</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82.42%</w:t>
            </w:r>
          </w:p>
        </w:tc>
      </w:tr>
      <w:tr>
        <w:trPr>
          <w:trHeight w:val="401"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2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1,971,903,832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81.19%</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30,003,429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30,003,429</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2,001,907,261</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82.42%</w:t>
            </w:r>
          </w:p>
        </w:tc>
      </w:tr>
      <w:tr>
        <w:trPr>
          <w:trHeight w:val="403"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217" w:type="dxa"/>
            <w:tcBorders>
              <w:top w:val="single" w:sz="4" w:space="0" w:color="000000"/>
              <w:left w:val="single" w:sz="13"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217" w:type="dxa"/>
            <w:tcBorders>
              <w:top w:val="single" w:sz="4" w:space="0" w:color="000000"/>
              <w:left w:val="single" w:sz="13"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17" w:type="dxa"/>
            <w:tcBorders>
              <w:top w:val="single" w:sz="4" w:space="0" w:color="000000"/>
              <w:left w:val="single" w:sz="13"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2,428,885,725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2,428,885,725</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1034"/>
        <w:jc w:val="left"/>
      </w:pPr>
      <w:r>
        <w:rPr/>
        <w:t>股份变动的原因</w:t>
      </w:r>
    </w:p>
    <w:p>
      <w:pPr>
        <w:pStyle w:val="BodyText"/>
        <w:spacing w:line="340" w:lineRule="auto" w:before="115"/>
        <w:ind w:left="513" w:right="1034"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董事、监事及高管的限售股在本期按规定自动进行解锁，董事、监事及高管所持股份的解锁情况按照中国证监会的相关</w:t>
      </w:r>
    </w:p>
    <w:p>
      <w:pPr>
        <w:pStyle w:val="BodyText"/>
        <w:spacing w:line="240" w:lineRule="auto" w:before="1"/>
        <w:ind w:right="1034"/>
        <w:jc w:val="left"/>
      </w:pPr>
      <w:r>
        <w:rPr/>
        <w:t>规定执行。</w:t>
      </w:r>
    </w:p>
    <w:p>
      <w:pPr>
        <w:pStyle w:val="BodyText"/>
        <w:spacing w:line="300" w:lineRule="auto" w:before="117"/>
        <w:ind w:right="1034"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日，公司原董事杨海洲向公司提交书面辞职报告，提出辞去公司董事及薪酬与考核委员会主任委员职务， 不再担任公司任何职务，其辞职报告自送达公司董事会时生效。杨海洲持有的公司股份自其离职之日起</w:t>
      </w:r>
      <w:r>
        <w:rPr>
          <w:rFonts w:ascii="Times New Roman" w:hAnsi="Times New Roman" w:cs="Times New Roman" w:eastAsia="Times New Roman" w:hint="default"/>
        </w:rPr>
        <w:t>6</w:t>
      </w:r>
      <w:r>
        <w:rPr/>
        <w:t>个月内</w:t>
      </w:r>
      <w:r>
        <w:rPr>
          <w:rFonts w:ascii="Times New Roman" w:hAnsi="Times New Roman" w:cs="Times New Roman" w:eastAsia="Times New Roman" w:hint="default"/>
        </w:rPr>
        <w:t>100%</w:t>
      </w:r>
      <w:r>
        <w:rPr/>
        <w:t>锁定，</w:t>
      </w:r>
      <w:r>
        <w:rPr>
          <w:spacing w:val="-57"/>
        </w:rPr>
        <w:t> </w:t>
      </w:r>
      <w:r>
        <w:rPr/>
        <w:t>在其就任时确定的任期内和任期届满后六个月内，每年解锁其所持公司股份总数的</w:t>
      </w:r>
      <w:r>
        <w:rPr>
          <w:rFonts w:ascii="Times New Roman" w:hAnsi="Times New Roman" w:cs="Times New Roman" w:eastAsia="Times New Roman" w:hint="default"/>
        </w:rPr>
        <w:t>25%</w:t>
      </w:r>
      <w:r>
        <w:rPr/>
        <w:t>。</w:t>
      </w:r>
    </w:p>
    <w:p>
      <w:pPr>
        <w:pStyle w:val="BodyText"/>
        <w:spacing w:line="300" w:lineRule="auto" w:before="53"/>
        <w:ind w:right="1131"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日，公司原监事会主席祝立新向公司提交书面辞职报告，提出辞去公司监事、监事会主席职务，不再担任 </w:t>
      </w:r>
      <w:r>
        <w:rPr>
          <w:spacing w:val="-2"/>
        </w:rPr>
        <w:t>公司任何职务，由于其辞职导致公司监事会人数低于法定最低人数</w:t>
      </w:r>
      <w:r>
        <w:rPr>
          <w:rFonts w:ascii="Times New Roman" w:hAnsi="Times New Roman" w:cs="Times New Roman" w:eastAsia="Times New Roman" w:hint="default"/>
          <w:spacing w:val="-2"/>
        </w:rPr>
        <w:t>3</w:t>
      </w:r>
      <w:r>
        <w:rPr>
          <w:spacing w:val="-2"/>
        </w:rPr>
        <w:t>人，故其辞职自公司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23</w:t>
      </w:r>
      <w:r>
        <w:rPr>
          <w:spacing w:val="-2"/>
        </w:rPr>
        <w:t>日召开的</w:t>
      </w:r>
      <w:r>
        <w:rPr>
          <w:rFonts w:ascii="Times New Roman" w:hAnsi="Times New Roman" w:cs="Times New Roman" w:eastAsia="Times New Roman" w:hint="default"/>
          <w:spacing w:val="-2"/>
        </w:rPr>
        <w:t>2017</w:t>
      </w:r>
      <w:r>
        <w:rPr>
          <w:spacing w:val="-2"/>
        </w:rPr>
        <w:t>年度股东</w:t>
      </w:r>
      <w:r>
        <w:rPr>
          <w:spacing w:val="-57"/>
        </w:rPr>
        <w:t> </w:t>
      </w:r>
      <w:r>
        <w:rPr>
          <w:spacing w:val="-57"/>
        </w:rPr>
      </w:r>
      <w:r>
        <w:rPr>
          <w:spacing w:val="-1"/>
        </w:rPr>
        <w:t>大会选举产生新任监事填补其缺额后生效。祝立新持有的公司股份自其离职之日起</w:t>
      </w:r>
      <w:r>
        <w:rPr>
          <w:rFonts w:ascii="Times New Roman" w:hAnsi="Times New Roman" w:cs="Times New Roman" w:eastAsia="Times New Roman" w:hint="default"/>
          <w:spacing w:val="-1"/>
        </w:rPr>
        <w:t>6</w:t>
      </w:r>
      <w:r>
        <w:rPr>
          <w:spacing w:val="-1"/>
        </w:rPr>
        <w:t>个月内</w:t>
      </w:r>
      <w:r>
        <w:rPr>
          <w:rFonts w:ascii="Times New Roman" w:hAnsi="Times New Roman" w:cs="Times New Roman" w:eastAsia="Times New Roman" w:hint="default"/>
          <w:spacing w:val="-1"/>
        </w:rPr>
        <w:t>100%</w:t>
      </w:r>
      <w:r>
        <w:rPr>
          <w:spacing w:val="-1"/>
        </w:rPr>
        <w:t>锁定，在其就任时确定的任</w:t>
      </w:r>
      <w:r>
        <w:rPr>
          <w:spacing w:val="-88"/>
        </w:rPr>
        <w:t> </w:t>
      </w:r>
      <w:r>
        <w:rPr>
          <w:spacing w:val="-88"/>
        </w:rPr>
      </w:r>
      <w:r>
        <w:rPr/>
        <w:t>期内和任期届满后六个月内，每年解锁其所持公司股份总数的</w:t>
      </w:r>
      <w:r>
        <w:rPr>
          <w:rFonts w:ascii="Times New Roman" w:hAnsi="Times New Roman" w:cs="Times New Roman" w:eastAsia="Times New Roman" w:hint="default"/>
        </w:rPr>
        <w:t>25%</w:t>
      </w:r>
      <w:r>
        <w:rPr/>
        <w:t>。</w:t>
      </w:r>
    </w:p>
    <w:p>
      <w:pPr>
        <w:spacing w:after="0" w:line="300" w:lineRule="auto"/>
        <w:jc w:val="both"/>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00" w:lineRule="auto" w:before="44"/>
        <w:ind w:right="1129"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日，公司原副总经理陈振光向公司提交书面辞职报告，提出辞去公司副总经理职务，不再担任公司任何职 </w:t>
      </w:r>
      <w:r>
        <w:rPr>
          <w:spacing w:val="-1"/>
        </w:rPr>
        <w:t>务，其辞职报告自送达公司董事会时生效。陈振光持有的公司股份自其离职之日起</w:t>
      </w:r>
      <w:r>
        <w:rPr>
          <w:rFonts w:ascii="Times New Roman" w:hAnsi="Times New Roman" w:cs="Times New Roman" w:eastAsia="Times New Roman" w:hint="default"/>
          <w:spacing w:val="-1"/>
        </w:rPr>
        <w:t>6</w:t>
      </w:r>
      <w:r>
        <w:rPr>
          <w:spacing w:val="-1"/>
        </w:rPr>
        <w:t>个月内</w:t>
      </w:r>
      <w:r>
        <w:rPr>
          <w:rFonts w:ascii="Times New Roman" w:hAnsi="Times New Roman" w:cs="Times New Roman" w:eastAsia="Times New Roman" w:hint="default"/>
          <w:spacing w:val="-1"/>
        </w:rPr>
        <w:t>100%</w:t>
      </w:r>
      <w:r>
        <w:rPr>
          <w:spacing w:val="-1"/>
        </w:rPr>
        <w:t>锁定，在其就任时确定的任</w:t>
      </w:r>
      <w:r>
        <w:rPr>
          <w:spacing w:val="-85"/>
        </w:rPr>
        <w:t> </w:t>
      </w:r>
      <w:r>
        <w:rPr>
          <w:spacing w:val="-85"/>
        </w:rPr>
      </w:r>
      <w:r>
        <w:rPr/>
        <w:t>期内和任期届满后六个月内，每年解锁其所持公司股份总数的</w:t>
      </w:r>
      <w:r>
        <w:rPr>
          <w:rFonts w:ascii="Times New Roman" w:hAnsi="Times New Roman" w:cs="Times New Roman" w:eastAsia="Times New Roman" w:hint="default"/>
        </w:rPr>
        <w:t>25%</w:t>
      </w:r>
      <w:r>
        <w:rPr/>
        <w:t>。</w:t>
      </w:r>
    </w:p>
    <w:p>
      <w:pPr>
        <w:pStyle w:val="BodyText"/>
        <w:spacing w:line="300" w:lineRule="auto" w:before="53"/>
        <w:ind w:right="1131"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日，公司完成第五届董事会及第五届监事会的换届选举，公司原董事曾文不再担任董事职务，公司职工监 </w:t>
      </w:r>
      <w:r>
        <w:rPr>
          <w:spacing w:val="-1"/>
        </w:rPr>
        <w:t>事冯丰穗不再担任职工监事职务，曾文及冯丰穗持有的公司股份自其离职之日起</w:t>
      </w:r>
      <w:r>
        <w:rPr>
          <w:rFonts w:ascii="Times New Roman" w:hAnsi="Times New Roman" w:cs="Times New Roman" w:eastAsia="Times New Roman" w:hint="default"/>
          <w:spacing w:val="-1"/>
        </w:rPr>
        <w:t>6</w:t>
      </w:r>
      <w:r>
        <w:rPr>
          <w:spacing w:val="-1"/>
        </w:rPr>
        <w:t>个月内</w:t>
      </w:r>
      <w:r>
        <w:rPr>
          <w:rFonts w:ascii="Times New Roman" w:hAnsi="Times New Roman" w:cs="Times New Roman" w:eastAsia="Times New Roman" w:hint="default"/>
          <w:spacing w:val="-1"/>
        </w:rPr>
        <w:t>100%</w:t>
      </w:r>
      <w:r>
        <w:rPr>
          <w:spacing w:val="-1"/>
        </w:rPr>
        <w:t>锁定，在其就任时确定的任期</w:t>
      </w:r>
      <w:r>
        <w:rPr>
          <w:spacing w:val="-87"/>
        </w:rPr>
        <w:t> </w:t>
      </w:r>
      <w:r>
        <w:rPr>
          <w:spacing w:val="-87"/>
        </w:rPr>
      </w:r>
      <w:r>
        <w:rPr/>
        <w:t>内和任期届满后六个月内，每年解锁其所持公司股份总数的</w:t>
      </w:r>
      <w:r>
        <w:rPr>
          <w:rFonts w:ascii="Times New Roman" w:hAnsi="Times New Roman" w:cs="Times New Roman" w:eastAsia="Times New Roman" w:hint="default"/>
        </w:rPr>
        <w:t>25%</w:t>
      </w:r>
      <w:r>
        <w:rPr/>
        <w:t>。</w:t>
      </w:r>
    </w:p>
    <w:p>
      <w:pPr>
        <w:pStyle w:val="BodyText"/>
        <w:spacing w:line="240" w:lineRule="auto" w:before="53"/>
        <w:ind w:right="0"/>
        <w:jc w:val="both"/>
      </w:pPr>
      <w:r>
        <w:rPr/>
        <w:t>股份变动的批准情况</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340" w:lineRule="auto" w:before="39"/>
        <w:ind w:right="8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股份回购的实施进展情况</w:t>
      </w:r>
    </w:p>
    <w:p>
      <w:pPr>
        <w:pStyle w:val="BodyText"/>
        <w:spacing w:line="240" w:lineRule="auto" w:before="41"/>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513" w:right="1034"/>
        <w:jc w:val="left"/>
      </w:pPr>
      <w:r>
        <w:rPr/>
        <w:t>公司于</w:t>
      </w:r>
      <w:r>
        <w:rPr>
          <w:spacing w:val="-3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39"/>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39"/>
        </w:rPr>
        <w:t> </w:t>
      </w:r>
      <w:r>
        <w:rPr>
          <w:rFonts w:ascii="Times New Roman" w:hAnsi="Times New Roman" w:cs="Times New Roman" w:eastAsia="Times New Roman" w:hint="default"/>
        </w:rPr>
        <w:t>23</w:t>
      </w:r>
      <w:r>
        <w:rPr>
          <w:rFonts w:ascii="Times New Roman" w:hAnsi="Times New Roman" w:cs="Times New Roman" w:eastAsia="Times New Roman" w:hint="default"/>
          <w:spacing w:val="7"/>
        </w:rPr>
        <w:t> </w:t>
      </w:r>
      <w:r>
        <w:rPr>
          <w:spacing w:val="-3"/>
        </w:rPr>
        <w:t>日召开第五届董事会第九次（临时）会议，审议通过了《关于以集中竞价交易方式回购公司股份</w:t>
      </w:r>
    </w:p>
    <w:p>
      <w:pPr>
        <w:pStyle w:val="BodyText"/>
        <w:spacing w:line="240" w:lineRule="auto" w:before="63"/>
        <w:ind w:right="0"/>
        <w:jc w:val="both"/>
      </w:pPr>
      <w:r>
        <w:rPr/>
        <w:t>的预案》，该议案已经公司于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9 </w:t>
      </w:r>
      <w:r>
        <w:rPr/>
        <w:t>月</w:t>
      </w:r>
      <w:r>
        <w:rPr>
          <w:spacing w:val="-48"/>
        </w:rPr>
        <w:t> </w:t>
      </w:r>
      <w:r>
        <w:rPr>
          <w:rFonts w:ascii="Times New Roman" w:hAnsi="Times New Roman" w:cs="Times New Roman" w:eastAsia="Times New Roman" w:hint="default"/>
        </w:rPr>
        <w:t>10 </w:t>
      </w:r>
      <w:r>
        <w:rPr/>
        <w:t>日召开的</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年第一次临时股东大会审议通过，并于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21 </w:t>
      </w:r>
      <w:r>
        <w:rPr/>
        <w:t>日披露</w:t>
      </w:r>
    </w:p>
    <w:p>
      <w:pPr>
        <w:pStyle w:val="BodyText"/>
        <w:spacing w:line="240" w:lineRule="auto" w:before="63"/>
        <w:ind w:right="0"/>
        <w:jc w:val="both"/>
      </w:pPr>
      <w:r>
        <w:rPr>
          <w:spacing w:val="-5"/>
        </w:rPr>
        <w:t>了《关于以集中竞价交易方式回购股份的回购报告书》。截至</w:t>
      </w:r>
      <w:r>
        <w:rPr>
          <w:spacing w:val="-4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3"/>
        </w:rPr>
        <w:t>日，公司以集中竞价交易方式回购公司股份，</w:t>
      </w:r>
    </w:p>
    <w:p>
      <w:pPr>
        <w:pStyle w:val="BodyText"/>
        <w:spacing w:line="240" w:lineRule="auto" w:before="63"/>
        <w:ind w:right="0"/>
        <w:jc w:val="both"/>
      </w:pPr>
      <w:r>
        <w:rPr/>
        <w:t>已回购公司股份数量</w:t>
      </w:r>
      <w:r>
        <w:rPr>
          <w:spacing w:val="-49"/>
        </w:rPr>
        <w:t> </w:t>
      </w:r>
      <w:r>
        <w:rPr>
          <w:rFonts w:ascii="Times New Roman" w:hAnsi="Times New Roman" w:cs="Times New Roman" w:eastAsia="Times New Roman" w:hint="default"/>
        </w:rPr>
        <w:t>18,564,174</w:t>
      </w:r>
      <w:r>
        <w:rPr>
          <w:rFonts w:ascii="Times New Roman" w:hAnsi="Times New Roman" w:cs="Times New Roman" w:eastAsia="Times New Roman" w:hint="default"/>
          <w:spacing w:val="-3"/>
        </w:rPr>
        <w:t> </w:t>
      </w:r>
      <w:r>
        <w:rPr/>
        <w:t>股，占公司总股本</w:t>
      </w:r>
      <w:r>
        <w:rPr>
          <w:spacing w:val="-49"/>
        </w:rPr>
        <w:t> </w:t>
      </w:r>
      <w:r>
        <w:rPr>
          <w:rFonts w:ascii="Times New Roman" w:hAnsi="Times New Roman" w:cs="Times New Roman" w:eastAsia="Times New Roman" w:hint="default"/>
        </w:rPr>
        <w:t>2,428,885,725</w:t>
      </w:r>
      <w:r>
        <w:rPr>
          <w:rFonts w:ascii="Times New Roman" w:hAnsi="Times New Roman" w:cs="Times New Roman" w:eastAsia="Times New Roman" w:hint="default"/>
          <w:spacing w:val="-3"/>
        </w:rPr>
        <w:t> </w:t>
      </w:r>
      <w:r>
        <w:rPr/>
        <w:t>股的</w:t>
      </w:r>
      <w:r>
        <w:rPr>
          <w:spacing w:val="-49"/>
        </w:rPr>
        <w:t> </w:t>
      </w:r>
      <w:r>
        <w:rPr>
          <w:rFonts w:ascii="Times New Roman" w:hAnsi="Times New Roman" w:cs="Times New Roman" w:eastAsia="Times New Roman" w:hint="default"/>
        </w:rPr>
        <w:t>0.76%</w:t>
      </w:r>
      <w:r>
        <w:rPr/>
        <w:t>，购买的最高成交价为</w:t>
      </w:r>
      <w:r>
        <w:rPr>
          <w:spacing w:val="-49"/>
        </w:rPr>
        <w:t> </w:t>
      </w:r>
      <w:r>
        <w:rPr>
          <w:rFonts w:ascii="Times New Roman" w:hAnsi="Times New Roman" w:cs="Times New Roman" w:eastAsia="Times New Roman" w:hint="default"/>
        </w:rPr>
        <w:t>6.48</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股，购买的最低</w:t>
      </w:r>
    </w:p>
    <w:p>
      <w:pPr>
        <w:pStyle w:val="BodyText"/>
        <w:spacing w:line="340" w:lineRule="auto" w:before="63"/>
        <w:ind w:right="4953"/>
        <w:jc w:val="left"/>
      </w:pPr>
      <w:r>
        <w:rPr/>
        <w:t>成交价为</w:t>
      </w:r>
      <w:r>
        <w:rPr>
          <w:spacing w:val="-48"/>
        </w:rPr>
        <w:t> </w:t>
      </w:r>
      <w:r>
        <w:rPr>
          <w:rFonts w:ascii="Times New Roman" w:hAnsi="Times New Roman" w:cs="Times New Roman" w:eastAsia="Times New Roman" w:hint="default"/>
        </w:rPr>
        <w:t>5.46</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股，支付总金额为</w:t>
      </w:r>
      <w:r>
        <w:rPr>
          <w:spacing w:val="-48"/>
        </w:rPr>
        <w:t> </w:t>
      </w:r>
      <w:r>
        <w:rPr>
          <w:rFonts w:ascii="Times New Roman" w:hAnsi="Times New Roman" w:cs="Times New Roman" w:eastAsia="Times New Roman" w:hint="default"/>
        </w:rPr>
        <w:t>112,992,948.02</w:t>
      </w:r>
      <w:r>
        <w:rPr>
          <w:rFonts w:ascii="Times New Roman" w:hAnsi="Times New Roman" w:cs="Times New Roman" w:eastAsia="Times New Roman" w:hint="default"/>
          <w:spacing w:val="-1"/>
        </w:rPr>
        <w:t> </w:t>
      </w:r>
      <w:r>
        <w:rPr/>
        <w:t>元（不含交易费用）。 采用集中竞价方式减持回购股份的实施进展情况</w:t>
      </w:r>
    </w:p>
    <w:p>
      <w:pPr>
        <w:pStyle w:val="BodyText"/>
        <w:spacing w:line="338" w:lineRule="auto" w:before="41"/>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240" w:lineRule="auto" w:before="44"/>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9" w:lineRule="auto" w:before="103"/>
        <w:ind w:right="1131"/>
        <w:jc w:val="both"/>
      </w:pPr>
      <w:r>
        <w:rPr/>
        <w:t>截至</w:t>
      </w:r>
      <w:r>
        <w:rPr>
          <w:spacing w:val="-4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日，公司总股本为</w:t>
      </w:r>
      <w:r>
        <w:rPr>
          <w:spacing w:val="-49"/>
        </w:rPr>
        <w:t> </w:t>
      </w:r>
      <w:r>
        <w:rPr>
          <w:rFonts w:ascii="Times New Roman" w:hAnsi="Times New Roman" w:cs="Times New Roman" w:eastAsia="Times New Roman" w:hint="default"/>
        </w:rPr>
        <w:t>2,428,885,725</w:t>
      </w:r>
      <w:r>
        <w:rPr>
          <w:rFonts w:ascii="Times New Roman" w:hAnsi="Times New Roman" w:cs="Times New Roman" w:eastAsia="Times New Roman" w:hint="default"/>
          <w:spacing w:val="-2"/>
        </w:rPr>
        <w:t> </w:t>
      </w:r>
      <w:r>
        <w:rPr>
          <w:spacing w:val="-3"/>
        </w:rPr>
        <w:t>股，已回购</w:t>
      </w:r>
      <w:r>
        <w:rPr>
          <w:spacing w:val="-50"/>
        </w:rPr>
        <w:t> </w:t>
      </w:r>
      <w:r>
        <w:rPr>
          <w:rFonts w:ascii="Times New Roman" w:hAnsi="Times New Roman" w:cs="Times New Roman" w:eastAsia="Times New Roman" w:hint="default"/>
        </w:rPr>
        <w:t>18,564,174</w:t>
      </w:r>
      <w:r>
        <w:rPr>
          <w:rFonts w:ascii="Times New Roman" w:hAnsi="Times New Roman" w:cs="Times New Roman" w:eastAsia="Times New Roman" w:hint="default"/>
          <w:spacing w:val="-3"/>
        </w:rPr>
        <w:t> </w:t>
      </w:r>
      <w:r>
        <w:rPr/>
        <w:t>股，根据《深圳证券交易所上市公司回购股份 </w:t>
      </w:r>
      <w:r>
        <w:rPr>
          <w:spacing w:val="-2"/>
        </w:rPr>
        <w:t>实施细则》的规定，上市公司计算定期报告中每股收益等相关指标时，发行在外的总股本以扣减回购专用账户中的股份数为</w:t>
      </w:r>
      <w:r>
        <w:rPr>
          <w:spacing w:val="-66"/>
        </w:rPr>
        <w:t> </w:t>
      </w:r>
      <w:r>
        <w:rPr>
          <w:spacing w:val="-66"/>
        </w:rPr>
      </w:r>
      <w:r>
        <w:rPr/>
        <w:t>准。</w:t>
      </w:r>
    </w:p>
    <w:p>
      <w:pPr>
        <w:spacing w:line="240" w:lineRule="auto" w:before="2"/>
        <w:rPr>
          <w:rFonts w:ascii="宋体" w:hAnsi="宋体" w:cs="宋体" w:eastAsia="宋体" w:hint="default"/>
          <w:sz w:val="4"/>
          <w:szCs w:val="4"/>
        </w:rPr>
      </w:pPr>
    </w:p>
    <w:tbl>
      <w:tblPr>
        <w:tblW w:w="0" w:type="auto"/>
        <w:jc w:val="left"/>
        <w:tblInd w:w="290" w:type="dxa"/>
        <w:tblLayout w:type="fixed"/>
        <w:tblCellMar>
          <w:top w:w="0" w:type="dxa"/>
          <w:left w:w="0" w:type="dxa"/>
          <w:bottom w:w="0" w:type="dxa"/>
          <w:right w:w="0" w:type="dxa"/>
        </w:tblCellMar>
        <w:tblLook w:val="01E0"/>
      </w:tblPr>
      <w:tblGrid>
        <w:gridCol w:w="3687"/>
        <w:gridCol w:w="1702"/>
        <w:gridCol w:w="1841"/>
        <w:gridCol w:w="1136"/>
        <w:gridCol w:w="1133"/>
      </w:tblGrid>
      <w:tr>
        <w:trPr>
          <w:trHeight w:val="403" w:hRule="exact"/>
        </w:trPr>
        <w:tc>
          <w:tcPr>
            <w:tcW w:w="36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81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3687"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股份变动前</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5" w:right="0"/>
              <w:jc w:val="left"/>
              <w:rPr>
                <w:rFonts w:ascii="宋体" w:hAnsi="宋体" w:cs="宋体" w:eastAsia="宋体" w:hint="default"/>
                <w:sz w:val="18"/>
                <w:szCs w:val="18"/>
              </w:rPr>
            </w:pPr>
            <w:r>
              <w:rPr>
                <w:rFonts w:ascii="宋体" w:hAnsi="宋体" w:cs="宋体" w:eastAsia="宋体" w:hint="default"/>
                <w:sz w:val="18"/>
                <w:szCs w:val="18"/>
              </w:rPr>
              <w:t>股份变动后</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差异金额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6"/>
              <w:jc w:val="right"/>
              <w:rPr>
                <w:rFonts w:ascii="Times New Roman" w:hAnsi="Times New Roman" w:cs="Times New Roman" w:eastAsia="Times New Roman" w:hint="default"/>
                <w:sz w:val="18"/>
                <w:szCs w:val="18"/>
              </w:rPr>
            </w:pPr>
            <w:r>
              <w:rPr>
                <w:rFonts w:ascii="宋体" w:hAnsi="宋体" w:cs="宋体" w:eastAsia="宋体" w:hint="default"/>
                <w:sz w:val="18"/>
                <w:szCs w:val="18"/>
              </w:rPr>
              <w:t>差异幅度</w:t>
            </w:r>
            <w:r>
              <w:rPr>
                <w:rFonts w:ascii="Times New Roman" w:hAnsi="Times New Roman" w:cs="Times New Roman" w:eastAsia="Times New Roman" w:hint="default"/>
                <w:sz w:val="18"/>
                <w:szCs w:val="18"/>
              </w:rPr>
              <w:t>%</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基本每股收益（元）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0.28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0.28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稀释每股收益（元）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0.28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0.28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36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81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687"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股份变动前</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5" w:right="0"/>
              <w:jc w:val="left"/>
              <w:rPr>
                <w:rFonts w:ascii="宋体" w:hAnsi="宋体" w:cs="宋体" w:eastAsia="宋体" w:hint="default"/>
                <w:sz w:val="18"/>
                <w:szCs w:val="18"/>
              </w:rPr>
            </w:pPr>
            <w:r>
              <w:rPr>
                <w:rFonts w:ascii="宋体" w:hAnsi="宋体" w:cs="宋体" w:eastAsia="宋体" w:hint="default"/>
                <w:sz w:val="18"/>
                <w:szCs w:val="18"/>
              </w:rPr>
              <w:t>股份变动后</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差异金额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6"/>
              <w:jc w:val="right"/>
              <w:rPr>
                <w:rFonts w:ascii="Times New Roman" w:hAnsi="Times New Roman" w:cs="Times New Roman" w:eastAsia="Times New Roman" w:hint="default"/>
                <w:sz w:val="18"/>
                <w:szCs w:val="18"/>
              </w:rPr>
            </w:pPr>
            <w:r>
              <w:rPr>
                <w:rFonts w:ascii="宋体" w:hAnsi="宋体" w:cs="宋体" w:eastAsia="宋体" w:hint="default"/>
                <w:sz w:val="18"/>
                <w:szCs w:val="18"/>
              </w:rPr>
              <w:t>差异幅度</w:t>
            </w:r>
            <w:r>
              <w:rPr>
                <w:rFonts w:ascii="Times New Roman" w:hAnsi="Times New Roman" w:cs="Times New Roman" w:eastAsia="Times New Roman" w:hint="default"/>
                <w:sz w:val="18"/>
                <w:szCs w:val="18"/>
              </w:rPr>
              <w:t>%</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归属于公司普通股股东的每股净资产（元）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3.60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0.56%</w:t>
            </w:r>
          </w:p>
        </w:tc>
      </w:tr>
    </w:tbl>
    <w:p>
      <w:pPr>
        <w:pStyle w:val="BodyText"/>
        <w:spacing w:line="240" w:lineRule="auto" w:before="49"/>
        <w:ind w:right="1034"/>
        <w:jc w:val="left"/>
      </w:pPr>
      <w:r>
        <w:rPr/>
        <w:t>公司认为必要或证券监管机构要求披露的其他内容</w:t>
      </w:r>
    </w:p>
    <w:p>
      <w:pPr>
        <w:pStyle w:val="BodyText"/>
        <w:spacing w:line="240" w:lineRule="auto" w:before="115"/>
        <w:ind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4"/>
        <w:spacing w:line="240" w:lineRule="auto"/>
        <w:ind w:right="1034"/>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76"/>
        <w:gridCol w:w="991"/>
        <w:gridCol w:w="995"/>
        <w:gridCol w:w="990"/>
        <w:gridCol w:w="1136"/>
        <w:gridCol w:w="1416"/>
        <w:gridCol w:w="2768"/>
      </w:tblGrid>
      <w:tr>
        <w:trPr>
          <w:trHeight w:val="716"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0" w:right="38"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0" w:right="42"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9" w:right="38"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2" w:right="111"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277"/>
        <w:gridCol w:w="991"/>
        <w:gridCol w:w="994"/>
        <w:gridCol w:w="991"/>
        <w:gridCol w:w="1136"/>
        <w:gridCol w:w="1416"/>
        <w:gridCol w:w="2768"/>
      </w:tblGrid>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广州无线电集 团有限公司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313,402,500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313,402,500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r>
      <w:tr>
        <w:trPr>
          <w:trHeight w:val="165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广州广电运通 金融电子股份 有限公司－第 一期员工持股 计划</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97,942,500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97,942,500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杨海洲</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492,568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492,569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依据证监会及深交所规定执行</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叶子瑜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11,794,453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11,794,455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祝立新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1,747,043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1,747,043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依据证监会及深交所规定执行</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曾文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17,730,851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17,730,851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依据证监会及深交所规定执行</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冯丰穗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530,583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530,583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依据证监会及深交所规定执行</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陈振光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11,154,068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11,154,068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依据证监会及深交所规定执行</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陈建良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1,105,445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1,105,447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束 </w:t>
            </w:r>
            <w:r>
              <w:rPr>
                <w:rFonts w:ascii="宋体" w:hAnsi="宋体" w:cs="宋体" w:eastAsia="宋体" w:hint="default"/>
                <w:spacing w:val="2"/>
                <w:sz w:val="18"/>
                <w:szCs w:val="18"/>
              </w:rPr>
              <w:t> </w:t>
            </w:r>
            <w:r>
              <w:rPr>
                <w:rFonts w:ascii="宋体" w:hAnsi="宋体" w:cs="宋体" w:eastAsia="宋体" w:hint="default"/>
                <w:sz w:val="18"/>
                <w:szCs w:val="18"/>
              </w:rPr>
              <w:t>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468,756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468,756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依据证监会及深交所规定执行</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李叶东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127,127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127,126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蒋春晨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476,887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119,175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357,712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解永生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9,112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456,981,893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30,003,434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426,978,464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1034"/>
        <w:jc w:val="left"/>
        <w:rPr>
          <w:b w:val="0"/>
          <w:bCs w:val="0"/>
        </w:rPr>
      </w:pPr>
      <w:r>
        <w:rPr/>
        <w:t>二、证券发行与上市情况</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right="1034"/>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4"/>
        <w:spacing w:line="240" w:lineRule="auto"/>
        <w:ind w:right="1034"/>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6"/>
          <w:szCs w:val="26"/>
        </w:rPr>
      </w:pPr>
    </w:p>
    <w:p>
      <w:pPr>
        <w:pStyle w:val="Heading4"/>
        <w:spacing w:line="240" w:lineRule="auto"/>
        <w:ind w:right="1034"/>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034"/>
        <w:jc w:val="left"/>
        <w:rPr>
          <w:b w:val="0"/>
          <w:bCs w:val="0"/>
        </w:rPr>
      </w:pPr>
      <w:r>
        <w:rPr/>
        <w:t>三、股东和实际控制人情况</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right="1034"/>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6"/>
        <w:gridCol w:w="1186"/>
        <w:gridCol w:w="1218"/>
        <w:gridCol w:w="1184"/>
        <w:gridCol w:w="1210"/>
        <w:gridCol w:w="1173"/>
        <w:gridCol w:w="1211"/>
      </w:tblGrid>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报告期末普通</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9" w:right="0"/>
              <w:jc w:val="left"/>
              <w:rPr>
                <w:rFonts w:ascii="Times New Roman" w:hAnsi="Times New Roman" w:cs="Times New Roman" w:eastAsia="Times New Roman" w:hint="default"/>
                <w:sz w:val="18"/>
                <w:szCs w:val="18"/>
              </w:rPr>
            </w:pPr>
            <w:r>
              <w:rPr>
                <w:rFonts w:ascii="Times New Roman"/>
                <w:sz w:val="18"/>
              </w:rPr>
              <w:t>53,690</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年度报告披露</w:t>
            </w:r>
          </w:p>
        </w:tc>
        <w:tc>
          <w:tcPr>
            <w:tcW w:w="1218"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left="674" w:right="0"/>
              <w:jc w:val="left"/>
              <w:rPr>
                <w:rFonts w:ascii="Times New Roman" w:hAnsi="Times New Roman" w:cs="Times New Roman" w:eastAsia="Times New Roman" w:hint="default"/>
                <w:sz w:val="18"/>
                <w:szCs w:val="18"/>
              </w:rPr>
            </w:pPr>
            <w:r>
              <w:rPr>
                <w:rFonts w:ascii="Times New Roman"/>
                <w:sz w:val="18"/>
              </w:rPr>
              <w:t>50,268</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z w:val="18"/>
                <w:szCs w:val="18"/>
              </w:rPr>
              <w:t>报告期末表决</w:t>
            </w:r>
          </w:p>
        </w:tc>
        <w:tc>
          <w:tcPr>
            <w:tcW w:w="121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宋体" w:hAnsi="宋体" w:cs="宋体" w:eastAsia="宋体" w:hint="default"/>
                <w:sz w:val="18"/>
                <w:szCs w:val="18"/>
              </w:rPr>
              <w:t>年度报告披露</w:t>
            </w:r>
          </w:p>
        </w:tc>
        <w:tc>
          <w:tcPr>
            <w:tcW w:w="12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196"/>
        <w:gridCol w:w="1211"/>
        <w:gridCol w:w="998"/>
        <w:gridCol w:w="174"/>
        <w:gridCol w:w="534"/>
        <w:gridCol w:w="672"/>
        <w:gridCol w:w="461"/>
        <w:gridCol w:w="734"/>
        <w:gridCol w:w="259"/>
        <w:gridCol w:w="634"/>
        <w:gridCol w:w="338"/>
        <w:gridCol w:w="1013"/>
        <w:gridCol w:w="138"/>
        <w:gridCol w:w="287"/>
        <w:gridCol w:w="924"/>
      </w:tblGrid>
      <w:tr>
        <w:trPr>
          <w:trHeight w:val="358"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股股东总数</w:t>
            </w:r>
          </w:p>
        </w:tc>
        <w:tc>
          <w:tcPr>
            <w:tcW w:w="1211" w:type="dxa"/>
            <w:vMerge w:val="restart"/>
            <w:tcBorders>
              <w:top w:val="single" w:sz="4" w:space="0" w:color="000000"/>
              <w:left w:val="single" w:sz="9" w:space="0" w:color="D2D2D2"/>
              <w:right w:val="single" w:sz="9" w:space="0" w:color="D2D2D2"/>
            </w:tcBorders>
          </w:tcPr>
          <w:p>
            <w:pPr/>
          </w:p>
        </w:tc>
        <w:tc>
          <w:tcPr>
            <w:tcW w:w="11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8" w:right="71"/>
              <w:jc w:val="both"/>
              <w:rPr>
                <w:rFonts w:ascii="宋体" w:hAnsi="宋体" w:cs="宋体" w:eastAsia="宋体" w:hint="default"/>
                <w:sz w:val="18"/>
                <w:szCs w:val="18"/>
              </w:rPr>
            </w:pPr>
            <w:r>
              <w:rPr>
                <w:rFonts w:ascii="宋体" w:hAnsi="宋体" w:cs="宋体" w:eastAsia="宋体" w:hint="default"/>
                <w:sz w:val="18"/>
                <w:szCs w:val="18"/>
              </w:rPr>
              <w:t>日前上一月末 普通股股东总 数</w:t>
            </w:r>
          </w:p>
        </w:tc>
        <w:tc>
          <w:tcPr>
            <w:tcW w:w="1206" w:type="dxa"/>
            <w:gridSpan w:val="2"/>
            <w:vMerge w:val="restart"/>
            <w:tcBorders>
              <w:top w:val="single" w:sz="4" w:space="0" w:color="000000"/>
              <w:left w:val="single" w:sz="9" w:space="0" w:color="D2D2D2"/>
              <w:right w:val="single" w:sz="10" w:space="0" w:color="D2D2D2"/>
            </w:tcBorders>
          </w:tcPr>
          <w:p>
            <w:pPr/>
          </w:p>
        </w:tc>
        <w:tc>
          <w:tcPr>
            <w:tcW w:w="11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23" w:right="81"/>
              <w:jc w:val="left"/>
              <w:rPr>
                <w:rFonts w:ascii="宋体" w:hAnsi="宋体" w:cs="宋体" w:eastAsia="宋体" w:hint="default"/>
                <w:sz w:val="18"/>
                <w:szCs w:val="18"/>
              </w:rPr>
            </w:pPr>
            <w:r>
              <w:rPr>
                <w:rFonts w:ascii="宋体" w:hAnsi="宋体" w:cs="宋体" w:eastAsia="宋体" w:hint="default"/>
                <w:sz w:val="18"/>
                <w:szCs w:val="18"/>
              </w:rPr>
              <w:t>权恢复的优先 股股东总数</w:t>
            </w:r>
          </w:p>
        </w:tc>
        <w:tc>
          <w:tcPr>
            <w:tcW w:w="1231" w:type="dxa"/>
            <w:gridSpan w:val="3"/>
            <w:vMerge w:val="restart"/>
            <w:tcBorders>
              <w:top w:val="single" w:sz="4" w:space="0" w:color="000000"/>
              <w:left w:val="single" w:sz="10" w:space="0" w:color="D2D2D2"/>
              <w:right w:val="single" w:sz="13" w:space="0" w:color="D2D2D2"/>
            </w:tcBorders>
          </w:tcPr>
          <w:p>
            <w:pPr/>
          </w:p>
        </w:tc>
        <w:tc>
          <w:tcPr>
            <w:tcW w:w="11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10" w:right="69"/>
              <w:jc w:val="both"/>
              <w:rPr>
                <w:rFonts w:ascii="宋体" w:hAnsi="宋体" w:cs="宋体" w:eastAsia="宋体" w:hint="default"/>
                <w:sz w:val="18"/>
                <w:szCs w:val="18"/>
              </w:rPr>
            </w:pPr>
            <w:r>
              <w:rPr>
                <w:rFonts w:ascii="宋体" w:hAnsi="宋体" w:cs="宋体" w:eastAsia="宋体" w:hint="default"/>
                <w:sz w:val="18"/>
                <w:szCs w:val="18"/>
              </w:rPr>
              <w:t>日前上一月末 表决权恢复的 优先股股东总 数</w:t>
            </w:r>
          </w:p>
        </w:tc>
        <w:tc>
          <w:tcPr>
            <w:tcW w:w="1211" w:type="dxa"/>
            <w:gridSpan w:val="2"/>
            <w:vMerge w:val="restart"/>
            <w:tcBorders>
              <w:top w:val="single" w:sz="4" w:space="0" w:color="000000"/>
              <w:left w:val="single" w:sz="10"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11" w:type="dxa"/>
            <w:vMerge/>
            <w:tcBorders>
              <w:left w:val="single" w:sz="9" w:space="0" w:color="D2D2D2"/>
              <w:right w:val="single" w:sz="9" w:space="0" w:color="D2D2D2"/>
            </w:tcBorders>
          </w:tcPr>
          <w:p>
            <w:pPr/>
          </w:p>
        </w:tc>
        <w:tc>
          <w:tcPr>
            <w:tcW w:w="1172" w:type="dxa"/>
            <w:gridSpan w:val="2"/>
            <w:vMerge/>
            <w:tcBorders>
              <w:left w:val="single" w:sz="4" w:space="0" w:color="000000"/>
              <w:right w:val="single" w:sz="4" w:space="0" w:color="000000"/>
            </w:tcBorders>
            <w:shd w:val="clear" w:color="auto" w:fill="D2D2D2"/>
          </w:tcPr>
          <w:p>
            <w:pPr/>
          </w:p>
        </w:tc>
        <w:tc>
          <w:tcPr>
            <w:tcW w:w="1206" w:type="dxa"/>
            <w:gridSpan w:val="2"/>
            <w:vMerge/>
            <w:tcBorders>
              <w:left w:val="single" w:sz="9" w:space="0" w:color="D2D2D2"/>
              <w:right w:val="single" w:sz="10" w:space="0" w:color="D2D2D2"/>
            </w:tcBorders>
          </w:tcPr>
          <w:p>
            <w:pPr/>
          </w:p>
        </w:tc>
        <w:tc>
          <w:tcPr>
            <w:tcW w:w="1196" w:type="dxa"/>
            <w:gridSpan w:val="2"/>
            <w:vMerge/>
            <w:tcBorders>
              <w:left w:val="single" w:sz="4" w:space="0" w:color="000000"/>
              <w:bottom w:val="nil" w:sz="6" w:space="0" w:color="auto"/>
              <w:right w:val="single" w:sz="4" w:space="0" w:color="000000"/>
            </w:tcBorders>
            <w:shd w:val="clear" w:color="auto" w:fill="D2D2D2"/>
          </w:tcPr>
          <w:p>
            <w:pPr/>
          </w:p>
        </w:tc>
        <w:tc>
          <w:tcPr>
            <w:tcW w:w="1231" w:type="dxa"/>
            <w:gridSpan w:val="3"/>
            <w:vMerge/>
            <w:tcBorders>
              <w:left w:val="single" w:sz="10" w:space="0" w:color="D2D2D2"/>
              <w:right w:val="single" w:sz="13" w:space="0" w:color="D2D2D2"/>
            </w:tcBorders>
          </w:tcPr>
          <w:p>
            <w:pPr/>
          </w:p>
        </w:tc>
        <w:tc>
          <w:tcPr>
            <w:tcW w:w="1151" w:type="dxa"/>
            <w:gridSpan w:val="2"/>
            <w:vMerge/>
            <w:tcBorders>
              <w:left w:val="single" w:sz="4" w:space="0" w:color="000000"/>
              <w:right w:val="single" w:sz="4" w:space="0" w:color="000000"/>
            </w:tcBorders>
            <w:shd w:val="clear" w:color="auto" w:fill="D2D2D2"/>
          </w:tcPr>
          <w:p>
            <w:pPr/>
          </w:p>
        </w:tc>
        <w:tc>
          <w:tcPr>
            <w:tcW w:w="1211" w:type="dxa"/>
            <w:gridSpan w:val="2"/>
            <w:vMerge/>
            <w:tcBorders>
              <w:left w:val="single" w:sz="10" w:space="0" w:color="D2D2D2"/>
              <w:right w:val="single" w:sz="4" w:space="0" w:color="000000"/>
            </w:tcBorders>
          </w:tcPr>
          <w:p>
            <w:pPr/>
          </w:p>
        </w:tc>
      </w:tr>
      <w:tr>
        <w:trPr>
          <w:trHeight w:val="312" w:hRule="exact"/>
        </w:trPr>
        <w:tc>
          <w:tcPr>
            <w:tcW w:w="1196" w:type="dxa"/>
            <w:vMerge/>
            <w:tcBorders>
              <w:left w:val="single" w:sz="4" w:space="0" w:color="000000"/>
              <w:right w:val="single" w:sz="4" w:space="0" w:color="000000"/>
            </w:tcBorders>
            <w:shd w:val="clear" w:color="auto" w:fill="D2D2D2"/>
          </w:tcPr>
          <w:p>
            <w:pPr/>
          </w:p>
        </w:tc>
        <w:tc>
          <w:tcPr>
            <w:tcW w:w="1211" w:type="dxa"/>
            <w:vMerge/>
            <w:tcBorders>
              <w:left w:val="single" w:sz="9" w:space="0" w:color="D2D2D2"/>
              <w:right w:val="single" w:sz="9" w:space="0" w:color="D2D2D2"/>
            </w:tcBorders>
          </w:tcPr>
          <w:p>
            <w:pPr/>
          </w:p>
        </w:tc>
        <w:tc>
          <w:tcPr>
            <w:tcW w:w="1172" w:type="dxa"/>
            <w:gridSpan w:val="2"/>
            <w:vMerge/>
            <w:tcBorders>
              <w:left w:val="single" w:sz="4" w:space="0" w:color="000000"/>
              <w:bottom w:val="nil" w:sz="6" w:space="0" w:color="auto"/>
              <w:right w:val="single" w:sz="4" w:space="0" w:color="000000"/>
            </w:tcBorders>
            <w:shd w:val="clear" w:color="auto" w:fill="D2D2D2"/>
          </w:tcPr>
          <w:p>
            <w:pPr/>
          </w:p>
        </w:tc>
        <w:tc>
          <w:tcPr>
            <w:tcW w:w="1206" w:type="dxa"/>
            <w:gridSpan w:val="2"/>
            <w:vMerge/>
            <w:tcBorders>
              <w:left w:val="single" w:sz="9" w:space="0" w:color="D2D2D2"/>
              <w:right w:val="single" w:sz="10" w:space="0" w:color="D2D2D2"/>
            </w:tcBorders>
          </w:tcPr>
          <w:p>
            <w:pPr/>
          </w:p>
        </w:tc>
        <w:tc>
          <w:tcPr>
            <w:tcW w:w="1196" w:type="dxa"/>
            <w:gridSpan w:val="2"/>
            <w:vMerge w:val="restart"/>
            <w:tcBorders>
              <w:top w:val="nil" w:sz="6" w:space="0" w:color="auto"/>
              <w:left w:val="single" w:sz="4" w:space="0" w:color="000000"/>
              <w:right w:val="single" w:sz="4" w:space="0" w:color="000000"/>
            </w:tcBorders>
            <w:shd w:val="clear" w:color="auto" w:fill="D2D2D2"/>
          </w:tcPr>
          <w:p>
            <w:pPr/>
          </w:p>
        </w:tc>
        <w:tc>
          <w:tcPr>
            <w:tcW w:w="1231" w:type="dxa"/>
            <w:gridSpan w:val="3"/>
            <w:vMerge/>
            <w:tcBorders>
              <w:left w:val="single" w:sz="10" w:space="0" w:color="D2D2D2"/>
              <w:right w:val="single" w:sz="13" w:space="0" w:color="D2D2D2"/>
            </w:tcBorders>
          </w:tcPr>
          <w:p>
            <w:pPr/>
          </w:p>
        </w:tc>
        <w:tc>
          <w:tcPr>
            <w:tcW w:w="1151" w:type="dxa"/>
            <w:gridSpan w:val="2"/>
            <w:vMerge/>
            <w:tcBorders>
              <w:left w:val="single" w:sz="4" w:space="0" w:color="000000"/>
              <w:right w:val="single" w:sz="4" w:space="0" w:color="000000"/>
            </w:tcBorders>
            <w:shd w:val="clear" w:color="auto" w:fill="D2D2D2"/>
          </w:tcPr>
          <w:p>
            <w:pPr/>
          </w:p>
        </w:tc>
        <w:tc>
          <w:tcPr>
            <w:tcW w:w="1211" w:type="dxa"/>
            <w:gridSpan w:val="2"/>
            <w:vMerge/>
            <w:tcBorders>
              <w:left w:val="single" w:sz="10" w:space="0" w:color="D2D2D2"/>
              <w:right w:val="single" w:sz="4" w:space="0" w:color="000000"/>
            </w:tcBorders>
          </w:tcPr>
          <w:p>
            <w:pPr/>
          </w:p>
        </w:tc>
      </w:tr>
      <w:tr>
        <w:trPr>
          <w:trHeight w:val="322"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11" w:type="dxa"/>
            <w:vMerge/>
            <w:tcBorders>
              <w:left w:val="single" w:sz="9" w:space="0" w:color="D2D2D2"/>
              <w:bottom w:val="single" w:sz="4" w:space="0" w:color="000000"/>
              <w:right w:val="single" w:sz="9" w:space="0" w:color="D2D2D2"/>
            </w:tcBorders>
          </w:tcPr>
          <w:p>
            <w:pPr/>
          </w:p>
        </w:tc>
        <w:tc>
          <w:tcPr>
            <w:tcW w:w="117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6" w:type="dxa"/>
            <w:gridSpan w:val="2"/>
            <w:vMerge/>
            <w:tcBorders>
              <w:left w:val="single" w:sz="9" w:space="0" w:color="D2D2D2"/>
              <w:bottom w:val="single" w:sz="4" w:space="0" w:color="000000"/>
              <w:right w:val="single" w:sz="10" w:space="0" w:color="D2D2D2"/>
            </w:tcBorders>
          </w:tcPr>
          <w:p>
            <w:pPr/>
          </w:p>
        </w:tc>
        <w:tc>
          <w:tcPr>
            <w:tcW w:w="1196" w:type="dxa"/>
            <w:gridSpan w:val="2"/>
            <w:vMerge/>
            <w:tcBorders>
              <w:left w:val="single" w:sz="4" w:space="0" w:color="000000"/>
              <w:bottom w:val="single" w:sz="4" w:space="0" w:color="000000"/>
              <w:right w:val="single" w:sz="4" w:space="0" w:color="000000"/>
            </w:tcBorders>
            <w:shd w:val="clear" w:color="auto" w:fill="D2D2D2"/>
          </w:tcPr>
          <w:p>
            <w:pPr/>
          </w:p>
        </w:tc>
        <w:tc>
          <w:tcPr>
            <w:tcW w:w="1231" w:type="dxa"/>
            <w:gridSpan w:val="3"/>
            <w:vMerge/>
            <w:tcBorders>
              <w:left w:val="single" w:sz="10" w:space="0" w:color="D2D2D2"/>
              <w:bottom w:val="single" w:sz="4" w:space="0" w:color="000000"/>
              <w:right w:val="single" w:sz="13" w:space="0" w:color="D2D2D2"/>
            </w:tcBorders>
          </w:tcPr>
          <w:p>
            <w:pPr/>
          </w:p>
        </w:tc>
        <w:tc>
          <w:tcPr>
            <w:tcW w:w="1151" w:type="dxa"/>
            <w:gridSpan w:val="2"/>
            <w:vMerge/>
            <w:tcBorders>
              <w:left w:val="single" w:sz="4" w:space="0" w:color="000000"/>
              <w:bottom w:val="single" w:sz="4" w:space="0" w:color="000000"/>
              <w:right w:val="single" w:sz="4" w:space="0" w:color="000000"/>
            </w:tcBorders>
            <w:shd w:val="clear" w:color="auto" w:fill="D2D2D2"/>
          </w:tcPr>
          <w:p>
            <w:pPr/>
          </w:p>
        </w:tc>
        <w:tc>
          <w:tcPr>
            <w:tcW w:w="1211" w:type="dxa"/>
            <w:gridSpan w:val="2"/>
            <w:vMerge/>
            <w:tcBorders>
              <w:left w:val="single" w:sz="10" w:space="0" w:color="D2D2D2"/>
              <w:bottom w:val="single" w:sz="4" w:space="0" w:color="000000"/>
              <w:right w:val="single" w:sz="4" w:space="0" w:color="000000"/>
            </w:tcBorders>
          </w:tcPr>
          <w:p>
            <w:pPr/>
          </w:p>
        </w:tc>
      </w:tr>
      <w:tr>
        <w:trPr>
          <w:trHeight w:val="391" w:hRule="exact"/>
        </w:trPr>
        <w:tc>
          <w:tcPr>
            <w:tcW w:w="957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11" w:hRule="exact"/>
        </w:trPr>
        <w:tc>
          <w:tcPr>
            <w:tcW w:w="2406" w:type="dxa"/>
            <w:gridSpan w:val="2"/>
            <w:vMerge w:val="restart"/>
            <w:tcBorders>
              <w:top w:val="single" w:sz="4" w:space="0" w:color="000000"/>
              <w:left w:val="single" w:sz="4" w:space="0" w:color="000000"/>
              <w:right w:val="single" w:sz="4" w:space="0" w:color="000000"/>
            </w:tcBorders>
            <w:shd w:val="clear" w:color="auto" w:fill="D2D2D2"/>
          </w:tcPr>
          <w:p>
            <w:pPr/>
          </w:p>
        </w:tc>
        <w:tc>
          <w:tcPr>
            <w:tcW w:w="998" w:type="dxa"/>
            <w:vMerge w:val="restart"/>
            <w:tcBorders>
              <w:top w:val="single" w:sz="4" w:space="0" w:color="000000"/>
              <w:left w:val="single" w:sz="4" w:space="0" w:color="000000"/>
              <w:right w:val="single" w:sz="4" w:space="0" w:color="000000"/>
            </w:tcBorders>
            <w:shd w:val="clear" w:color="auto" w:fill="D2D2D2"/>
          </w:tcPr>
          <w:p>
            <w:pPr/>
          </w:p>
        </w:tc>
        <w:tc>
          <w:tcPr>
            <w:tcW w:w="70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40" w:right="19"/>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0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62" w:right="39"/>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34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76" w:hRule="exact"/>
        </w:trPr>
        <w:tc>
          <w:tcPr>
            <w:tcW w:w="2406" w:type="dxa"/>
            <w:gridSpan w:val="2"/>
            <w:vMerge/>
            <w:tcBorders>
              <w:left w:val="single" w:sz="4" w:space="0" w:color="000000"/>
              <w:bottom w:val="nil" w:sz="6" w:space="0" w:color="auto"/>
              <w:right w:val="single" w:sz="4" w:space="0" w:color="000000"/>
            </w:tcBorders>
            <w:shd w:val="clear" w:color="auto" w:fill="D2D2D2"/>
          </w:tcPr>
          <w:p>
            <w:pPr/>
          </w:p>
        </w:tc>
        <w:tc>
          <w:tcPr>
            <w:tcW w:w="998" w:type="dxa"/>
            <w:vMerge/>
            <w:tcBorders>
              <w:left w:val="single" w:sz="4" w:space="0" w:color="000000"/>
              <w:bottom w:val="nil" w:sz="6" w:space="0" w:color="auto"/>
              <w:right w:val="single" w:sz="4" w:space="0" w:color="000000"/>
            </w:tcBorders>
            <w:shd w:val="clear" w:color="auto" w:fill="D2D2D2"/>
          </w:tcPr>
          <w:p>
            <w:pPr/>
          </w:p>
        </w:tc>
        <w:tc>
          <w:tcPr>
            <w:tcW w:w="70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57" w:lineRule="auto" w:before="29"/>
              <w:ind w:left="170" w:right="167"/>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113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92" w:right="10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3" w:right="38"/>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72" w:type="dxa"/>
            <w:gridSpan w:val="2"/>
            <w:vMerge/>
            <w:tcBorders>
              <w:left w:val="single" w:sz="4" w:space="0" w:color="000000"/>
              <w:right w:val="single" w:sz="4" w:space="0" w:color="000000"/>
            </w:tcBorders>
            <w:shd w:val="clear" w:color="auto" w:fill="D2D2D2"/>
          </w:tcPr>
          <w:p>
            <w:pPr/>
          </w:p>
        </w:tc>
        <w:tc>
          <w:tcPr>
            <w:tcW w:w="1013" w:type="dxa"/>
            <w:vMerge/>
            <w:tcBorders>
              <w:left w:val="single" w:sz="4" w:space="0" w:color="000000"/>
              <w:right w:val="single" w:sz="4" w:space="0" w:color="000000"/>
            </w:tcBorders>
            <w:shd w:val="clear" w:color="auto" w:fill="D2D2D2"/>
          </w:tcPr>
          <w:p>
            <w:pPr/>
          </w:p>
        </w:tc>
        <w:tc>
          <w:tcPr>
            <w:tcW w:w="1349" w:type="dxa"/>
            <w:gridSpan w:val="3"/>
            <w:vMerge/>
            <w:tcBorders>
              <w:left w:val="single" w:sz="4" w:space="0" w:color="000000"/>
              <w:bottom w:val="single" w:sz="4" w:space="0" w:color="000000"/>
              <w:right w:val="single" w:sz="4" w:space="0" w:color="000000"/>
            </w:tcBorders>
            <w:shd w:val="clear" w:color="auto" w:fill="D2D2D2"/>
          </w:tcPr>
          <w:p>
            <w:pPr/>
          </w:p>
        </w:tc>
      </w:tr>
      <w:tr>
        <w:trPr>
          <w:trHeight w:val="181" w:hRule="exact"/>
        </w:trPr>
        <w:tc>
          <w:tcPr>
            <w:tcW w:w="240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9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08" w:type="dxa"/>
            <w:gridSpan w:val="2"/>
            <w:vMerge/>
            <w:tcBorders>
              <w:left w:val="single" w:sz="4" w:space="0" w:color="000000"/>
              <w:right w:val="single" w:sz="4" w:space="0" w:color="000000"/>
            </w:tcBorders>
            <w:shd w:val="clear" w:color="auto" w:fill="D2D2D2"/>
          </w:tcPr>
          <w:p>
            <w:pPr/>
          </w:p>
        </w:tc>
        <w:tc>
          <w:tcPr>
            <w:tcW w:w="1133"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972" w:type="dxa"/>
            <w:gridSpan w:val="2"/>
            <w:vMerge/>
            <w:tcBorders>
              <w:left w:val="single" w:sz="4" w:space="0" w:color="000000"/>
              <w:right w:val="single" w:sz="4" w:space="0" w:color="000000"/>
            </w:tcBorders>
            <w:shd w:val="clear" w:color="auto" w:fill="D2D2D2"/>
          </w:tcPr>
          <w:p>
            <w:pPr/>
          </w:p>
        </w:tc>
        <w:tc>
          <w:tcPr>
            <w:tcW w:w="1013" w:type="dxa"/>
            <w:vMerge/>
            <w:tcBorders>
              <w:left w:val="single" w:sz="4" w:space="0" w:color="000000"/>
              <w:right w:val="single" w:sz="4" w:space="0" w:color="000000"/>
            </w:tcBorders>
            <w:shd w:val="clear" w:color="auto" w:fill="D2D2D2"/>
          </w:tcPr>
          <w:p>
            <w:pPr/>
          </w:p>
        </w:tc>
        <w:tc>
          <w:tcPr>
            <w:tcW w:w="4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28" w:right="24"/>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92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406" w:type="dxa"/>
            <w:gridSpan w:val="2"/>
            <w:vMerge/>
            <w:tcBorders>
              <w:left w:val="single" w:sz="4" w:space="0" w:color="000000"/>
              <w:bottom w:val="nil" w:sz="6" w:space="0" w:color="auto"/>
              <w:right w:val="single" w:sz="4" w:space="0" w:color="000000"/>
            </w:tcBorders>
            <w:shd w:val="clear" w:color="auto" w:fill="D2D2D2"/>
          </w:tcPr>
          <w:p>
            <w:pPr/>
          </w:p>
        </w:tc>
        <w:tc>
          <w:tcPr>
            <w:tcW w:w="998" w:type="dxa"/>
            <w:vMerge/>
            <w:tcBorders>
              <w:left w:val="single" w:sz="4" w:space="0" w:color="000000"/>
              <w:bottom w:val="nil" w:sz="6" w:space="0" w:color="auto"/>
              <w:right w:val="single" w:sz="4" w:space="0" w:color="000000"/>
            </w:tcBorders>
            <w:shd w:val="clear" w:color="auto" w:fill="D2D2D2"/>
          </w:tcPr>
          <w:p>
            <w:pPr/>
          </w:p>
        </w:tc>
        <w:tc>
          <w:tcPr>
            <w:tcW w:w="708" w:type="dxa"/>
            <w:gridSpan w:val="2"/>
            <w:vMerge/>
            <w:tcBorders>
              <w:left w:val="single" w:sz="4" w:space="0" w:color="000000"/>
              <w:right w:val="single" w:sz="4" w:space="0" w:color="000000"/>
            </w:tcBorders>
            <w:shd w:val="clear" w:color="auto" w:fill="D2D2D2"/>
          </w:tcPr>
          <w:p>
            <w:pPr/>
          </w:p>
        </w:tc>
        <w:tc>
          <w:tcPr>
            <w:tcW w:w="1133"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972" w:type="dxa"/>
            <w:gridSpan w:val="2"/>
            <w:vMerge/>
            <w:tcBorders>
              <w:left w:val="single" w:sz="4" w:space="0" w:color="000000"/>
              <w:right w:val="single" w:sz="4" w:space="0" w:color="000000"/>
            </w:tcBorders>
            <w:shd w:val="clear" w:color="auto" w:fill="D2D2D2"/>
          </w:tcPr>
          <w:p>
            <w:pPr/>
          </w:p>
        </w:tc>
        <w:tc>
          <w:tcPr>
            <w:tcW w:w="1013" w:type="dxa"/>
            <w:vMerge/>
            <w:tcBorders>
              <w:left w:val="single" w:sz="4" w:space="0" w:color="000000"/>
              <w:right w:val="single" w:sz="4" w:space="0" w:color="000000"/>
            </w:tcBorders>
            <w:shd w:val="clear" w:color="auto" w:fill="D2D2D2"/>
          </w:tcPr>
          <w:p>
            <w:pPr/>
          </w:p>
        </w:tc>
        <w:tc>
          <w:tcPr>
            <w:tcW w:w="425" w:type="dxa"/>
            <w:gridSpan w:val="2"/>
            <w:vMerge/>
            <w:tcBorders>
              <w:left w:val="single" w:sz="4" w:space="0" w:color="000000"/>
              <w:right w:val="single" w:sz="4" w:space="0" w:color="000000"/>
            </w:tcBorders>
            <w:shd w:val="clear" w:color="auto" w:fill="D2D2D2"/>
          </w:tcPr>
          <w:p>
            <w:pPr/>
          </w:p>
        </w:tc>
        <w:tc>
          <w:tcPr>
            <w:tcW w:w="9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6"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78" w:hRule="exact"/>
        </w:trPr>
        <w:tc>
          <w:tcPr>
            <w:tcW w:w="2406" w:type="dxa"/>
            <w:gridSpan w:val="2"/>
            <w:vMerge w:val="restart"/>
            <w:tcBorders>
              <w:top w:val="nil" w:sz="6" w:space="0" w:color="auto"/>
              <w:left w:val="single" w:sz="4" w:space="0" w:color="000000"/>
              <w:right w:val="single" w:sz="4" w:space="0" w:color="000000"/>
            </w:tcBorders>
            <w:shd w:val="clear" w:color="auto" w:fill="D2D2D2"/>
          </w:tcPr>
          <w:p>
            <w:pPr/>
          </w:p>
        </w:tc>
        <w:tc>
          <w:tcPr>
            <w:tcW w:w="998" w:type="dxa"/>
            <w:vMerge w:val="restart"/>
            <w:tcBorders>
              <w:top w:val="nil" w:sz="6" w:space="0" w:color="auto"/>
              <w:left w:val="single" w:sz="4" w:space="0" w:color="000000"/>
              <w:right w:val="single" w:sz="4" w:space="0" w:color="000000"/>
            </w:tcBorders>
            <w:shd w:val="clear" w:color="auto" w:fill="D2D2D2"/>
          </w:tcPr>
          <w:p>
            <w:pPr/>
          </w:p>
        </w:tc>
        <w:tc>
          <w:tcPr>
            <w:tcW w:w="708" w:type="dxa"/>
            <w:gridSpan w:val="2"/>
            <w:vMerge/>
            <w:tcBorders>
              <w:left w:val="single" w:sz="4" w:space="0" w:color="000000"/>
              <w:bottom w:val="nil" w:sz="6" w:space="0" w:color="auto"/>
              <w:right w:val="single" w:sz="4" w:space="0" w:color="000000"/>
            </w:tcBorders>
            <w:shd w:val="clear" w:color="auto" w:fill="D2D2D2"/>
          </w:tcPr>
          <w:p>
            <w:pPr/>
          </w:p>
        </w:tc>
        <w:tc>
          <w:tcPr>
            <w:tcW w:w="1133" w:type="dxa"/>
            <w:gridSpan w:val="2"/>
            <w:vMerge/>
            <w:tcBorders>
              <w:left w:val="single" w:sz="4" w:space="0" w:color="000000"/>
              <w:bottom w:val="nil" w:sz="6" w:space="0" w:color="auto"/>
              <w:right w:val="single" w:sz="4" w:space="0" w:color="000000"/>
            </w:tcBorders>
            <w:shd w:val="clear" w:color="auto" w:fill="D2D2D2"/>
          </w:tcPr>
          <w:p>
            <w:pPr/>
          </w:p>
        </w:tc>
        <w:tc>
          <w:tcPr>
            <w:tcW w:w="994" w:type="dxa"/>
            <w:gridSpan w:val="2"/>
            <w:vMerge/>
            <w:tcBorders>
              <w:left w:val="single" w:sz="4" w:space="0" w:color="000000"/>
              <w:bottom w:val="nil" w:sz="6" w:space="0" w:color="auto"/>
              <w:right w:val="single" w:sz="4" w:space="0" w:color="000000"/>
            </w:tcBorders>
            <w:shd w:val="clear" w:color="auto" w:fill="D2D2D2"/>
          </w:tcPr>
          <w:p>
            <w:pPr/>
          </w:p>
        </w:tc>
        <w:tc>
          <w:tcPr>
            <w:tcW w:w="972" w:type="dxa"/>
            <w:gridSpan w:val="2"/>
            <w:vMerge/>
            <w:tcBorders>
              <w:left w:val="single" w:sz="4" w:space="0" w:color="000000"/>
              <w:right w:val="single" w:sz="4" w:space="0" w:color="000000"/>
            </w:tcBorders>
            <w:shd w:val="clear" w:color="auto" w:fill="D2D2D2"/>
          </w:tcPr>
          <w:p>
            <w:pPr/>
          </w:p>
        </w:tc>
        <w:tc>
          <w:tcPr>
            <w:tcW w:w="1013" w:type="dxa"/>
            <w:vMerge/>
            <w:tcBorders>
              <w:left w:val="single" w:sz="4" w:space="0" w:color="000000"/>
              <w:right w:val="single" w:sz="4" w:space="0" w:color="000000"/>
            </w:tcBorders>
            <w:shd w:val="clear" w:color="auto" w:fill="D2D2D2"/>
          </w:tcPr>
          <w:p>
            <w:pPr/>
          </w:p>
        </w:tc>
        <w:tc>
          <w:tcPr>
            <w:tcW w:w="425" w:type="dxa"/>
            <w:gridSpan w:val="2"/>
            <w:vMerge/>
            <w:tcBorders>
              <w:left w:val="single" w:sz="4" w:space="0" w:color="000000"/>
              <w:right w:val="single" w:sz="4" w:space="0" w:color="000000"/>
            </w:tcBorders>
            <w:shd w:val="clear" w:color="auto" w:fill="D2D2D2"/>
          </w:tcPr>
          <w:p>
            <w:pPr/>
          </w:p>
        </w:tc>
        <w:tc>
          <w:tcPr>
            <w:tcW w:w="924" w:type="dxa"/>
            <w:vMerge/>
            <w:tcBorders>
              <w:left w:val="single" w:sz="4" w:space="0" w:color="000000"/>
              <w:bottom w:val="nil" w:sz="6" w:space="0" w:color="auto"/>
              <w:right w:val="single" w:sz="4" w:space="0" w:color="000000"/>
            </w:tcBorders>
            <w:shd w:val="clear" w:color="auto" w:fill="D2D2D2"/>
          </w:tcPr>
          <w:p>
            <w:pPr/>
          </w:p>
        </w:tc>
      </w:tr>
      <w:tr>
        <w:trPr>
          <w:trHeight w:val="182" w:hRule="exact"/>
        </w:trPr>
        <w:tc>
          <w:tcPr>
            <w:tcW w:w="2406" w:type="dxa"/>
            <w:gridSpan w:val="2"/>
            <w:vMerge/>
            <w:tcBorders>
              <w:left w:val="single" w:sz="4" w:space="0" w:color="000000"/>
              <w:bottom w:val="single" w:sz="4" w:space="0" w:color="000000"/>
              <w:right w:val="single" w:sz="4" w:space="0" w:color="000000"/>
            </w:tcBorders>
            <w:shd w:val="clear" w:color="auto" w:fill="D2D2D2"/>
          </w:tcPr>
          <w:p>
            <w:pPr/>
          </w:p>
        </w:tc>
        <w:tc>
          <w:tcPr>
            <w:tcW w:w="998" w:type="dxa"/>
            <w:vMerge/>
            <w:tcBorders>
              <w:left w:val="single" w:sz="4" w:space="0" w:color="000000"/>
              <w:bottom w:val="single" w:sz="4" w:space="0" w:color="000000"/>
              <w:right w:val="single" w:sz="4" w:space="0" w:color="000000"/>
            </w:tcBorders>
            <w:shd w:val="clear" w:color="auto" w:fill="D2D2D2"/>
          </w:tcPr>
          <w:p>
            <w:pPr/>
          </w:p>
        </w:tc>
        <w:tc>
          <w:tcPr>
            <w:tcW w:w="70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72" w:type="dxa"/>
            <w:gridSpan w:val="2"/>
            <w:vMerge/>
            <w:tcBorders>
              <w:left w:val="single" w:sz="4" w:space="0" w:color="000000"/>
              <w:bottom w:val="single" w:sz="4" w:space="0" w:color="000000"/>
              <w:right w:val="single" w:sz="4" w:space="0" w:color="000000"/>
            </w:tcBorders>
            <w:shd w:val="clear" w:color="auto" w:fill="D2D2D2"/>
          </w:tcPr>
          <w:p>
            <w:pPr/>
          </w:p>
        </w:tc>
        <w:tc>
          <w:tcPr>
            <w:tcW w:w="1013" w:type="dxa"/>
            <w:vMerge/>
            <w:tcBorders>
              <w:left w:val="single" w:sz="4" w:space="0" w:color="000000"/>
              <w:bottom w:val="single" w:sz="4" w:space="0" w:color="000000"/>
              <w:right w:val="single" w:sz="4" w:space="0" w:color="000000"/>
            </w:tcBorders>
            <w:shd w:val="clear" w:color="auto" w:fill="D2D2D2"/>
          </w:tcPr>
          <w:p>
            <w:pPr/>
          </w:p>
        </w:tc>
        <w:tc>
          <w:tcPr>
            <w:tcW w:w="425" w:type="dxa"/>
            <w:gridSpan w:val="2"/>
            <w:vMerge/>
            <w:tcBorders>
              <w:left w:val="single" w:sz="4" w:space="0" w:color="000000"/>
              <w:bottom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4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1" w:right="0"/>
              <w:jc w:val="left"/>
              <w:rPr>
                <w:rFonts w:ascii="Times New Roman" w:hAnsi="Times New Roman" w:cs="Times New Roman" w:eastAsia="Times New Roman" w:hint="default"/>
                <w:sz w:val="18"/>
                <w:szCs w:val="18"/>
              </w:rPr>
            </w:pPr>
            <w:r>
              <w:rPr>
                <w:rFonts w:ascii="Times New Roman"/>
                <w:sz w:val="18"/>
              </w:rPr>
              <w:t>52.52</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1,275,770,169</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72" w:type="dxa"/>
            <w:gridSpan w:val="2"/>
            <w:tcBorders>
              <w:top w:val="single" w:sz="17" w:space="0" w:color="D2D2D2"/>
              <w:left w:val="single" w:sz="4" w:space="0" w:color="000000"/>
              <w:bottom w:val="single" w:sz="4" w:space="0" w:color="000000"/>
              <w:right w:val="single" w:sz="4" w:space="0" w:color="000000"/>
            </w:tcBorders>
          </w:tcPr>
          <w:p>
            <w:pPr>
              <w:pStyle w:val="TableParagraph"/>
              <w:spacing w:line="240" w:lineRule="auto" w:before="74"/>
              <w:ind w:left="57" w:right="0"/>
              <w:jc w:val="left"/>
              <w:rPr>
                <w:rFonts w:ascii="Times New Roman" w:hAnsi="Times New Roman" w:cs="Times New Roman" w:eastAsia="Times New Roman" w:hint="default"/>
                <w:sz w:val="18"/>
                <w:szCs w:val="18"/>
              </w:rPr>
            </w:pPr>
            <w:r>
              <w:rPr>
                <w:rFonts w:ascii="Times New Roman"/>
                <w:sz w:val="18"/>
              </w:rPr>
              <w:t>313,402,500</w:t>
            </w:r>
          </w:p>
        </w:tc>
        <w:tc>
          <w:tcPr>
            <w:tcW w:w="1013" w:type="dxa"/>
            <w:tcBorders>
              <w:top w:val="single" w:sz="17" w:space="0" w:color="D2D2D2"/>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962,367,669</w:t>
            </w:r>
          </w:p>
        </w:tc>
        <w:tc>
          <w:tcPr>
            <w:tcW w:w="425" w:type="dxa"/>
            <w:gridSpan w:val="2"/>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0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广州广电运通金融电子股份有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限公司－第一期员工持股计划</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7" w:right="10"/>
              <w:jc w:val="left"/>
              <w:rPr>
                <w:rFonts w:ascii="宋体" w:hAnsi="宋体" w:cs="宋体" w:eastAsia="宋体" w:hint="default"/>
                <w:sz w:val="18"/>
                <w:szCs w:val="18"/>
              </w:rPr>
            </w:pPr>
            <w:r>
              <w:rPr>
                <w:rFonts w:ascii="宋体" w:hAnsi="宋体" w:cs="宋体" w:eastAsia="宋体" w:hint="default"/>
                <w:spacing w:val="9"/>
                <w:sz w:val="18"/>
                <w:szCs w:val="18"/>
              </w:rPr>
              <w:t>境内非国有 </w:t>
            </w:r>
            <w:r>
              <w:rPr>
                <w:rFonts w:ascii="宋体" w:hAnsi="宋体" w:cs="宋体" w:eastAsia="宋体" w:hint="default"/>
                <w:sz w:val="18"/>
                <w:szCs w:val="18"/>
              </w:rPr>
              <w:t>法人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4.03</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97,942,500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97,942,500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425" w:type="dxa"/>
            <w:gridSpan w:val="2"/>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梅州敬基实业有限公司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7" w:right="10"/>
              <w:jc w:val="left"/>
              <w:rPr>
                <w:rFonts w:ascii="宋体" w:hAnsi="宋体" w:cs="宋体" w:eastAsia="宋体" w:hint="default"/>
                <w:sz w:val="18"/>
                <w:szCs w:val="18"/>
              </w:rPr>
            </w:pPr>
            <w:r>
              <w:rPr>
                <w:rFonts w:ascii="宋体" w:hAnsi="宋体" w:cs="宋体" w:eastAsia="宋体" w:hint="default"/>
                <w:spacing w:val="9"/>
                <w:sz w:val="18"/>
                <w:szCs w:val="18"/>
              </w:rPr>
              <w:t>境内非国有 </w:t>
            </w:r>
            <w:r>
              <w:rPr>
                <w:rFonts w:ascii="宋体" w:hAnsi="宋体" w:cs="宋体" w:eastAsia="宋体" w:hint="default"/>
                <w:sz w:val="18"/>
                <w:szCs w:val="18"/>
              </w:rPr>
              <w:t>法人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2.07</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50,320,134</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50,320,134</w:t>
            </w:r>
          </w:p>
        </w:tc>
        <w:tc>
          <w:tcPr>
            <w:tcW w:w="425" w:type="dxa"/>
            <w:gridSpan w:val="2"/>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0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兴业证券－兴业－兴业证券金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麒麟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号集合资产管理计划</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7" w:right="10"/>
              <w:jc w:val="left"/>
              <w:rPr>
                <w:rFonts w:ascii="宋体" w:hAnsi="宋体" w:cs="宋体" w:eastAsia="宋体" w:hint="default"/>
                <w:sz w:val="18"/>
                <w:szCs w:val="18"/>
              </w:rPr>
            </w:pPr>
            <w:r>
              <w:rPr>
                <w:rFonts w:ascii="宋体" w:hAnsi="宋体" w:cs="宋体" w:eastAsia="宋体" w:hint="default"/>
                <w:spacing w:val="9"/>
                <w:sz w:val="18"/>
                <w:szCs w:val="18"/>
              </w:rPr>
              <w:t>境内非国有 </w:t>
            </w:r>
            <w:r>
              <w:rPr>
                <w:rFonts w:ascii="宋体" w:hAnsi="宋体" w:cs="宋体" w:eastAsia="宋体" w:hint="default"/>
                <w:sz w:val="18"/>
                <w:szCs w:val="18"/>
              </w:rPr>
              <w:t>法人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1.12</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27,146,228</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-1,688,230</w:t>
            </w:r>
          </w:p>
        </w:tc>
        <w:tc>
          <w:tcPr>
            <w:tcW w:w="9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27,146,228</w:t>
            </w:r>
          </w:p>
        </w:tc>
        <w:tc>
          <w:tcPr>
            <w:tcW w:w="425" w:type="dxa"/>
            <w:gridSpan w:val="2"/>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曾文</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2" w:right="0"/>
              <w:jc w:val="left"/>
              <w:rPr>
                <w:rFonts w:ascii="Times New Roman" w:hAnsi="Times New Roman" w:cs="Times New Roman" w:eastAsia="Times New Roman" w:hint="default"/>
                <w:sz w:val="18"/>
                <w:szCs w:val="18"/>
              </w:rPr>
            </w:pPr>
            <w:r>
              <w:rPr>
                <w:rFonts w:ascii="Times New Roman"/>
                <w:sz w:val="18"/>
              </w:rPr>
              <w:t>0.73</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17,730,851</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17,730,851</w:t>
            </w:r>
          </w:p>
        </w:tc>
        <w:tc>
          <w:tcPr>
            <w:tcW w:w="425" w:type="dxa"/>
            <w:gridSpan w:val="2"/>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叶子瑜</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2" w:right="0"/>
              <w:jc w:val="left"/>
              <w:rPr>
                <w:rFonts w:ascii="Times New Roman" w:hAnsi="Times New Roman" w:cs="Times New Roman" w:eastAsia="Times New Roman" w:hint="default"/>
                <w:sz w:val="18"/>
                <w:szCs w:val="18"/>
              </w:rPr>
            </w:pPr>
            <w:r>
              <w:rPr>
                <w:rFonts w:ascii="Times New Roman"/>
                <w:sz w:val="18"/>
              </w:rPr>
              <w:t>0.65</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15,725,940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11,794,455</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3,931,485</w:t>
            </w:r>
          </w:p>
        </w:tc>
        <w:tc>
          <w:tcPr>
            <w:tcW w:w="425" w:type="dxa"/>
            <w:gridSpan w:val="2"/>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赵友永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2" w:right="0"/>
              <w:jc w:val="left"/>
              <w:rPr>
                <w:rFonts w:ascii="Times New Roman" w:hAnsi="Times New Roman" w:cs="Times New Roman" w:eastAsia="Times New Roman" w:hint="default"/>
                <w:sz w:val="18"/>
                <w:szCs w:val="18"/>
              </w:rPr>
            </w:pPr>
            <w:r>
              <w:rPr>
                <w:rFonts w:ascii="Times New Roman"/>
                <w:sz w:val="18"/>
              </w:rPr>
              <w:t>0.62</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14,954,713</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-13,989,775</w:t>
            </w:r>
          </w:p>
        </w:tc>
        <w:tc>
          <w:tcPr>
            <w:tcW w:w="9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14,954,713</w:t>
            </w:r>
          </w:p>
        </w:tc>
        <w:tc>
          <w:tcPr>
            <w:tcW w:w="425" w:type="dxa"/>
            <w:gridSpan w:val="2"/>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40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新华人寿保险股份有限公司－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传 统 － 普 通 保 险 产</w:t>
            </w:r>
            <w:r>
              <w:rPr>
                <w:rFonts w:ascii="宋体" w:hAnsi="宋体" w:cs="宋体" w:eastAsia="宋体" w:hint="default"/>
                <w:spacing w:val="9"/>
                <w:sz w:val="18"/>
                <w:szCs w:val="18"/>
              </w:rPr>
              <w:t> </w:t>
            </w:r>
            <w:r>
              <w:rPr>
                <w:rFonts w:ascii="宋体" w:hAnsi="宋体" w:cs="宋体" w:eastAsia="宋体" w:hint="default"/>
                <w:sz w:val="18"/>
                <w:szCs w:val="18"/>
              </w:rPr>
              <w:t>品</w:t>
            </w:r>
          </w:p>
          <w:p>
            <w:pPr>
              <w:pStyle w:val="TableParagraph"/>
              <w:spacing w:line="240" w:lineRule="auto" w:before="1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-018L-CT001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深</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7" w:right="10"/>
              <w:jc w:val="left"/>
              <w:rPr>
                <w:rFonts w:ascii="宋体" w:hAnsi="宋体" w:cs="宋体" w:eastAsia="宋体" w:hint="default"/>
                <w:sz w:val="18"/>
                <w:szCs w:val="18"/>
              </w:rPr>
            </w:pPr>
            <w:r>
              <w:rPr>
                <w:rFonts w:ascii="宋体" w:hAnsi="宋体" w:cs="宋体" w:eastAsia="宋体" w:hint="default"/>
                <w:spacing w:val="9"/>
                <w:sz w:val="18"/>
                <w:szCs w:val="18"/>
              </w:rPr>
              <w:t>境内非国有 </w:t>
            </w:r>
            <w:r>
              <w:rPr>
                <w:rFonts w:ascii="宋体" w:hAnsi="宋体" w:cs="宋体" w:eastAsia="宋体" w:hint="default"/>
                <w:sz w:val="18"/>
                <w:szCs w:val="18"/>
              </w:rPr>
              <w:t>法人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0.59</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14,395,197</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14,395,197</w:t>
            </w:r>
          </w:p>
        </w:tc>
        <w:tc>
          <w:tcPr>
            <w:tcW w:w="9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14,395,197</w:t>
            </w:r>
          </w:p>
        </w:tc>
        <w:tc>
          <w:tcPr>
            <w:tcW w:w="425" w:type="dxa"/>
            <w:gridSpan w:val="2"/>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0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中央汇金资产管理有限责任公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0.58</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14,105,700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14,105,700</w:t>
            </w:r>
          </w:p>
        </w:tc>
        <w:tc>
          <w:tcPr>
            <w:tcW w:w="425" w:type="dxa"/>
            <w:gridSpan w:val="2"/>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406"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3"/>
              <w:jc w:val="both"/>
              <w:rPr>
                <w:rFonts w:ascii="宋体" w:hAnsi="宋体" w:cs="宋体" w:eastAsia="宋体" w:hint="default"/>
                <w:sz w:val="18"/>
                <w:szCs w:val="18"/>
              </w:rPr>
            </w:pPr>
            <w:r>
              <w:rPr>
                <w:rFonts w:ascii="宋体" w:hAnsi="宋体" w:cs="宋体" w:eastAsia="宋体" w:hint="default"/>
                <w:sz w:val="18"/>
                <w:szCs w:val="18"/>
              </w:rPr>
              <w:t>中国农业银行股份有限公司－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中证</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交易型开放式指数证 券投资基金</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7" w:right="10"/>
              <w:jc w:val="left"/>
              <w:rPr>
                <w:rFonts w:ascii="宋体" w:hAnsi="宋体" w:cs="宋体" w:eastAsia="宋体" w:hint="default"/>
                <w:sz w:val="18"/>
                <w:szCs w:val="18"/>
              </w:rPr>
            </w:pPr>
            <w:r>
              <w:rPr>
                <w:rFonts w:ascii="宋体" w:hAnsi="宋体" w:cs="宋体" w:eastAsia="宋体" w:hint="default"/>
                <w:spacing w:val="9"/>
                <w:sz w:val="18"/>
                <w:szCs w:val="18"/>
              </w:rPr>
              <w:t>境内非国有 </w:t>
            </w:r>
            <w:r>
              <w:rPr>
                <w:rFonts w:ascii="宋体" w:hAnsi="宋体" w:cs="宋体" w:eastAsia="宋体" w:hint="default"/>
                <w:sz w:val="18"/>
                <w:szCs w:val="18"/>
              </w:rPr>
              <w:t>法人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0.53</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12,944,743</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7,800,917</w:t>
            </w:r>
          </w:p>
        </w:tc>
        <w:tc>
          <w:tcPr>
            <w:tcW w:w="9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12,944,743</w:t>
            </w:r>
          </w:p>
        </w:tc>
        <w:tc>
          <w:tcPr>
            <w:tcW w:w="425" w:type="dxa"/>
            <w:gridSpan w:val="2"/>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40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战略投资者或一般法人因配售新股成为前</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名股东的情况</w:t>
            </w:r>
          </w:p>
        </w:tc>
        <w:tc>
          <w:tcPr>
            <w:tcW w:w="6169" w:type="dxa"/>
            <w:gridSpan w:val="1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29" w:hRule="exact"/>
        </w:trPr>
        <w:tc>
          <w:tcPr>
            <w:tcW w:w="3404"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169" w:type="dxa"/>
            <w:gridSpan w:val="12"/>
            <w:vMerge w:val="restart"/>
            <w:tcBorders>
              <w:top w:val="single" w:sz="4" w:space="0" w:color="000000"/>
              <w:left w:val="single" w:sz="10" w:space="0" w:color="D2D2D2"/>
              <w:right w:val="single" w:sz="4" w:space="0" w:color="000000"/>
            </w:tcBorders>
          </w:tcPr>
          <w:p>
            <w:pPr>
              <w:pStyle w:val="TableParagraph"/>
              <w:spacing w:line="300" w:lineRule="auto" w:before="49"/>
              <w:ind w:left="16" w:right="19"/>
              <w:jc w:val="left"/>
              <w:rPr>
                <w:rFonts w:ascii="宋体" w:hAnsi="宋体" w:cs="宋体" w:eastAsia="宋体" w:hint="default"/>
                <w:sz w:val="18"/>
                <w:szCs w:val="18"/>
              </w:rPr>
            </w:pPr>
            <w:r>
              <w:rPr>
                <w:rFonts w:ascii="宋体" w:hAnsi="宋体" w:cs="宋体" w:eastAsia="宋体" w:hint="default"/>
                <w:sz w:val="18"/>
                <w:szCs w:val="18"/>
              </w:rPr>
              <w:t>公司前</w:t>
            </w:r>
            <w:r>
              <w:rPr>
                <w:rFonts w:ascii="Times New Roman" w:hAnsi="Times New Roman" w:cs="Times New Roman" w:eastAsia="Times New Roman" w:hint="default"/>
                <w:sz w:val="18"/>
                <w:szCs w:val="18"/>
              </w:rPr>
              <w:t>10</w:t>
            </w:r>
            <w:r>
              <w:rPr>
                <w:rFonts w:ascii="宋体" w:hAnsi="宋体" w:cs="宋体" w:eastAsia="宋体" w:hint="default"/>
                <w:sz w:val="18"/>
                <w:szCs w:val="18"/>
              </w:rPr>
              <w:t>名股东中：第</w:t>
            </w:r>
            <w:r>
              <w:rPr>
                <w:rFonts w:ascii="Times New Roman" w:hAnsi="Times New Roman" w:cs="Times New Roman" w:eastAsia="Times New Roman" w:hint="default"/>
                <w:sz w:val="18"/>
                <w:szCs w:val="18"/>
              </w:rPr>
              <w:t>1</w:t>
            </w:r>
            <w:r>
              <w:rPr>
                <w:rFonts w:ascii="宋体" w:hAnsi="宋体" w:cs="宋体" w:eastAsia="宋体" w:hint="default"/>
                <w:sz w:val="18"/>
                <w:szCs w:val="18"/>
              </w:rPr>
              <w:t>名股东无线电集团为公司控股股东，其与第</w:t>
            </w:r>
            <w:r>
              <w:rPr>
                <w:rFonts w:ascii="Times New Roman" w:hAnsi="Times New Roman" w:cs="Times New Roman" w:eastAsia="Times New Roman" w:hint="default"/>
                <w:sz w:val="18"/>
                <w:szCs w:val="18"/>
              </w:rPr>
              <w:t>3</w:t>
            </w:r>
            <w:r>
              <w:rPr>
                <w:rFonts w:ascii="宋体" w:hAnsi="宋体" w:cs="宋体" w:eastAsia="宋体" w:hint="default"/>
                <w:sz w:val="18"/>
                <w:szCs w:val="18"/>
              </w:rPr>
              <w:t>名股东梅 州敬基实业有限公司同为公司发起人股东，但不存在关联关系；第</w:t>
            </w:r>
            <w:r>
              <w:rPr>
                <w:rFonts w:ascii="Times New Roman" w:hAnsi="Times New Roman" w:cs="Times New Roman" w:eastAsia="Times New Roman" w:hint="default"/>
                <w:sz w:val="18"/>
                <w:szCs w:val="18"/>
              </w:rPr>
              <w:t>2</w:t>
            </w:r>
            <w:r>
              <w:rPr>
                <w:rFonts w:ascii="宋体" w:hAnsi="宋体" w:cs="宋体" w:eastAsia="宋体" w:hint="default"/>
                <w:sz w:val="18"/>
                <w:szCs w:val="18"/>
              </w:rPr>
              <w:t>名股东为 公司第一期员工持股计划，第</w:t>
            </w:r>
            <w:r>
              <w:rPr>
                <w:rFonts w:ascii="Times New Roman" w:hAnsi="Times New Roman" w:cs="Times New Roman" w:eastAsia="Times New Roman" w:hint="default"/>
                <w:sz w:val="18"/>
                <w:szCs w:val="18"/>
              </w:rPr>
              <w:t>5</w:t>
            </w:r>
            <w:r>
              <w:rPr>
                <w:rFonts w:ascii="宋体" w:hAnsi="宋体" w:cs="宋体" w:eastAsia="宋体" w:hint="default"/>
                <w:sz w:val="18"/>
                <w:szCs w:val="18"/>
              </w:rPr>
              <w:t>名股东曾文原为公司董事（曾文已于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月辞去公司董事职务），第</w:t>
            </w:r>
            <w:r>
              <w:rPr>
                <w:rFonts w:ascii="Times New Roman" w:hAnsi="Times New Roman" w:cs="Times New Roman" w:eastAsia="Times New Roman" w:hint="default"/>
                <w:sz w:val="18"/>
                <w:szCs w:val="18"/>
              </w:rPr>
              <w:t>6</w:t>
            </w:r>
            <w:r>
              <w:rPr>
                <w:rFonts w:ascii="宋体" w:hAnsi="宋体" w:cs="宋体" w:eastAsia="宋体" w:hint="default"/>
                <w:sz w:val="18"/>
                <w:szCs w:val="18"/>
              </w:rPr>
              <w:t>名股东叶子瑜为公司董事、总经理，未知其他股 东之间是否存在关联关系，也未知是否属于一致行动人。</w:t>
            </w:r>
          </w:p>
        </w:tc>
      </w:tr>
      <w:tr>
        <w:trPr>
          <w:trHeight w:val="391" w:hRule="exact"/>
        </w:trPr>
        <w:tc>
          <w:tcPr>
            <w:tcW w:w="3404"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169" w:type="dxa"/>
            <w:gridSpan w:val="12"/>
            <w:vMerge/>
            <w:tcBorders>
              <w:left w:val="single" w:sz="10" w:space="0" w:color="D2D2D2"/>
              <w:right w:val="single" w:sz="4" w:space="0" w:color="000000"/>
            </w:tcBorders>
          </w:tcPr>
          <w:p>
            <w:pPr/>
          </w:p>
        </w:tc>
      </w:tr>
      <w:tr>
        <w:trPr>
          <w:trHeight w:val="629" w:hRule="exact"/>
        </w:trPr>
        <w:tc>
          <w:tcPr>
            <w:tcW w:w="3404"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169" w:type="dxa"/>
            <w:gridSpan w:val="12"/>
            <w:vMerge/>
            <w:tcBorders>
              <w:left w:val="single" w:sz="10" w:space="0" w:color="D2D2D2"/>
              <w:bottom w:val="single" w:sz="4" w:space="0" w:color="000000"/>
              <w:right w:val="single" w:sz="4" w:space="0" w:color="000000"/>
            </w:tcBorders>
          </w:tcPr>
          <w:p>
            <w:pPr/>
          </w:p>
        </w:tc>
      </w:tr>
      <w:tr>
        <w:trPr>
          <w:trHeight w:val="403" w:hRule="exact"/>
        </w:trPr>
        <w:tc>
          <w:tcPr>
            <w:tcW w:w="957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5245" w:type="dxa"/>
            <w:gridSpan w:val="7"/>
            <w:tcBorders>
              <w:top w:val="single" w:sz="4" w:space="0" w:color="000000"/>
              <w:left w:val="single" w:sz="4" w:space="0" w:color="000000"/>
              <w:bottom w:val="nil" w:sz="6" w:space="0" w:color="auto"/>
              <w:right w:val="single" w:sz="4" w:space="0" w:color="000000"/>
            </w:tcBorders>
            <w:shd w:val="clear" w:color="auto" w:fill="D2D2D2"/>
          </w:tcPr>
          <w:p>
            <w:pPr/>
          </w:p>
        </w:tc>
        <w:tc>
          <w:tcPr>
            <w:tcW w:w="162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60" w:lineRule="auto" w:before="73"/>
              <w:ind w:left="179" w:right="84" w:hanging="89"/>
              <w:jc w:val="left"/>
              <w:rPr>
                <w:rFonts w:ascii="宋体" w:hAnsi="宋体" w:cs="宋体" w:eastAsia="宋体" w:hint="default"/>
                <w:sz w:val="18"/>
                <w:szCs w:val="18"/>
              </w:rPr>
            </w:pPr>
            <w:r>
              <w:rPr>
                <w:rFonts w:ascii="宋体" w:hAnsi="宋体" w:cs="宋体" w:eastAsia="宋体" w:hint="default"/>
                <w:sz w:val="18"/>
                <w:szCs w:val="18"/>
              </w:rPr>
              <w:t>报告期末持有无限 售条件股份数量</w:t>
            </w:r>
          </w:p>
        </w:tc>
        <w:tc>
          <w:tcPr>
            <w:tcW w:w="2701"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5245" w:type="dxa"/>
            <w:gridSpan w:val="7"/>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627" w:type="dxa"/>
            <w:gridSpan w:val="3"/>
            <w:vMerge/>
            <w:tcBorders>
              <w:left w:val="single" w:sz="4" w:space="0" w:color="000000"/>
              <w:right w:val="single" w:sz="4" w:space="0" w:color="000000"/>
            </w:tcBorders>
            <w:shd w:val="clear" w:color="auto" w:fill="D2D2D2"/>
          </w:tcPr>
          <w:p>
            <w:pPr/>
          </w:p>
        </w:tc>
        <w:tc>
          <w:tcPr>
            <w:tcW w:w="2701" w:type="dxa"/>
            <w:gridSpan w:val="5"/>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5245" w:type="dxa"/>
            <w:gridSpan w:val="7"/>
            <w:vMerge/>
            <w:tcBorders>
              <w:left w:val="single" w:sz="4" w:space="0" w:color="000000"/>
              <w:bottom w:val="nil" w:sz="6" w:space="0" w:color="auto"/>
              <w:right w:val="single" w:sz="4" w:space="0" w:color="000000"/>
            </w:tcBorders>
            <w:shd w:val="clear" w:color="auto" w:fill="D2D2D2"/>
          </w:tcPr>
          <w:p>
            <w:pPr/>
          </w:p>
        </w:tc>
        <w:tc>
          <w:tcPr>
            <w:tcW w:w="1627" w:type="dxa"/>
            <w:gridSpan w:val="3"/>
            <w:vMerge/>
            <w:tcBorders>
              <w:left w:val="single" w:sz="4" w:space="0" w:color="000000"/>
              <w:right w:val="single" w:sz="4" w:space="0" w:color="000000"/>
            </w:tcBorders>
            <w:shd w:val="clear" w:color="auto" w:fill="D2D2D2"/>
          </w:tcPr>
          <w:p>
            <w:pPr/>
          </w:p>
        </w:tc>
        <w:tc>
          <w:tcPr>
            <w:tcW w:w="13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2"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5245" w:type="dxa"/>
            <w:gridSpan w:val="7"/>
            <w:tcBorders>
              <w:top w:val="nil" w:sz="6" w:space="0" w:color="auto"/>
              <w:left w:val="single" w:sz="4" w:space="0" w:color="000000"/>
              <w:bottom w:val="single" w:sz="4" w:space="0" w:color="000000"/>
              <w:right w:val="single" w:sz="4" w:space="0" w:color="000000"/>
            </w:tcBorders>
            <w:shd w:val="clear" w:color="auto" w:fill="D2D2D2"/>
          </w:tcPr>
          <w:p>
            <w:pPr/>
          </w:p>
        </w:tc>
        <w:tc>
          <w:tcPr>
            <w:tcW w:w="1627" w:type="dxa"/>
            <w:gridSpan w:val="3"/>
            <w:vMerge/>
            <w:tcBorders>
              <w:left w:val="single" w:sz="4" w:space="0" w:color="000000"/>
              <w:bottom w:val="single" w:sz="4" w:space="0" w:color="000000"/>
              <w:right w:val="single" w:sz="4" w:space="0" w:color="000000"/>
            </w:tcBorders>
            <w:shd w:val="clear" w:color="auto" w:fill="D2D2D2"/>
          </w:tcPr>
          <w:p>
            <w:pPr/>
          </w:p>
        </w:tc>
        <w:tc>
          <w:tcPr>
            <w:tcW w:w="1352"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3"/>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524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1627" w:type="dxa"/>
            <w:gridSpan w:val="3"/>
            <w:tcBorders>
              <w:top w:val="single" w:sz="14" w:space="0" w:color="D2D2D2"/>
              <w:left w:val="single" w:sz="4" w:space="0" w:color="000000"/>
              <w:bottom w:val="single" w:sz="4" w:space="0" w:color="000000"/>
              <w:right w:val="single" w:sz="4" w:space="0" w:color="000000"/>
            </w:tcBorders>
          </w:tcPr>
          <w:p>
            <w:pPr>
              <w:pStyle w:val="TableParagraph"/>
              <w:spacing w:line="240" w:lineRule="auto" w:before="78"/>
              <w:ind w:left="693" w:right="0"/>
              <w:jc w:val="left"/>
              <w:rPr>
                <w:rFonts w:ascii="Times New Roman" w:hAnsi="Times New Roman" w:cs="Times New Roman" w:eastAsia="Times New Roman" w:hint="default"/>
                <w:sz w:val="18"/>
                <w:szCs w:val="18"/>
              </w:rPr>
            </w:pPr>
            <w:r>
              <w:rPr>
                <w:rFonts w:ascii="Times New Roman"/>
                <w:sz w:val="18"/>
              </w:rPr>
              <w:t>962,367,669</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2" w:right="0"/>
              <w:jc w:val="left"/>
              <w:rPr>
                <w:rFonts w:ascii="Times New Roman" w:hAnsi="Times New Roman" w:cs="Times New Roman" w:eastAsia="Times New Roman" w:hint="default"/>
                <w:sz w:val="18"/>
                <w:szCs w:val="18"/>
              </w:rPr>
            </w:pPr>
            <w:r>
              <w:rPr>
                <w:rFonts w:ascii="Times New Roman"/>
                <w:sz w:val="18"/>
              </w:rPr>
              <w:t>962,367,669</w:t>
            </w:r>
          </w:p>
        </w:tc>
      </w:tr>
      <w:tr>
        <w:trPr>
          <w:trHeight w:val="403" w:hRule="exact"/>
        </w:trPr>
        <w:tc>
          <w:tcPr>
            <w:tcW w:w="524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梅州敬基实业有限公司</w:t>
            </w:r>
          </w:p>
        </w:tc>
        <w:tc>
          <w:tcPr>
            <w:tcW w:w="16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4" w:right="0"/>
              <w:jc w:val="left"/>
              <w:rPr>
                <w:rFonts w:ascii="Times New Roman" w:hAnsi="Times New Roman" w:cs="Times New Roman" w:eastAsia="Times New Roman" w:hint="default"/>
                <w:sz w:val="18"/>
                <w:szCs w:val="18"/>
              </w:rPr>
            </w:pPr>
            <w:r>
              <w:rPr>
                <w:rFonts w:ascii="Times New Roman"/>
                <w:sz w:val="18"/>
              </w:rPr>
              <w:t>50,320,134</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50,320,134</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5245"/>
        <w:gridCol w:w="1627"/>
        <w:gridCol w:w="1352"/>
        <w:gridCol w:w="1349"/>
      </w:tblGrid>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兴业证券－兴业－兴业证券金麒麟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号集合资产管理计划</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27,146,228</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27,146,228</w:t>
            </w: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曾文</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17,730,851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17,730,851</w:t>
            </w: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赵友永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14,954,713</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14,954,713</w:t>
            </w: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新华人寿保险股份有限公司－传统－普通保险产品</w:t>
            </w:r>
            <w:r>
              <w:rPr>
                <w:rFonts w:ascii="Times New Roman" w:hAnsi="Times New Roman" w:cs="Times New Roman" w:eastAsia="Times New Roman" w:hint="default"/>
                <w:sz w:val="18"/>
                <w:szCs w:val="18"/>
              </w:rPr>
              <w:t>-018L-CT001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深</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14,395,197</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14,395,197</w:t>
            </w: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14,105,700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14,105,700</w:t>
            </w:r>
          </w:p>
        </w:tc>
      </w:tr>
      <w:tr>
        <w:trPr>
          <w:trHeight w:val="715"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中国农业银行股份有限公司－中证</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交易型开放式指数证券投资 基金</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12,944,743</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12,944,743</w:t>
            </w: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中泰证券股份有限公司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11,955,162</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11,955,162</w:t>
            </w:r>
          </w:p>
        </w:tc>
      </w:tr>
      <w:tr>
        <w:trPr>
          <w:trHeight w:val="404"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安耐德合伙人有限公司－客户资金</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11,804,355</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11,804,355</w:t>
            </w:r>
          </w:p>
        </w:tc>
      </w:tr>
      <w:tr>
        <w:trPr>
          <w:trHeight w:val="1961"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名无限售流通股股东之间，以及前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名股东之间关联关系或一致行动的说明</w:t>
            </w:r>
          </w:p>
        </w:tc>
        <w:tc>
          <w:tcPr>
            <w:tcW w:w="43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both"/>
              <w:rPr>
                <w:rFonts w:ascii="宋体" w:hAnsi="宋体" w:cs="宋体" w:eastAsia="宋体" w:hint="default"/>
                <w:sz w:val="18"/>
                <w:szCs w:val="18"/>
              </w:rPr>
            </w:pPr>
            <w:r>
              <w:rPr>
                <w:rFonts w:ascii="宋体" w:hAnsi="宋体" w:cs="宋体" w:eastAsia="宋体" w:hint="default"/>
                <w:spacing w:val="-4"/>
                <w:sz w:val="18"/>
                <w:szCs w:val="18"/>
              </w:rPr>
              <w:t>前十名无限售流通股股东中：第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名股东无线电集团为</w:t>
            </w:r>
          </w:p>
          <w:p>
            <w:pPr>
              <w:pStyle w:val="TableParagraph"/>
              <w:spacing w:line="240" w:lineRule="auto" w:before="63"/>
              <w:ind w:left="26" w:right="0"/>
              <w:jc w:val="both"/>
              <w:rPr>
                <w:rFonts w:ascii="宋体" w:hAnsi="宋体" w:cs="宋体" w:eastAsia="宋体" w:hint="default"/>
                <w:sz w:val="18"/>
                <w:szCs w:val="18"/>
              </w:rPr>
            </w:pPr>
            <w:r>
              <w:rPr>
                <w:rFonts w:ascii="宋体" w:hAnsi="宋体" w:cs="宋体" w:eastAsia="宋体" w:hint="default"/>
                <w:spacing w:val="-6"/>
                <w:sz w:val="18"/>
                <w:szCs w:val="18"/>
              </w:rPr>
              <w:t>公司控股股东，其与第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名股东梅州敬基实业有限公司</w:t>
            </w:r>
          </w:p>
          <w:p>
            <w:pPr>
              <w:pStyle w:val="TableParagraph"/>
              <w:spacing w:line="240" w:lineRule="auto" w:before="63"/>
              <w:ind w:left="26" w:right="0"/>
              <w:jc w:val="both"/>
              <w:rPr>
                <w:rFonts w:ascii="宋体" w:hAnsi="宋体" w:cs="宋体" w:eastAsia="宋体" w:hint="default"/>
                <w:sz w:val="18"/>
                <w:szCs w:val="18"/>
              </w:rPr>
            </w:pPr>
            <w:r>
              <w:rPr>
                <w:rFonts w:ascii="宋体" w:hAnsi="宋体" w:cs="宋体" w:eastAsia="宋体" w:hint="default"/>
                <w:spacing w:val="-3"/>
                <w:sz w:val="18"/>
                <w:szCs w:val="18"/>
              </w:rPr>
              <w:t>同为公司发起人股东，但不存在关联关系，第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名股东</w:t>
            </w:r>
          </w:p>
          <w:p>
            <w:pPr>
              <w:pStyle w:val="TableParagraph"/>
              <w:spacing w:line="309" w:lineRule="auto" w:before="63"/>
              <w:ind w:left="26" w:right="17"/>
              <w:jc w:val="both"/>
              <w:rPr>
                <w:rFonts w:ascii="宋体" w:hAnsi="宋体" w:cs="宋体" w:eastAsia="宋体" w:hint="default"/>
                <w:sz w:val="18"/>
                <w:szCs w:val="18"/>
              </w:rPr>
            </w:pPr>
            <w:r>
              <w:rPr>
                <w:rFonts w:ascii="宋体" w:hAnsi="宋体" w:cs="宋体" w:eastAsia="宋体" w:hint="default"/>
                <w:spacing w:val="-4"/>
                <w:sz w:val="18"/>
                <w:szCs w:val="18"/>
              </w:rPr>
              <w:t>曾文原为公司董事（曾文已于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月辞去公司董 </w:t>
            </w:r>
            <w:r>
              <w:rPr>
                <w:rFonts w:ascii="宋体" w:hAnsi="宋体" w:cs="宋体" w:eastAsia="宋体" w:hint="default"/>
                <w:spacing w:val="-3"/>
                <w:sz w:val="18"/>
                <w:szCs w:val="18"/>
              </w:rPr>
              <w:t>事职务），未知其他股东之间是否存在关联关系，也未</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知是否属于一致行动人。</w:t>
            </w: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名普通股股东参与融资融券业务情况说明</w:t>
            </w:r>
          </w:p>
        </w:tc>
        <w:tc>
          <w:tcPr>
            <w:tcW w:w="43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034"/>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10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4"/>
        <w:ind w:right="1034"/>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6"/>
          <w:szCs w:val="26"/>
        </w:rPr>
      </w:pPr>
    </w:p>
    <w:p>
      <w:pPr>
        <w:pStyle w:val="Heading4"/>
        <w:spacing w:line="240" w:lineRule="auto"/>
        <w:ind w:right="1034"/>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11"/>
        <w:rPr>
          <w:rFonts w:ascii="宋体" w:hAnsi="宋体" w:cs="宋体" w:eastAsia="宋体" w:hint="default"/>
          <w:b/>
          <w:bCs/>
          <w:sz w:val="26"/>
          <w:szCs w:val="26"/>
        </w:rPr>
      </w:pPr>
    </w:p>
    <w:p>
      <w:pPr>
        <w:pStyle w:val="BodyText"/>
        <w:spacing w:line="357" w:lineRule="auto"/>
        <w:ind w:right="8414"/>
        <w:jc w:val="left"/>
      </w:pPr>
      <w:r>
        <w:rPr/>
        <w:t>控股股东性质：地方国有控股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before="44"/>
        <w:ind w:left="0" w:right="1141"/>
        <w:jc w:val="right"/>
      </w:pPr>
      <w:r>
        <w:rPr/>
        <w:pict>
          <v:shape style="position:absolute;margin-left:56.400002pt;margin-top:-36.488277pt;width:479.3pt;height:263.7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2"/>
                    <w:gridCol w:w="1133"/>
                    <w:gridCol w:w="992"/>
                    <w:gridCol w:w="1843"/>
                    <w:gridCol w:w="4751"/>
                  </w:tblGrid>
                  <w:tr>
                    <w:trPr>
                      <w:trHeight w:val="715"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0" w:right="60" w:hanging="181"/>
                          <w:jc w:val="left"/>
                          <w:rPr>
                            <w:rFonts w:ascii="宋体" w:hAnsi="宋体" w:cs="宋体" w:eastAsia="宋体" w:hint="default"/>
                            <w:sz w:val="18"/>
                            <w:szCs w:val="18"/>
                          </w:rPr>
                        </w:pPr>
                        <w:r>
                          <w:rPr>
                            <w:rFonts w:ascii="宋体" w:hAnsi="宋体" w:cs="宋体" w:eastAsia="宋体" w:hint="default"/>
                            <w:sz w:val="18"/>
                            <w:szCs w:val="18"/>
                          </w:rPr>
                          <w:t>控股股东 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2" w:right="84" w:hanging="2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4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521" w:hRule="exact"/>
                    </w:trPr>
                    <w:tc>
                      <w:tcPr>
                        <w:tcW w:w="852" w:type="dxa"/>
                        <w:tcBorders>
                          <w:top w:val="single" w:sz="4" w:space="0" w:color="000000"/>
                          <w:left w:val="single" w:sz="4" w:space="0" w:color="000000"/>
                          <w:bottom w:val="single" w:sz="8"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4" w:right="96"/>
                          <w:jc w:val="both"/>
                          <w:rPr>
                            <w:rFonts w:ascii="宋体" w:hAnsi="宋体" w:cs="宋体" w:eastAsia="宋体" w:hint="default"/>
                            <w:sz w:val="18"/>
                            <w:szCs w:val="18"/>
                          </w:rPr>
                        </w:pPr>
                        <w:r>
                          <w:rPr>
                            <w:rFonts w:ascii="宋体" w:hAnsi="宋体" w:cs="宋体" w:eastAsia="宋体" w:hint="default"/>
                            <w:sz w:val="18"/>
                            <w:szCs w:val="18"/>
                          </w:rPr>
                          <w:t>广州无线 电集团有 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杨海洲</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1981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统一社会信用代码：</w:t>
                        </w:r>
                      </w:p>
                      <w:p>
                        <w:pPr>
                          <w:pStyle w:val="TableParagraph"/>
                          <w:spacing w:line="240" w:lineRule="auto" w:before="116"/>
                          <w:ind w:left="26" w:right="0"/>
                          <w:jc w:val="left"/>
                          <w:rPr>
                            <w:rFonts w:ascii="Times New Roman" w:hAnsi="Times New Roman" w:cs="Times New Roman" w:eastAsia="Times New Roman" w:hint="default"/>
                            <w:sz w:val="18"/>
                            <w:szCs w:val="18"/>
                          </w:rPr>
                        </w:pPr>
                        <w:r>
                          <w:rPr>
                            <w:rFonts w:ascii="Times New Roman"/>
                            <w:sz w:val="18"/>
                          </w:rPr>
                          <w:t>91440101231216220B</w:t>
                        </w:r>
                      </w:p>
                    </w:tc>
                    <w:tc>
                      <w:tcPr>
                        <w:tcW w:w="47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5"/>
                          <w:jc w:val="left"/>
                          <w:rPr>
                            <w:rFonts w:ascii="宋体" w:hAnsi="宋体" w:cs="宋体" w:eastAsia="宋体" w:hint="default"/>
                            <w:sz w:val="18"/>
                            <w:szCs w:val="18"/>
                          </w:rPr>
                        </w:pPr>
                        <w:r>
                          <w:rPr>
                            <w:rFonts w:ascii="宋体" w:hAnsi="宋体" w:cs="宋体" w:eastAsia="宋体" w:hint="default"/>
                            <w:spacing w:val="-4"/>
                            <w:sz w:val="18"/>
                            <w:szCs w:val="18"/>
                          </w:rPr>
                          <w:t>资产管理（不含许可审批项目）；计算机应用电子设备制造</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通信系统设备制造；通信终端设备制造；雷达及配套设备制 造；计算机技术开发、技术服务；软件开发；信息技术咨询 服务；房地产开发经营；房屋租赁；货物进出口（专营专控 商品除外）；技术进出口；商品批发贸易（许可审批类商品 </w:t>
                        </w:r>
                        <w:r>
                          <w:rPr>
                            <w:rFonts w:ascii="宋体" w:hAnsi="宋体" w:cs="宋体" w:eastAsia="宋体" w:hint="default"/>
                            <w:spacing w:val="-4"/>
                            <w:sz w:val="18"/>
                            <w:szCs w:val="18"/>
                          </w:rPr>
                          <w:t>除外）；塑料零件制造；音响设备制造；影视录放设备制造</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光电子器件及其他电子器件制造；绘图、计算及测量仪器制 造；计算机整机制造；计算机零部件制造；金属切削机床制 造；电子、通信与自动控制技术研究、开发；电子产品设计 服务；通信工程设计服务；商品零售贸易（许可审批类商品</w:t>
                        </w:r>
                        <w:r>
                          <w:rPr>
                            <w:rFonts w:ascii="宋体" w:hAnsi="宋体" w:cs="宋体" w:eastAsia="宋体" w:hint="default"/>
                            <w:sz w:val="18"/>
                            <w:szCs w:val="18"/>
                          </w:rPr>
                          <w:t> 除外）；专用设备修理；电气设备修理；软件服务。</w:t>
                        </w:r>
                      </w:p>
                    </w:tc>
                  </w:tr>
                  <w:tr>
                    <w:trPr>
                      <w:trHeight w:val="1028"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8"/>
                          <w:ind w:left="24" w:right="96"/>
                          <w:jc w:val="both"/>
                          <w:rPr>
                            <w:rFonts w:ascii="宋体" w:hAnsi="宋体" w:cs="宋体" w:eastAsia="宋体" w:hint="default"/>
                            <w:sz w:val="18"/>
                            <w:szCs w:val="18"/>
                          </w:rPr>
                        </w:pPr>
                        <w:r>
                          <w:rPr>
                            <w:rFonts w:ascii="宋体" w:hAnsi="宋体" w:cs="宋体" w:eastAsia="宋体" w:hint="default"/>
                            <w:sz w:val="18"/>
                            <w:szCs w:val="18"/>
                          </w:rPr>
                          <w:t>控股股东 报告期内 控股和参</w:t>
                        </w:r>
                      </w:p>
                    </w:tc>
                    <w:tc>
                      <w:tcPr>
                        <w:tcW w:w="8718" w:type="dxa"/>
                        <w:gridSpan w:val="4"/>
                        <w:tcBorders>
                          <w:top w:val="single" w:sz="4" w:space="0" w:color="000000"/>
                          <w:left w:val="single" w:sz="13" w:space="0" w:color="D2D2D2"/>
                          <w:bottom w:val="single" w:sz="4" w:space="0" w:color="000000"/>
                          <w:right w:val="single" w:sz="4" w:space="0" w:color="000000"/>
                        </w:tcBorders>
                      </w:tcPr>
                      <w:p>
                        <w:pPr>
                          <w:pStyle w:val="TableParagraph"/>
                          <w:spacing w:line="300" w:lineRule="auto" w:before="49"/>
                          <w:ind w:left="11" w:right="2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日，控股股东无线电集团持有海格通信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25.24%</w:t>
                        </w:r>
                        <w:r>
                          <w:rPr>
                            <w:rFonts w:ascii="宋体" w:hAnsi="宋体" w:cs="宋体" w:eastAsia="宋体" w:hint="default"/>
                            <w:sz w:val="18"/>
                            <w:szCs w:val="18"/>
                          </w:rPr>
                          <w:t>股权、持有金浦钛业股份有限公司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1.39% </w:t>
                        </w:r>
                        <w:r>
                          <w:rPr>
                            <w:rFonts w:ascii="宋体" w:hAnsi="宋体" w:cs="宋体" w:eastAsia="宋体" w:hint="default"/>
                            <w:sz w:val="18"/>
                            <w:szCs w:val="18"/>
                          </w:rPr>
                          <w:t>股权、持有广电计量</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53.23%</w:t>
                        </w:r>
                        <w:r>
                          <w:rPr>
                            <w:rFonts w:ascii="宋体" w:hAnsi="宋体" w:cs="宋体" w:eastAsia="宋体" w:hint="default"/>
                            <w:sz w:val="18"/>
                            <w:szCs w:val="18"/>
                          </w:rPr>
                          <w:t>股权、持有广州广哈通信股份有限公司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3.35%</w:t>
                        </w:r>
                        <w:r>
                          <w:rPr>
                            <w:rFonts w:ascii="宋体" w:hAnsi="宋体" w:cs="宋体" w:eastAsia="宋体" w:hint="default"/>
                            <w:sz w:val="18"/>
                            <w:szCs w:val="18"/>
                          </w:rPr>
                          <w:t>股权、持有广州农村商业银行股份有 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3.17%</w:t>
                        </w:r>
                        <w:r>
                          <w:rPr>
                            <w:rFonts w:ascii="宋体" w:hAnsi="宋体" w:cs="宋体" w:eastAsia="宋体" w:hint="default"/>
                            <w:sz w:val="18"/>
                            <w:szCs w:val="18"/>
                          </w:rPr>
                          <w:t>股权。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BodyText"/>
        <w:spacing w:line="240" w:lineRule="auto" w:before="44"/>
        <w:ind w:left="0" w:right="1139"/>
        <w:jc w:val="right"/>
      </w:pPr>
      <w:r>
        <w:rPr/>
        <w:t>；</w:t>
      </w:r>
    </w:p>
    <w:p>
      <w:pPr>
        <w:spacing w:after="0" w:line="240" w:lineRule="auto"/>
        <w:jc w:val="right"/>
        <w:sectPr>
          <w:pgSz w:w="11910" w:h="16840"/>
          <w:pgMar w:header="877" w:footer="979" w:top="1100" w:bottom="1160" w:left="980" w:right="0"/>
        </w:sectPr>
      </w:pPr>
    </w:p>
    <w:p>
      <w:pPr>
        <w:spacing w:line="240" w:lineRule="auto" w:before="3"/>
        <w:rPr>
          <w:rFonts w:ascii="宋体" w:hAnsi="宋体" w:cs="宋体" w:eastAsia="宋体" w:hint="default"/>
          <w:sz w:val="24"/>
          <w:szCs w:val="24"/>
        </w:rPr>
      </w:pPr>
    </w:p>
    <w:p>
      <w:pPr>
        <w:spacing w:line="1318" w:lineRule="exact"/>
        <w:ind w:left="148" w:right="0" w:firstLine="0"/>
        <w:rPr>
          <w:rFonts w:ascii="宋体" w:hAnsi="宋体" w:cs="宋体" w:eastAsia="宋体" w:hint="default"/>
          <w:sz w:val="20"/>
          <w:szCs w:val="20"/>
        </w:rPr>
      </w:pPr>
      <w:r>
        <w:rPr>
          <w:rFonts w:ascii="宋体" w:hAnsi="宋体" w:cs="宋体" w:eastAsia="宋体" w:hint="default"/>
          <w:position w:val="-25"/>
          <w:sz w:val="20"/>
          <w:szCs w:val="20"/>
        </w:rPr>
        <w:pict>
          <v:group style="width:479.05pt;height:65.9pt;mso-position-horizontal-relative:char;mso-position-vertical-relative:line" coordorigin="0,0" coordsize="9581,1318">
            <v:group style="position:absolute;left:23;top:14;width:2;height:1290" coordorigin="23,14" coordsize="2,1290">
              <v:shape style="position:absolute;left:23;top:14;width:2;height:1290" coordorigin="23,14" coordsize="0,1290" path="m23,14l23,1304e" filled="false" stroked="true" strokeweight="1.08pt" strokecolor="#d2d2d2">
                <v:path arrowok="t"/>
              </v:shape>
            </v:group>
            <v:group style="position:absolute;left:840;top:14;width:2;height:1290" coordorigin="840,14" coordsize="2,1290">
              <v:shape style="position:absolute;left:840;top:14;width:2;height:1290" coordorigin="840,14" coordsize="0,1290" path="m840,14l840,1304e" filled="false" stroked="true" strokeweight="1.2pt" strokecolor="#d2d2d2">
                <v:path arrowok="t"/>
              </v:shape>
            </v:group>
            <v:group style="position:absolute;left:34;top:14;width:795;height:313" coordorigin="34,14" coordsize="795,313">
              <v:shape style="position:absolute;left:34;top:14;width:795;height:313" coordorigin="34,14" coordsize="795,313" path="m34,327l828,327,828,14,34,14,34,327xe" filled="true" fillcolor="#d2d2d2" stroked="false">
                <v:path arrowok="t"/>
                <v:fill type="solid"/>
              </v:shape>
            </v:group>
            <v:group style="position:absolute;left:34;top:327;width:795;height:312" coordorigin="34,327" coordsize="795,312">
              <v:shape style="position:absolute;left:34;top:327;width:795;height:312" coordorigin="34,327" coordsize="795,312" path="m34,639l828,639,828,327,34,327,34,639xe" filled="true" fillcolor="#d2d2d2" stroked="false">
                <v:path arrowok="t"/>
                <v:fill type="solid"/>
              </v:shape>
            </v:group>
            <v:group style="position:absolute;left:34;top:639;width:795;height:312" coordorigin="34,639" coordsize="795,312">
              <v:shape style="position:absolute;left:34;top:639;width:795;height:312" coordorigin="34,639" coordsize="795,312" path="m34,951l828,951,828,639,34,639,34,951xe" filled="true" fillcolor="#d2d2d2" stroked="false">
                <v:path arrowok="t"/>
                <v:fill type="solid"/>
              </v:shape>
            </v:group>
            <v:group style="position:absolute;left:34;top:951;width:795;height:353" coordorigin="34,951" coordsize="795,353">
              <v:shape style="position:absolute;left:34;top:951;width:795;height:353" coordorigin="34,951" coordsize="795,353" path="m34,1304l828,1304,828,951,34,951,34,1304xe" filled="true" fillcolor="#d2d2d2" stroked="false">
                <v:path arrowok="t"/>
                <v:fill type="solid"/>
              </v:shape>
            </v:group>
            <v:group style="position:absolute;left:10;top:10;width:843;height:2" coordorigin="10,10" coordsize="843,2">
              <v:shape style="position:absolute;left:10;top:10;width:843;height:2" coordorigin="10,10" coordsize="843,0" path="m10,10l852,10e" filled="false" stroked="true" strokeweight=".48pt" strokecolor="#000000">
                <v:path arrowok="t"/>
              </v:shape>
            </v:group>
            <v:group style="position:absolute;left:862;top:10;width:8709;height:2" coordorigin="862,10" coordsize="8709,2">
              <v:shape style="position:absolute;left:862;top:10;width:8709;height:2" coordorigin="862,10" coordsize="8709,0" path="m862,10l9571,10e" filled="false" stroked="true" strokeweight=".48pt" strokecolor="#000000">
                <v:path arrowok="t"/>
              </v:shape>
            </v:group>
            <v:group style="position:absolute;left:5;top:5;width:2;height:1309" coordorigin="5,5" coordsize="2,1309">
              <v:shape style="position:absolute;left:5;top:5;width:2;height:1309" coordorigin="5,5" coordsize="0,1309" path="m5,5l5,1313e" filled="false" stroked="true" strokeweight=".48pt" strokecolor="#000000">
                <v:path arrowok="t"/>
              </v:shape>
            </v:group>
            <v:group style="position:absolute;left:10;top:1308;width:843;height:2" coordorigin="10,1308" coordsize="843,2">
              <v:shape style="position:absolute;left:10;top:1308;width:843;height:2" coordorigin="10,1308" coordsize="843,0" path="m10,1308l852,1308e" filled="false" stroked="true" strokeweight=".48pt" strokecolor="#000000">
                <v:path arrowok="t"/>
              </v:shape>
            </v:group>
            <v:group style="position:absolute;left:857;top:5;width:2;height:1309" coordorigin="857,5" coordsize="2,1309">
              <v:shape style="position:absolute;left:857;top:5;width:2;height:1309" coordorigin="857,5" coordsize="0,1309" path="m857,5l857,1313e" filled="false" stroked="true" strokeweight=".48pt" strokecolor="#000000">
                <v:path arrowok="t"/>
              </v:shape>
            </v:group>
            <v:group style="position:absolute;left:862;top:1308;width:8709;height:2" coordorigin="862,1308" coordsize="8709,2">
              <v:shape style="position:absolute;left:862;top:1308;width:8709;height:2" coordorigin="862,1308" coordsize="8709,0" path="m862,1308l9571,1308e" filled="false" stroked="true" strokeweight=".48pt" strokecolor="#000000">
                <v:path arrowok="t"/>
              </v:shape>
            </v:group>
            <v:group style="position:absolute;left:9576;top:5;width:2;height:1309" coordorigin="9576,5" coordsize="2,1309">
              <v:shape style="position:absolute;left:9576;top:5;width:2;height:1309" coordorigin="9576,5" coordsize="0,1309" path="m9576,5l9576,1313e" filled="false" stroked="true" strokeweight=".47998pt" strokecolor="#000000">
                <v:path arrowok="t"/>
              </v:shape>
              <v:shape style="position:absolute;left:6;top:10;width:840;height:1299" type="#_x0000_t202" filled="false" stroked="false">
                <v:textbox inset="0,0,0,0">
                  <w:txbxContent>
                    <w:p>
                      <w:pPr>
                        <w:spacing w:line="316" w:lineRule="auto" w:before="13"/>
                        <w:ind w:left="27" w:right="89" w:firstLine="0"/>
                        <w:jc w:val="both"/>
                        <w:rPr>
                          <w:rFonts w:ascii="宋体" w:hAnsi="宋体" w:cs="宋体" w:eastAsia="宋体" w:hint="default"/>
                          <w:sz w:val="18"/>
                          <w:szCs w:val="18"/>
                        </w:rPr>
                      </w:pPr>
                      <w:r>
                        <w:rPr>
                          <w:rFonts w:ascii="宋体" w:hAnsi="宋体" w:cs="宋体" w:eastAsia="宋体" w:hint="default"/>
                          <w:sz w:val="18"/>
                          <w:szCs w:val="18"/>
                        </w:rPr>
                        <w:t>股的其他 境内外上 市公司的 股权情况</w:t>
                      </w:r>
                    </w:p>
                  </w:txbxContent>
                </v:textbox>
                <w10:wrap type="none"/>
              </v:shape>
            </v:group>
          </v:group>
        </w:pict>
      </w:r>
      <w:r>
        <w:rPr>
          <w:rFonts w:ascii="宋体" w:hAnsi="宋体" w:cs="宋体" w:eastAsia="宋体" w:hint="default"/>
          <w:position w:val="-25"/>
          <w:sz w:val="20"/>
          <w:szCs w:val="20"/>
        </w:rPr>
      </w:r>
    </w:p>
    <w:p>
      <w:pPr>
        <w:pStyle w:val="BodyText"/>
        <w:spacing w:line="240" w:lineRule="auto" w:before="44"/>
        <w:ind w:right="1034"/>
        <w:jc w:val="left"/>
      </w:pPr>
      <w:r>
        <w:rPr/>
        <w:t>控股股东报告期内变更</w:t>
      </w:r>
    </w:p>
    <w:p>
      <w:pPr>
        <w:pStyle w:val="BodyText"/>
        <w:spacing w:line="340" w:lineRule="auto" w:before="115"/>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12"/>
        <w:rPr>
          <w:rFonts w:ascii="宋体" w:hAnsi="宋体" w:cs="宋体" w:eastAsia="宋体" w:hint="default"/>
          <w:sz w:val="21"/>
          <w:szCs w:val="21"/>
        </w:rPr>
      </w:pPr>
    </w:p>
    <w:p>
      <w:pPr>
        <w:pStyle w:val="Heading4"/>
        <w:spacing w:line="240" w:lineRule="auto"/>
        <w:ind w:right="1034"/>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12"/>
        <w:rPr>
          <w:rFonts w:ascii="宋体" w:hAnsi="宋体" w:cs="宋体" w:eastAsia="宋体" w:hint="default"/>
          <w:b/>
          <w:bCs/>
          <w:sz w:val="26"/>
          <w:szCs w:val="26"/>
        </w:rPr>
      </w:pPr>
    </w:p>
    <w:p>
      <w:pPr>
        <w:pStyle w:val="BodyText"/>
        <w:spacing w:line="357" w:lineRule="auto"/>
        <w:ind w:right="7874"/>
        <w:jc w:val="left"/>
      </w:pPr>
      <w:r>
        <w:rPr/>
        <w:t>实际控制人性质：地方国资管理机构 实际控制人类型：法人</w:t>
      </w:r>
    </w:p>
    <w:tbl>
      <w:tblPr>
        <w:tblW w:w="0" w:type="auto"/>
        <w:jc w:val="left"/>
        <w:tblInd w:w="148" w:type="dxa"/>
        <w:tblLayout w:type="fixed"/>
        <w:tblCellMar>
          <w:top w:w="0" w:type="dxa"/>
          <w:left w:w="0" w:type="dxa"/>
          <w:bottom w:w="0" w:type="dxa"/>
          <w:right w:w="0" w:type="dxa"/>
        </w:tblCellMar>
        <w:tblLook w:val="01E0"/>
      </w:tblPr>
      <w:tblGrid>
        <w:gridCol w:w="2977"/>
        <w:gridCol w:w="2268"/>
        <w:gridCol w:w="1702"/>
        <w:gridCol w:w="1419"/>
        <w:gridCol w:w="1205"/>
      </w:tblGrid>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54"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单位负责人</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广州市国资委</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陈浩钿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1"/>
              <w:jc w:val="left"/>
              <w:rPr>
                <w:rFonts w:ascii="宋体" w:hAnsi="宋体" w:cs="宋体" w:eastAsia="宋体" w:hint="default"/>
                <w:sz w:val="18"/>
                <w:szCs w:val="18"/>
              </w:rPr>
            </w:pPr>
            <w:r>
              <w:rPr>
                <w:rFonts w:ascii="宋体" w:hAnsi="宋体" w:cs="宋体" w:eastAsia="宋体" w:hint="default"/>
                <w:sz w:val="18"/>
                <w:szCs w:val="18"/>
              </w:rPr>
              <w:t>实际控制人报告期内控制的其他境内 外上市公司的股权情况</w:t>
            </w:r>
          </w:p>
        </w:tc>
        <w:tc>
          <w:tcPr>
            <w:tcW w:w="659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70"/>
        <w:ind w:right="1034"/>
        <w:jc w:val="left"/>
      </w:pPr>
      <w:r>
        <w:rPr/>
        <w:t>实际控制人报告期内变更</w:t>
      </w:r>
    </w:p>
    <w:p>
      <w:pPr>
        <w:pStyle w:val="BodyText"/>
        <w:spacing w:line="348"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2"/>
        <w:rPr>
          <w:rFonts w:ascii="宋体" w:hAnsi="宋体" w:cs="宋体" w:eastAsia="宋体" w:hint="default"/>
          <w:sz w:val="4"/>
          <w:szCs w:val="4"/>
        </w:rPr>
      </w:pPr>
    </w:p>
    <w:p>
      <w:pPr>
        <w:spacing w:line="2745" w:lineRule="exact"/>
        <w:ind w:left="3038" w:right="0" w:firstLine="0"/>
        <w:rPr>
          <w:rFonts w:ascii="宋体" w:hAnsi="宋体" w:cs="宋体" w:eastAsia="宋体" w:hint="default"/>
          <w:sz w:val="20"/>
          <w:szCs w:val="20"/>
        </w:rPr>
      </w:pPr>
      <w:r>
        <w:rPr>
          <w:rFonts w:ascii="宋体" w:hAnsi="宋体" w:cs="宋体" w:eastAsia="宋体" w:hint="default"/>
          <w:position w:val="-54"/>
          <w:sz w:val="20"/>
          <w:szCs w:val="20"/>
        </w:rPr>
        <w:drawing>
          <wp:inline distT="0" distB="0" distL="0" distR="0">
            <wp:extent cx="2464522" cy="1743646"/>
            <wp:effectExtent l="0" t="0" r="0" b="0"/>
            <wp:docPr id="5" name="image12.png" descr=""/>
            <wp:cNvGraphicFramePr>
              <a:graphicFrameLocks noChangeAspect="1"/>
            </wp:cNvGraphicFramePr>
            <a:graphic>
              <a:graphicData uri="http://schemas.openxmlformats.org/drawingml/2006/picture">
                <pic:pic>
                  <pic:nvPicPr>
                    <pic:cNvPr id="6" name="image12.png"/>
                    <pic:cNvPicPr/>
                  </pic:nvPicPr>
                  <pic:blipFill>
                    <a:blip r:embed="rId35" cstate="print"/>
                    <a:stretch>
                      <a:fillRect/>
                    </a:stretch>
                  </pic:blipFill>
                  <pic:spPr>
                    <a:xfrm>
                      <a:off x="0" y="0"/>
                      <a:ext cx="2464522" cy="1743646"/>
                    </a:xfrm>
                    <a:prstGeom prst="rect">
                      <a:avLst/>
                    </a:prstGeom>
                  </pic:spPr>
                </pic:pic>
              </a:graphicData>
            </a:graphic>
          </wp:inline>
        </w:drawing>
      </w:r>
      <w:r>
        <w:rPr>
          <w:rFonts w:ascii="宋体" w:hAnsi="宋体" w:cs="宋体" w:eastAsia="宋体" w:hint="default"/>
          <w:position w:val="-54"/>
          <w:sz w:val="20"/>
          <w:szCs w:val="20"/>
        </w:rPr>
      </w:r>
    </w:p>
    <w:p>
      <w:pPr>
        <w:pStyle w:val="BodyText"/>
        <w:spacing w:line="240" w:lineRule="auto" w:before="86"/>
        <w:ind w:right="1034"/>
        <w:jc w:val="left"/>
      </w:pPr>
      <w:r>
        <w:rPr/>
        <w:t>实际控制人通过信托或其他资产管理方式控制公司</w:t>
      </w:r>
    </w:p>
    <w:p>
      <w:pPr>
        <w:pStyle w:val="BodyText"/>
        <w:spacing w:line="240" w:lineRule="auto" w:before="115"/>
        <w:ind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4"/>
        <w:spacing w:line="240" w:lineRule="auto"/>
        <w:ind w:right="1034"/>
        <w:jc w:val="left"/>
        <w:rPr>
          <w:b w:val="0"/>
          <w:bCs w:val="0"/>
        </w:rPr>
      </w:pPr>
      <w:r>
        <w:rPr>
          <w:rFonts w:ascii="Times New Roman" w:hAnsi="Times New Roman" w:cs="Times New Roman" w:eastAsia="Times New Roman" w:hint="default"/>
        </w:rPr>
        <w:t>4</w:t>
      </w:r>
      <w:r>
        <w:rPr/>
        <w:t>、其他持股在</w:t>
      </w:r>
      <w:r>
        <w:rPr>
          <w:spacing w:val="-54"/>
        </w:rPr>
        <w:t> </w:t>
      </w:r>
      <w:r>
        <w:rPr>
          <w:rFonts w:ascii="Times New Roman" w:hAnsi="Times New Roman" w:cs="Times New Roman" w:eastAsia="Times New Roman" w:hint="default"/>
        </w:rPr>
        <w:t>10%</w:t>
      </w:r>
      <w:r>
        <w:rPr/>
        <w:t>以上的法人股东</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6"/>
          <w:szCs w:val="26"/>
        </w:rPr>
      </w:pPr>
    </w:p>
    <w:p>
      <w:pPr>
        <w:pStyle w:val="Heading4"/>
        <w:spacing w:line="240" w:lineRule="auto"/>
        <w:ind w:right="1034"/>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037" w:firstLine="36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月，公司完成非公开发行</w:t>
      </w:r>
      <w:r>
        <w:rPr>
          <w:rFonts w:ascii="Times New Roman" w:hAnsi="Times New Roman" w:cs="Times New Roman" w:eastAsia="Times New Roman" w:hint="default"/>
        </w:rPr>
        <w:t>A</w:t>
      </w:r>
      <w:r>
        <w:rPr/>
        <w:t>股股票的发行工作，募集资金</w:t>
      </w:r>
      <w:r>
        <w:rPr>
          <w:rFonts w:ascii="Times New Roman" w:hAnsi="Times New Roman" w:cs="Times New Roman" w:eastAsia="Times New Roman" w:hint="default"/>
        </w:rPr>
        <w:t>31.37</w:t>
      </w:r>
      <w:r>
        <w:rPr/>
        <w:t>亿元，发行股票数量</w:t>
      </w:r>
      <w:r>
        <w:rPr>
          <w:rFonts w:ascii="Times New Roman" w:hAnsi="Times New Roman" w:cs="Times New Roman" w:eastAsia="Times New Roman" w:hint="default"/>
        </w:rPr>
        <w:t>18,282</w:t>
      </w:r>
      <w:r>
        <w:rPr/>
        <w:t>万股，其中：控股股 </w:t>
      </w:r>
      <w:r>
        <w:rPr>
          <w:spacing w:val="-3"/>
        </w:rPr>
        <w:t>东无线电集团认购</w:t>
      </w:r>
      <w:r>
        <w:rPr>
          <w:rFonts w:ascii="Times New Roman" w:hAnsi="Times New Roman" w:cs="Times New Roman" w:eastAsia="Times New Roman" w:hint="default"/>
          <w:spacing w:val="-3"/>
        </w:rPr>
        <w:t>13,929</w:t>
      </w:r>
      <w:r>
        <w:rPr>
          <w:spacing w:val="-3"/>
        </w:rPr>
        <w:t>万股，公司员工持股计划认购</w:t>
      </w:r>
      <w:r>
        <w:rPr>
          <w:rFonts w:ascii="Times New Roman" w:hAnsi="Times New Roman" w:cs="Times New Roman" w:eastAsia="Times New Roman" w:hint="default"/>
          <w:spacing w:val="-3"/>
        </w:rPr>
        <w:t>4,353</w:t>
      </w:r>
      <w:r>
        <w:rPr>
          <w:spacing w:val="-3"/>
        </w:rPr>
        <w:t>万股，募集资金用于建设全国金融外包服务平台和补充流动资金。</w:t>
      </w:r>
      <w:r>
        <w:rPr>
          <w:spacing w:val="-85"/>
        </w:rPr>
        <w:t> </w:t>
      </w:r>
      <w:r>
        <w:rPr>
          <w:spacing w:val="-85"/>
        </w:rPr>
      </w:r>
      <w:r>
        <w:rPr/>
        <w:t>无线电集团承诺：自本次发行结束之日起</w:t>
      </w:r>
      <w:r>
        <w:rPr>
          <w:rFonts w:ascii="Times New Roman" w:hAnsi="Times New Roman" w:cs="Times New Roman" w:eastAsia="Times New Roman" w:hint="default"/>
        </w:rPr>
        <w:t>36</w:t>
      </w:r>
      <w:r>
        <w:rPr/>
        <w:t>个月内，不以任何方式转让在本次发行中认购的广电运通的股份。</w:t>
      </w:r>
    </w:p>
    <w:p>
      <w:pPr>
        <w:spacing w:after="0" w:line="30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3285" w:right="1034"/>
        <w:jc w:val="left"/>
        <w:rPr>
          <w:b w:val="0"/>
          <w:bCs w:val="0"/>
        </w:rPr>
      </w:pPr>
      <w:bookmarkStart w:name="_bookmark6" w:id="7"/>
      <w:bookmarkEnd w:id="7"/>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340"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1839" w:right="0"/>
        <w:jc w:val="left"/>
        <w:rPr>
          <w:b w:val="0"/>
          <w:bCs w:val="0"/>
        </w:rPr>
      </w:pPr>
      <w:bookmarkStart w:name="_bookmark7" w:id="8"/>
      <w:bookmarkEnd w:id="8"/>
      <w:r>
        <w:rPr>
          <w:b w:val="0"/>
          <w:bCs w:val="0"/>
        </w:rPr>
      </w:r>
      <w:r>
        <w:rPr/>
        <w:t>第八节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left="312"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1" w:type="dxa"/>
        <w:tblLayout w:type="fixed"/>
        <w:tblCellMar>
          <w:top w:w="0" w:type="dxa"/>
          <w:left w:w="0" w:type="dxa"/>
          <w:bottom w:w="0" w:type="dxa"/>
          <w:right w:w="0" w:type="dxa"/>
        </w:tblCellMar>
        <w:tblLook w:val="01E0"/>
      </w:tblPr>
      <w:tblGrid>
        <w:gridCol w:w="603"/>
        <w:gridCol w:w="991"/>
        <w:gridCol w:w="427"/>
        <w:gridCol w:w="283"/>
        <w:gridCol w:w="283"/>
        <w:gridCol w:w="1702"/>
        <w:gridCol w:w="1558"/>
        <w:gridCol w:w="994"/>
        <w:gridCol w:w="991"/>
        <w:gridCol w:w="709"/>
        <w:gridCol w:w="569"/>
        <w:gridCol w:w="922"/>
      </w:tblGrid>
      <w:tr>
        <w:trPr>
          <w:trHeight w:val="1339" w:hRule="exact"/>
        </w:trPr>
        <w:tc>
          <w:tcPr>
            <w:tcW w:w="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357" w:lineRule="auto"/>
              <w:ind w:left="28" w:right="2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47" w:right="43"/>
              <w:jc w:val="left"/>
              <w:rPr>
                <w:rFonts w:ascii="宋体" w:hAnsi="宋体" w:cs="宋体" w:eastAsia="宋体" w:hint="default"/>
                <w:sz w:val="18"/>
                <w:szCs w:val="18"/>
              </w:rPr>
            </w:pPr>
            <w:r>
              <w:rPr>
                <w:rFonts w:ascii="宋体" w:hAnsi="宋体" w:cs="宋体" w:eastAsia="宋体" w:hint="default"/>
                <w:sz w:val="18"/>
                <w:szCs w:val="18"/>
              </w:rPr>
              <w:t>性 别</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47" w:right="43"/>
              <w:jc w:val="left"/>
              <w:rPr>
                <w:rFonts w:ascii="宋体" w:hAnsi="宋体" w:cs="宋体" w:eastAsia="宋体" w:hint="default"/>
                <w:sz w:val="18"/>
                <w:szCs w:val="18"/>
              </w:rPr>
            </w:pPr>
            <w:r>
              <w:rPr>
                <w:rFonts w:ascii="宋体" w:hAnsi="宋体" w:cs="宋体" w:eastAsia="宋体" w:hint="default"/>
                <w:sz w:val="18"/>
                <w:szCs w:val="18"/>
              </w:rPr>
              <w:t>年 龄</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38" w:firstLine="16"/>
              <w:jc w:val="left"/>
              <w:rPr>
                <w:rFonts w:ascii="宋体" w:hAnsi="宋体" w:cs="宋体" w:eastAsia="宋体" w:hint="default"/>
                <w:sz w:val="18"/>
                <w:szCs w:val="18"/>
              </w:rPr>
            </w:pPr>
            <w:r>
              <w:rPr>
                <w:rFonts w:ascii="宋体" w:hAnsi="宋体" w:cs="宋体" w:eastAsia="宋体" w:hint="default"/>
                <w:sz w:val="18"/>
                <w:szCs w:val="18"/>
              </w:rPr>
              <w:t>本期增持股 </w:t>
            </w:r>
            <w:r>
              <w:rPr>
                <w:rFonts w:ascii="宋体" w:hAnsi="宋体" w:cs="宋体" w:eastAsia="宋体" w:hint="default"/>
                <w:spacing w:val="-12"/>
                <w:sz w:val="18"/>
                <w:szCs w:val="18"/>
              </w:rPr>
              <w:t>份数量（股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left"/>
              <w:rPr>
                <w:rFonts w:ascii="宋体" w:hAnsi="宋体" w:cs="宋体" w:eastAsia="宋体" w:hint="default"/>
                <w:sz w:val="18"/>
                <w:szCs w:val="18"/>
              </w:rPr>
            </w:pPr>
            <w:r>
              <w:rPr>
                <w:rFonts w:ascii="宋体" w:hAnsi="宋体" w:cs="宋体" w:eastAsia="宋体" w:hint="default"/>
                <w:sz w:val="18"/>
                <w:szCs w:val="18"/>
              </w:rPr>
              <w:t>本期减 持股份</w:t>
            </w:r>
          </w:p>
          <w:p>
            <w:pPr>
              <w:pStyle w:val="TableParagraph"/>
              <w:spacing w:line="240" w:lineRule="auto" w:before="19"/>
              <w:ind w:left="-1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23"/>
                <w:sz w:val="18"/>
                <w:szCs w:val="18"/>
              </w:rPr>
              <w:t> </w:t>
            </w:r>
            <w:r>
              <w:rPr>
                <w:rFonts w:ascii="宋体" w:hAnsi="宋体" w:cs="宋体" w:eastAsia="宋体" w:hint="default"/>
                <w:sz w:val="18"/>
                <w:szCs w:val="18"/>
              </w:rPr>
              <w:t>数量</w:t>
            </w:r>
          </w:p>
          <w:p>
            <w:pPr>
              <w:pStyle w:val="TableParagraph"/>
              <w:spacing w:line="240" w:lineRule="auto" w:before="76"/>
              <w:ind w:left="7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8"/>
              <w:jc w:val="both"/>
              <w:rPr>
                <w:rFonts w:ascii="宋体" w:hAnsi="宋体" w:cs="宋体" w:eastAsia="宋体" w:hint="default"/>
                <w:sz w:val="18"/>
                <w:szCs w:val="18"/>
              </w:rPr>
            </w:pPr>
            <w:r>
              <w:rPr>
                <w:rFonts w:ascii="宋体" w:hAnsi="宋体" w:cs="宋体" w:eastAsia="宋体" w:hint="default"/>
                <w:sz w:val="18"/>
                <w:szCs w:val="18"/>
              </w:rPr>
              <w:t>其他 增减 变动</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95" w:right="95"/>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401" w:hRule="exact"/>
        </w:trPr>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杨海洲</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656,759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656,759</w:t>
            </w:r>
          </w:p>
        </w:tc>
      </w:tr>
      <w:tr>
        <w:trPr>
          <w:trHeight w:val="754" w:hRule="exact"/>
        </w:trPr>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黄跃珍</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24" w:right="415"/>
              <w:jc w:val="left"/>
              <w:rPr>
                <w:rFonts w:ascii="宋体" w:hAnsi="宋体" w:cs="宋体" w:eastAsia="宋体" w:hint="default"/>
                <w:sz w:val="18"/>
                <w:szCs w:val="18"/>
              </w:rPr>
            </w:pPr>
            <w:r>
              <w:rPr>
                <w:rFonts w:ascii="宋体" w:hAnsi="宋体" w:cs="宋体" w:eastAsia="宋体" w:hint="default"/>
                <w:sz w:val="18"/>
                <w:szCs w:val="18"/>
              </w:rPr>
              <w:t>董事、 董事长</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10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54" w:hRule="exact"/>
        </w:trPr>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叶子瑜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24" w:right="415"/>
              <w:jc w:val="left"/>
              <w:rPr>
                <w:rFonts w:ascii="宋体" w:hAnsi="宋体" w:cs="宋体" w:eastAsia="宋体" w:hint="default"/>
                <w:sz w:val="18"/>
                <w:szCs w:val="18"/>
              </w:rPr>
            </w:pPr>
            <w:r>
              <w:rPr>
                <w:rFonts w:ascii="宋体" w:hAnsi="宋体" w:cs="宋体" w:eastAsia="宋体" w:hint="default"/>
                <w:sz w:val="18"/>
                <w:szCs w:val="18"/>
              </w:rPr>
              <w:t>董事、 总经理</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15,725,940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15,725,940</w:t>
            </w:r>
          </w:p>
        </w:tc>
      </w:tr>
      <w:tr>
        <w:trPr>
          <w:trHeight w:val="403" w:hRule="exact"/>
        </w:trPr>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杨文峰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center"/>
              <w:rPr>
                <w:rFonts w:ascii="Times New Roman" w:hAnsi="Times New Roman" w:cs="Times New Roman" w:eastAsia="Times New Roman" w:hint="default"/>
                <w:sz w:val="18"/>
                <w:szCs w:val="18"/>
              </w:rPr>
            </w:pPr>
            <w:r>
              <w:rPr>
                <w:rFonts w:ascii="Times New Roman"/>
                <w:sz w:val="18"/>
              </w:rPr>
              <w:t>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陈 </w:t>
            </w:r>
            <w:r>
              <w:rPr>
                <w:rFonts w:ascii="宋体" w:hAnsi="宋体" w:cs="宋体" w:eastAsia="宋体" w:hint="default"/>
                <w:spacing w:val="2"/>
                <w:sz w:val="18"/>
                <w:szCs w:val="18"/>
              </w:rPr>
              <w:t> </w:t>
            </w:r>
            <w:r>
              <w:rPr>
                <w:rFonts w:ascii="宋体" w:hAnsi="宋体" w:cs="宋体" w:eastAsia="宋体" w:hint="default"/>
                <w:sz w:val="18"/>
                <w:szCs w:val="18"/>
              </w:rPr>
              <w:t>荣</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陈建良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5"/>
              <w:jc w:val="left"/>
              <w:rPr>
                <w:rFonts w:ascii="宋体" w:hAnsi="宋体" w:cs="宋体" w:eastAsia="宋体" w:hint="default"/>
                <w:sz w:val="18"/>
                <w:szCs w:val="18"/>
              </w:rPr>
            </w:pPr>
            <w:r>
              <w:rPr>
                <w:rFonts w:ascii="宋体" w:hAnsi="宋体" w:cs="宋体" w:eastAsia="宋体" w:hint="default"/>
                <w:sz w:val="18"/>
                <w:szCs w:val="18"/>
              </w:rPr>
              <w:t>董事、常务 副总经理</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pacing w:val="-3"/>
                <w:sz w:val="18"/>
                <w:szCs w:val="18"/>
              </w:rPr>
              <w:t>日、</w:t>
            </w:r>
            <w:r>
              <w:rPr>
                <w:rFonts w:ascii="宋体" w:hAnsi="宋体" w:cs="宋体" w:eastAsia="宋体"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1,473,929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1,473,929</w:t>
            </w:r>
          </w:p>
        </w:tc>
      </w:tr>
      <w:tr>
        <w:trPr>
          <w:trHeight w:val="754" w:hRule="exact"/>
        </w:trPr>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罗攀峰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55"/>
              <w:jc w:val="left"/>
              <w:rPr>
                <w:rFonts w:ascii="宋体" w:hAnsi="宋体" w:cs="宋体" w:eastAsia="宋体" w:hint="default"/>
                <w:sz w:val="18"/>
                <w:szCs w:val="18"/>
              </w:rPr>
            </w:pPr>
            <w:r>
              <w:rPr>
                <w:rFonts w:ascii="宋体" w:hAnsi="宋体" w:cs="宋体" w:eastAsia="宋体" w:hint="default"/>
                <w:sz w:val="18"/>
                <w:szCs w:val="18"/>
              </w:rPr>
              <w:t>董事、常务 副总经理</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pacing w:val="-3"/>
                <w:sz w:val="18"/>
                <w:szCs w:val="18"/>
              </w:rPr>
              <w:t>日、</w:t>
            </w:r>
            <w:r>
              <w:rPr>
                <w:rFonts w:ascii="宋体" w:hAnsi="宋体" w:cs="宋体" w:eastAsia="宋体" w:hint="default"/>
                <w:sz w:val="18"/>
                <w:szCs w:val="18"/>
              </w:rPr>
            </w:r>
          </w:p>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朱桂龙</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杨 </w:t>
            </w:r>
            <w:r>
              <w:rPr>
                <w:rFonts w:ascii="宋体" w:hAnsi="宋体" w:cs="宋体" w:eastAsia="宋体" w:hint="default"/>
                <w:spacing w:val="2"/>
                <w:sz w:val="18"/>
                <w:szCs w:val="18"/>
              </w:rPr>
              <w:t> </w:t>
            </w:r>
            <w:r>
              <w:rPr>
                <w:rFonts w:ascii="宋体" w:hAnsi="宋体" w:cs="宋体" w:eastAsia="宋体" w:hint="default"/>
                <w:sz w:val="18"/>
                <w:szCs w:val="18"/>
              </w:rPr>
              <w:t>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邢良文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祝立新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2,329,391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2,329,391</w:t>
            </w:r>
          </w:p>
        </w:tc>
      </w:tr>
      <w:tr>
        <w:trPr>
          <w:trHeight w:val="403" w:hRule="exact"/>
        </w:trPr>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诸 </w:t>
            </w:r>
            <w:r>
              <w:rPr>
                <w:rFonts w:ascii="宋体" w:hAnsi="宋体" w:cs="宋体" w:eastAsia="宋体" w:hint="default"/>
                <w:spacing w:val="2"/>
                <w:sz w:val="18"/>
                <w:szCs w:val="18"/>
              </w:rPr>
              <w:t> </w:t>
            </w:r>
            <w:r>
              <w:rPr>
                <w:rFonts w:ascii="宋体" w:hAnsi="宋体" w:cs="宋体" w:eastAsia="宋体" w:hint="default"/>
                <w:sz w:val="18"/>
                <w:szCs w:val="18"/>
              </w:rPr>
              <w:t>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肖勋勇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莫东成</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58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邝建洲</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李叶东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169,502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169,502</w:t>
            </w:r>
          </w:p>
        </w:tc>
      </w:tr>
      <w:tr>
        <w:trPr>
          <w:trHeight w:val="401" w:hRule="exact"/>
        </w:trPr>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魏 </w:t>
            </w:r>
            <w:r>
              <w:rPr>
                <w:rFonts w:ascii="宋体" w:hAnsi="宋体" w:cs="宋体" w:eastAsia="宋体" w:hint="default"/>
                <w:spacing w:val="2"/>
                <w:sz w:val="18"/>
                <w:szCs w:val="18"/>
              </w:rPr>
              <w:t> </w:t>
            </w:r>
            <w:r>
              <w:rPr>
                <w:rFonts w:ascii="宋体" w:hAnsi="宋体" w:cs="宋体" w:eastAsia="宋体" w:hint="default"/>
                <w:sz w:val="18"/>
                <w:szCs w:val="18"/>
              </w:rPr>
              <w:t>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蒋春晨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5"/>
              <w:jc w:val="left"/>
              <w:rPr>
                <w:rFonts w:ascii="宋体" w:hAnsi="宋体" w:cs="宋体" w:eastAsia="宋体" w:hint="default"/>
                <w:sz w:val="18"/>
                <w:szCs w:val="18"/>
              </w:rPr>
            </w:pPr>
            <w:r>
              <w:rPr>
                <w:rFonts w:ascii="宋体" w:hAnsi="宋体" w:cs="宋体" w:eastAsia="宋体" w:hint="default"/>
                <w:sz w:val="18"/>
                <w:szCs w:val="18"/>
              </w:rPr>
              <w:t>副总经理、 财务总监</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pacing w:val="-3"/>
                <w:sz w:val="18"/>
                <w:szCs w:val="18"/>
              </w:rPr>
              <w:t>日、</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476,950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476,950</w:t>
            </w:r>
          </w:p>
        </w:tc>
      </w:tr>
      <w:tr>
        <w:trPr>
          <w:trHeight w:val="401" w:hRule="exact"/>
        </w:trPr>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解永生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12,150</w:t>
            </w:r>
          </w:p>
        </w:tc>
      </w:tr>
      <w:tr>
        <w:trPr>
          <w:trHeight w:val="403" w:hRule="exact"/>
        </w:trPr>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韩 </w:t>
            </w:r>
            <w:r>
              <w:rPr>
                <w:rFonts w:ascii="宋体" w:hAnsi="宋体" w:cs="宋体" w:eastAsia="宋体" w:hint="default"/>
                <w:spacing w:val="2"/>
                <w:sz w:val="18"/>
                <w:szCs w:val="18"/>
              </w:rPr>
              <w:t> </w:t>
            </w:r>
            <w:r>
              <w:rPr>
                <w:rFonts w:ascii="宋体" w:hAnsi="宋体" w:cs="宋体" w:eastAsia="宋体" w:hint="default"/>
                <w:sz w:val="18"/>
                <w:szCs w:val="18"/>
              </w:rPr>
              <w:t>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钟 </w:t>
            </w:r>
            <w:r>
              <w:rPr>
                <w:rFonts w:ascii="宋体" w:hAnsi="宋体" w:cs="宋体" w:eastAsia="宋体" w:hint="default"/>
                <w:spacing w:val="2"/>
                <w:sz w:val="18"/>
                <w:szCs w:val="18"/>
              </w:rPr>
              <w:t> </w:t>
            </w:r>
            <w:r>
              <w:rPr>
                <w:rFonts w:ascii="宋体" w:hAnsi="宋体" w:cs="宋体" w:eastAsia="宋体" w:hint="default"/>
                <w:sz w:val="18"/>
                <w:szCs w:val="18"/>
              </w:rPr>
              <w:t>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任 </w:t>
            </w:r>
            <w:r>
              <w:rPr>
                <w:rFonts w:ascii="宋体" w:hAnsi="宋体" w:cs="宋体" w:eastAsia="宋体" w:hint="default"/>
                <w:spacing w:val="2"/>
                <w:sz w:val="18"/>
                <w:szCs w:val="18"/>
              </w:rPr>
              <w:t> </w:t>
            </w:r>
            <w:r>
              <w:rPr>
                <w:rFonts w:ascii="宋体" w:hAnsi="宋体" w:cs="宋体" w:eastAsia="宋体" w:hint="default"/>
                <w:sz w:val="18"/>
                <w:szCs w:val="18"/>
              </w:rPr>
              <w:t>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820" w:right="0"/>
        </w:sectPr>
      </w:pPr>
    </w:p>
    <w:p>
      <w:pPr>
        <w:spacing w:line="240" w:lineRule="auto" w:before="8"/>
        <w:rPr>
          <w:rFonts w:ascii="宋体" w:hAnsi="宋体" w:cs="宋体" w:eastAsia="宋体" w:hint="default"/>
          <w:b/>
          <w:bCs/>
          <w:sz w:val="24"/>
          <w:szCs w:val="24"/>
        </w:rPr>
      </w:pPr>
    </w:p>
    <w:tbl>
      <w:tblPr>
        <w:tblW w:w="0" w:type="auto"/>
        <w:jc w:val="left"/>
        <w:tblInd w:w="103" w:type="dxa"/>
        <w:tblLayout w:type="fixed"/>
        <w:tblCellMar>
          <w:top w:w="0" w:type="dxa"/>
          <w:left w:w="0" w:type="dxa"/>
          <w:bottom w:w="0" w:type="dxa"/>
          <w:right w:w="0" w:type="dxa"/>
        </w:tblCellMar>
        <w:tblLook w:val="01E0"/>
      </w:tblPr>
      <w:tblGrid>
        <w:gridCol w:w="591"/>
        <w:gridCol w:w="991"/>
        <w:gridCol w:w="427"/>
        <w:gridCol w:w="283"/>
        <w:gridCol w:w="283"/>
        <w:gridCol w:w="1702"/>
        <w:gridCol w:w="1558"/>
        <w:gridCol w:w="994"/>
        <w:gridCol w:w="991"/>
        <w:gridCol w:w="709"/>
        <w:gridCol w:w="569"/>
        <w:gridCol w:w="922"/>
      </w:tblGrid>
      <w:tr>
        <w:trPr>
          <w:trHeight w:val="404" w:hRule="exact"/>
        </w:trPr>
        <w:tc>
          <w:tcPr>
            <w:tcW w:w="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20,844,621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20,844,621</w:t>
            </w:r>
          </w:p>
        </w:tc>
      </w:tr>
    </w:tbl>
    <w:p>
      <w:pPr>
        <w:spacing w:line="240" w:lineRule="auto" w:before="1"/>
        <w:rPr>
          <w:rFonts w:ascii="宋体" w:hAnsi="宋体" w:cs="宋体" w:eastAsia="宋体" w:hint="default"/>
          <w:b/>
          <w:bCs/>
          <w:sz w:val="18"/>
          <w:szCs w:val="18"/>
        </w:rPr>
      </w:pPr>
    </w:p>
    <w:p>
      <w:pPr>
        <w:pStyle w:val="Heading2"/>
        <w:spacing w:line="240" w:lineRule="auto" w:before="26"/>
        <w:ind w:left="292" w:right="1123"/>
        <w:jc w:val="left"/>
        <w:rPr>
          <w:b w:val="0"/>
          <w:bCs w:val="0"/>
        </w:rPr>
      </w:pPr>
      <w:r>
        <w:rPr/>
        <w:t>二、公司董事、监事、高级管理人员变动情况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92"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before="44"/>
        <w:ind w:left="0" w:right="996"/>
        <w:jc w:val="right"/>
      </w:pPr>
      <w:r>
        <w:rPr/>
        <w:pict>
          <v:shape style="position:absolute;margin-left:52.799999pt;margin-top:-96.758293pt;width:489.85pt;height:341.9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08"/>
                    <w:gridCol w:w="1066"/>
                    <w:gridCol w:w="636"/>
                    <w:gridCol w:w="1561"/>
                    <w:gridCol w:w="5811"/>
                  </w:tblGrid>
                  <w:tr>
                    <w:trPr>
                      <w:trHeight w:val="401"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杨海洲</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因公司战略发展需要辞去公司董事及薪酬与考核委员会相应职务，辞职后 不再担任公司任何职务。</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陈 </w:t>
                        </w:r>
                        <w:r>
                          <w:rPr>
                            <w:rFonts w:ascii="宋体" w:hAnsi="宋体" w:cs="宋体" w:eastAsia="宋体" w:hint="default"/>
                            <w:spacing w:val="2"/>
                            <w:sz w:val="18"/>
                            <w:szCs w:val="18"/>
                          </w:rPr>
                          <w:t> </w:t>
                        </w:r>
                        <w:r>
                          <w:rPr>
                            <w:rFonts w:ascii="宋体" w:hAnsi="宋体" w:cs="宋体" w:eastAsia="宋体" w:hint="default"/>
                            <w:sz w:val="18"/>
                            <w:szCs w:val="18"/>
                          </w:rPr>
                          <w:t>荣</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日召开的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年度股东大会选举陈荣为公司董事。</w:t>
                        </w:r>
                      </w:p>
                    </w:tc>
                  </w:tr>
                  <w:tr>
                    <w:trPr>
                      <w:trHeight w:val="40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诸 </w:t>
                        </w:r>
                        <w:r>
                          <w:rPr>
                            <w:rFonts w:ascii="宋体" w:hAnsi="宋体" w:cs="宋体" w:eastAsia="宋体" w:hint="default"/>
                            <w:spacing w:val="2"/>
                            <w:sz w:val="18"/>
                            <w:szCs w:val="18"/>
                          </w:rPr>
                          <w:t> </w:t>
                        </w:r>
                        <w:r>
                          <w:rPr>
                            <w:rFonts w:ascii="宋体" w:hAnsi="宋体" w:cs="宋体" w:eastAsia="宋体" w:hint="default"/>
                            <w:sz w:val="18"/>
                            <w:szCs w:val="18"/>
                          </w:rPr>
                          <w:t>岗</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日召开的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年度股东大会选举诸岗为公司监事。</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肖勋勇</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年度股东大会选举肖勋勇为公司监事</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韩 </w:t>
                        </w:r>
                        <w:r>
                          <w:rPr>
                            <w:rFonts w:ascii="宋体" w:hAnsi="宋体" w:cs="宋体" w:eastAsia="宋体" w:hint="default"/>
                            <w:spacing w:val="2"/>
                            <w:sz w:val="18"/>
                            <w:szCs w:val="18"/>
                          </w:rPr>
                          <w:t> </w:t>
                        </w:r>
                        <w:r>
                          <w:rPr>
                            <w:rFonts w:ascii="宋体" w:hAnsi="宋体" w:cs="宋体" w:eastAsia="宋体" w:hint="default"/>
                            <w:sz w:val="18"/>
                            <w:szCs w:val="18"/>
                          </w:rPr>
                          <w:t>莹</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聘任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04"/>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日召开的第五届董事会第十二次（临时）会议聘任 韩莹为公司副总经理。</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钟 </w:t>
                        </w:r>
                        <w:r>
                          <w:rPr>
                            <w:rFonts w:ascii="宋体" w:hAnsi="宋体" w:cs="宋体" w:eastAsia="宋体" w:hint="default"/>
                            <w:spacing w:val="2"/>
                            <w:sz w:val="18"/>
                            <w:szCs w:val="18"/>
                          </w:rPr>
                          <w:t> </w:t>
                        </w:r>
                        <w:r>
                          <w:rPr>
                            <w:rFonts w:ascii="宋体" w:hAnsi="宋体" w:cs="宋体" w:eastAsia="宋体" w:hint="default"/>
                            <w:sz w:val="18"/>
                            <w:szCs w:val="18"/>
                          </w:rPr>
                          <w:t>勇</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聘任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04"/>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日召开的第五届董事会第四次会议聘任钟勇为公司 董事会秘书。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任 </w:t>
                        </w:r>
                        <w:r>
                          <w:rPr>
                            <w:rFonts w:ascii="宋体" w:hAnsi="宋体" w:cs="宋体" w:eastAsia="宋体" w:hint="default"/>
                            <w:spacing w:val="2"/>
                            <w:sz w:val="18"/>
                            <w:szCs w:val="18"/>
                          </w:rPr>
                          <w:t> </w:t>
                        </w:r>
                        <w:r>
                          <w:rPr>
                            <w:rFonts w:ascii="宋体" w:hAnsi="宋体" w:cs="宋体" w:eastAsia="宋体" w:hint="default"/>
                            <w:sz w:val="18"/>
                            <w:szCs w:val="18"/>
                          </w:rPr>
                          <w:t>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因个人原因辞去公司董事会秘书职务，辞职后不再担任公司任何职务。</w:t>
                        </w:r>
                      </w:p>
                    </w:tc>
                  </w:tr>
                  <w:tr>
                    <w:trPr>
                      <w:trHeight w:val="133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祝立新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日，祝立新因个人原因辞去公司监事会主席及监事职务， 辞职后将不再担任公司任何职务。由于其辞职导致公司监事会人数低于法 定最低人数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人，故其辞职自公司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 东大会选举产生新任监事填补其缺额后生效。</w:t>
                        </w:r>
                      </w:p>
                    </w:tc>
                  </w:tr>
                  <w:tr>
                    <w:trPr>
                      <w:trHeight w:val="1339"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莫东成</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日，莫东成因工作变动原因辞去公司监事职务，辞职后将 不再担任公司任何职务。由于其辞职导致公司监事会人数低于法定最低人 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人，故其辞职自公司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日召开的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年度股东大会选 举产生新任监事填补其缺额后生效。</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left="292" w:right="0"/>
        <w:jc w:val="both"/>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92" w:right="0"/>
        <w:jc w:val="both"/>
      </w:pPr>
      <w:r>
        <w:rPr/>
        <w:t>公司现任董事、监事、高级管理人员专业背景、主要工作经历以及目前在公司的主要职责</w:t>
      </w:r>
    </w:p>
    <w:p>
      <w:pPr>
        <w:pStyle w:val="BodyText"/>
        <w:spacing w:line="340" w:lineRule="auto" w:before="115"/>
        <w:ind w:left="653" w:right="1123"/>
        <w:jc w:val="left"/>
      </w:pPr>
      <w:r>
        <w:rPr>
          <w:rFonts w:ascii="Times New Roman" w:hAnsi="Times New Roman" w:cs="Times New Roman" w:eastAsia="Times New Roman" w:hint="default"/>
        </w:rPr>
        <w:t>1</w:t>
      </w:r>
      <w:r>
        <w:rPr/>
        <w:t>、第五届董事会成员 黄跃珍，中国国籍，</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9</w:t>
      </w:r>
      <w:r>
        <w:rPr/>
        <w:t>月出生，研究生学历，工商管理硕士。曾任广东省现代信息服务行业协会秘书长，无线电</w:t>
      </w:r>
    </w:p>
    <w:p>
      <w:pPr>
        <w:pStyle w:val="BodyText"/>
        <w:spacing w:line="215" w:lineRule="exact"/>
        <w:ind w:left="292" w:right="0"/>
        <w:jc w:val="both"/>
      </w:pPr>
      <w:r>
        <w:rPr/>
        <w:t>集团总裁助理兼技术管理部部长、副总裁，广电城市服务董事长，平云资本、广电国际商贸、海格通信董事，广电研究院董</w:t>
      </w:r>
    </w:p>
    <w:p>
      <w:pPr>
        <w:pStyle w:val="BodyText"/>
        <w:spacing w:line="360" w:lineRule="auto" w:before="76"/>
        <w:ind w:left="653" w:right="1123" w:hanging="361"/>
        <w:jc w:val="left"/>
      </w:pPr>
      <w:r>
        <w:rPr/>
        <w:t>事、总经理。现任公司党委书记、董事长，无线电集团党委副书记、副董事长、总经理，广电计量董事长。 </w:t>
      </w:r>
      <w:r>
        <w:rPr>
          <w:spacing w:val="-2"/>
        </w:rPr>
        <w:t>叶子瑜，中国国籍，</w:t>
      </w:r>
      <w:r>
        <w:rPr>
          <w:rFonts w:ascii="Times New Roman" w:hAnsi="Times New Roman" w:cs="Times New Roman" w:eastAsia="Times New Roman" w:hint="default"/>
          <w:spacing w:val="-2"/>
        </w:rPr>
        <w:t>1963</w:t>
      </w:r>
      <w:r>
        <w:rPr>
          <w:spacing w:val="-2"/>
        </w:rPr>
        <w:t>年</w:t>
      </w:r>
      <w:r>
        <w:rPr>
          <w:rFonts w:ascii="Times New Roman" w:hAnsi="Times New Roman" w:cs="Times New Roman" w:eastAsia="Times New Roman" w:hint="default"/>
          <w:spacing w:val="-2"/>
        </w:rPr>
        <w:t>6</w:t>
      </w:r>
      <w:r>
        <w:rPr>
          <w:spacing w:val="-2"/>
        </w:rPr>
        <w:t>月出生，研究生学历，高级工程师。曾任国营</w:t>
      </w:r>
      <w:r>
        <w:rPr>
          <w:rFonts w:ascii="Times New Roman" w:hAnsi="Times New Roman" w:cs="Times New Roman" w:eastAsia="Times New Roman" w:hint="default"/>
          <w:spacing w:val="-2"/>
        </w:rPr>
        <w:t>750</w:t>
      </w:r>
      <w:r>
        <w:rPr>
          <w:spacing w:val="-2"/>
        </w:rPr>
        <w:t>厂技术工艺科助理工程师，海华电子企业</w:t>
      </w:r>
    </w:p>
    <w:p>
      <w:pPr>
        <w:pStyle w:val="BodyText"/>
        <w:spacing w:line="199" w:lineRule="exact"/>
        <w:ind w:left="292" w:right="0"/>
        <w:jc w:val="both"/>
      </w:pPr>
      <w:r>
        <w:rPr/>
        <w:t>（中国）有限公司工程师、高级工程师、拓展部经理、总工程师，广州科苑电子有限公司副总经理，广州无线电集团军工通</w:t>
      </w:r>
    </w:p>
    <w:p>
      <w:pPr>
        <w:pStyle w:val="BodyText"/>
        <w:spacing w:line="316" w:lineRule="auto" w:before="76"/>
        <w:ind w:left="292" w:right="1130"/>
        <w:jc w:val="both"/>
      </w:pPr>
      <w:r>
        <w:rPr>
          <w:spacing w:val="-2"/>
        </w:rPr>
        <w:t>讯总公司总工程师，广电运通副总经理，支点投资总经理，创自技术、汇通金融、龙源环保、广州穗通、运通信息、中智融</w:t>
      </w:r>
      <w:r>
        <w:rPr>
          <w:spacing w:val="-65"/>
        </w:rPr>
        <w:t> </w:t>
      </w:r>
      <w:r>
        <w:rPr>
          <w:spacing w:val="-65"/>
        </w:rPr>
      </w:r>
      <w:r>
        <w:rPr>
          <w:spacing w:val="-2"/>
        </w:rPr>
        <w:t>通董事长。现任公司董事、总经理，广州银通、广电汇通、运通国际、运通智能、支点创投董事长，广百小额贷、广电研究</w:t>
      </w:r>
      <w:r>
        <w:rPr>
          <w:spacing w:val="-70"/>
        </w:rPr>
        <w:t> </w:t>
      </w:r>
      <w:r>
        <w:rPr>
          <w:spacing w:val="-70"/>
        </w:rPr>
      </w:r>
      <w:r>
        <w:rPr/>
        <w:t>院董事。</w:t>
      </w:r>
    </w:p>
    <w:p>
      <w:pPr>
        <w:pStyle w:val="BodyText"/>
        <w:spacing w:line="312" w:lineRule="auto" w:before="57"/>
        <w:ind w:left="292" w:right="1131" w:firstLine="360"/>
        <w:jc w:val="both"/>
      </w:pPr>
      <w:r>
        <w:rPr/>
        <w:t>杨文峰，中国国籍，</w:t>
      </w:r>
      <w:r>
        <w:rPr>
          <w:rFonts w:ascii="Times New Roman" w:hAnsi="Times New Roman" w:cs="Times New Roman" w:eastAsia="Times New Roman" w:hint="default"/>
        </w:rPr>
        <w:t>1978</w:t>
      </w:r>
      <w:r>
        <w:rPr/>
        <w:t>年</w:t>
      </w:r>
      <w:r>
        <w:rPr>
          <w:rFonts w:ascii="Times New Roman" w:hAnsi="Times New Roman" w:cs="Times New Roman" w:eastAsia="Times New Roman" w:hint="default"/>
        </w:rPr>
        <w:t>9</w:t>
      </w:r>
      <w:r>
        <w:rPr/>
        <w:t>月出生，研究生学历，技术经济及管理硕士学位。曾任湖南富兴集团有限公司投资经理， </w:t>
      </w:r>
      <w:r>
        <w:rPr>
          <w:spacing w:val="-2"/>
        </w:rPr>
        <w:t>深圳江铜南方总公司投资经理，金蝶软件集团有限公司投资发展总监，无线电集团高级投资经理、投资发展部副部长、资产</w:t>
      </w:r>
      <w:r>
        <w:rPr>
          <w:spacing w:val="-64"/>
        </w:rPr>
        <w:t> </w:t>
      </w:r>
      <w:r>
        <w:rPr>
          <w:spacing w:val="-64"/>
        </w:rPr>
      </w:r>
      <w:r>
        <w:rPr>
          <w:spacing w:val="-2"/>
        </w:rPr>
        <w:t>运营管理部副部长，平云资本董事、董事会秘书。现任公司董事，无线电集团董事会秘书、资产运营管理部部长、董事会办</w:t>
      </w:r>
      <w:r>
        <w:rPr>
          <w:spacing w:val="-66"/>
        </w:rPr>
        <w:t> </w:t>
      </w:r>
      <w:r>
        <w:rPr>
          <w:spacing w:val="-66"/>
        </w:rPr>
      </w:r>
      <w:r>
        <w:rPr>
          <w:spacing w:val="-2"/>
        </w:rPr>
        <w:t>公室主任，海格通信、广电城市服务、广州广电新兴产业园投资有限公司、广电智能、广州广哈通信股份有限公司、盈富泰</w:t>
      </w:r>
    </w:p>
    <w:p>
      <w:pPr>
        <w:spacing w:after="0" w:line="312" w:lineRule="auto"/>
        <w:jc w:val="both"/>
        <w:sectPr>
          <w:pgSz w:w="11910" w:h="16840"/>
          <w:pgMar w:header="877" w:footer="979" w:top="1100" w:bottom="1160" w:left="840" w:right="0"/>
        </w:sectPr>
      </w:pPr>
    </w:p>
    <w:p>
      <w:pPr>
        <w:spacing w:line="240" w:lineRule="auto" w:before="11"/>
        <w:rPr>
          <w:rFonts w:ascii="宋体" w:hAnsi="宋体" w:cs="宋体" w:eastAsia="宋体" w:hint="default"/>
          <w:sz w:val="21"/>
          <w:szCs w:val="21"/>
        </w:rPr>
      </w:pPr>
    </w:p>
    <w:p>
      <w:pPr>
        <w:pStyle w:val="BodyText"/>
        <w:spacing w:line="360" w:lineRule="auto" w:before="44"/>
        <w:ind w:left="513" w:right="1123" w:hanging="361"/>
        <w:jc w:val="left"/>
      </w:pPr>
      <w:r>
        <w:rPr/>
        <w:t>克创业投资有限公司董事。 陈荣，中国国籍，</w:t>
      </w:r>
      <w:r>
        <w:rPr>
          <w:rFonts w:ascii="Times New Roman" w:hAnsi="Times New Roman" w:cs="Times New Roman" w:eastAsia="Times New Roman" w:hint="default"/>
        </w:rPr>
        <w:t>1986</w:t>
      </w:r>
      <w:r>
        <w:rPr/>
        <w:t>年</w:t>
      </w:r>
      <w:r>
        <w:rPr>
          <w:rFonts w:ascii="Times New Roman" w:hAnsi="Times New Roman" w:cs="Times New Roman" w:eastAsia="Times New Roman" w:hint="default"/>
        </w:rPr>
        <w:t>1</w:t>
      </w:r>
      <w:r>
        <w:rPr/>
        <w:t>月出生，本科学历，审计师。曾任广州无线电集团有限公司财务会计部总账报表组主管、财</w:t>
      </w:r>
    </w:p>
    <w:p>
      <w:pPr>
        <w:pStyle w:val="BodyText"/>
        <w:spacing w:line="199" w:lineRule="exact"/>
        <w:ind w:right="0"/>
        <w:jc w:val="left"/>
      </w:pPr>
      <w:r>
        <w:rPr/>
        <w:t>务会计部部长助理、财务会计部副部长。现任公司董事，无线电集团财务会计部部长，广电研究院、广电城市服务、广电国</w:t>
      </w:r>
    </w:p>
    <w:p>
      <w:pPr>
        <w:pStyle w:val="BodyText"/>
        <w:spacing w:line="357" w:lineRule="auto" w:before="76"/>
        <w:ind w:left="513" w:right="1123" w:hanging="361"/>
        <w:jc w:val="left"/>
      </w:pPr>
      <w:r>
        <w:rPr/>
        <w:t>际商贸、平云资本董事，广州广电新兴产业园投资有限公司监事。 陈建良，中国国籍，</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9</w:t>
      </w:r>
      <w:r>
        <w:rPr/>
        <w:t>月出生，研究生学历，工程师。曾任广州无线电厂电视机分厂结构设计师、设计室主任和</w:t>
      </w:r>
    </w:p>
    <w:p>
      <w:pPr>
        <w:pStyle w:val="BodyText"/>
        <w:spacing w:line="201" w:lineRule="exact"/>
        <w:ind w:right="0"/>
        <w:jc w:val="left"/>
      </w:pPr>
      <w:r>
        <w:rPr/>
        <w:t>采购部经理，广电运通结构设计部经理、物料部经理、总经理助理。现任公司党委副书记、董事、常务副总经理，广州穗通</w:t>
      </w:r>
    </w:p>
    <w:p>
      <w:pPr>
        <w:pStyle w:val="BodyText"/>
        <w:spacing w:line="360" w:lineRule="auto" w:before="76"/>
        <w:ind w:left="513" w:right="1034" w:hanging="361"/>
        <w:jc w:val="left"/>
      </w:pPr>
      <w:r>
        <w:rPr/>
        <w:t>董事长，广州银通董事、总经理，广电汇通、中智融通、运通信息、运通智能董事。 </w:t>
      </w:r>
      <w:r>
        <w:rPr>
          <w:spacing w:val="-4"/>
        </w:rPr>
        <w:t>罗攀峰，中国国籍，</w:t>
      </w:r>
      <w:r>
        <w:rPr>
          <w:rFonts w:ascii="Times New Roman" w:hAnsi="Times New Roman" w:cs="Times New Roman" w:eastAsia="Times New Roman" w:hint="default"/>
          <w:spacing w:val="-4"/>
        </w:rPr>
        <w:t>1976</w:t>
      </w:r>
      <w:r>
        <w:rPr>
          <w:spacing w:val="-4"/>
        </w:rPr>
        <w:t>年</w:t>
      </w:r>
      <w:r>
        <w:rPr>
          <w:rFonts w:ascii="Times New Roman" w:hAnsi="Times New Roman" w:cs="Times New Roman" w:eastAsia="Times New Roman" w:hint="default"/>
          <w:spacing w:val="-4"/>
        </w:rPr>
        <w:t>9</w:t>
      </w:r>
      <w:r>
        <w:rPr>
          <w:spacing w:val="-4"/>
        </w:rPr>
        <w:t>月出生，研究生学历，电子技术高级工程师。曾任公司系统集成部经理、金融市场部经理、</w:t>
      </w:r>
    </w:p>
    <w:p>
      <w:pPr>
        <w:pStyle w:val="BodyText"/>
        <w:spacing w:line="199" w:lineRule="exact"/>
        <w:ind w:right="0"/>
        <w:jc w:val="left"/>
      </w:pPr>
      <w:r>
        <w:rPr/>
        <w:t>市场总监、总经理助理、副总经理，广州穗通、龙源环保董事，中智融通、广电汇通、运通信息、汇通金融总经理。现任公</w:t>
      </w:r>
    </w:p>
    <w:p>
      <w:pPr>
        <w:pStyle w:val="BodyText"/>
        <w:spacing w:line="319" w:lineRule="auto" w:before="76"/>
        <w:ind w:right="1034"/>
        <w:jc w:val="left"/>
      </w:pPr>
      <w:r>
        <w:rPr>
          <w:spacing w:val="-2"/>
        </w:rPr>
        <w:t>司董事、常务副总经理，运通信息、汇通金融、中智融通、中科江南董事长，广州银通、广电汇通、运通智能、支点创投董</w:t>
      </w:r>
      <w:r>
        <w:rPr>
          <w:spacing w:val="-70"/>
        </w:rPr>
        <w:t> </w:t>
      </w:r>
      <w:r>
        <w:rPr>
          <w:spacing w:val="-70"/>
        </w:rPr>
      </w:r>
      <w:r>
        <w:rPr/>
        <w:t>事。</w:t>
      </w:r>
    </w:p>
    <w:p>
      <w:pPr>
        <w:pStyle w:val="BodyText"/>
        <w:spacing w:line="314" w:lineRule="auto" w:before="58"/>
        <w:ind w:right="1034" w:firstLine="360"/>
        <w:jc w:val="left"/>
      </w:pPr>
      <w:r>
        <w:rPr/>
        <w:t>朱桂龙，中国国籍，</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11</w:t>
      </w:r>
      <w:r>
        <w:rPr/>
        <w:t>月出生，博士学历，教授，博士生导师，取得深圳证券交易所授予的独立董事资格证书。 </w:t>
      </w:r>
      <w:r>
        <w:rPr>
          <w:spacing w:val="-2"/>
        </w:rPr>
        <w:t>曾任华南理工大学工商管理学院副院长、院长，中国系统工程学会副理事长，广州东凌粮油股份有限公司、广东银禧科技股</w:t>
      </w:r>
      <w:r>
        <w:rPr>
          <w:spacing w:val="-62"/>
        </w:rPr>
        <w:t> </w:t>
      </w:r>
      <w:r>
        <w:rPr>
          <w:spacing w:val="-62"/>
        </w:rPr>
      </w:r>
      <w:r>
        <w:rPr>
          <w:spacing w:val="-2"/>
        </w:rPr>
        <w:t>份有限公司、广州白云山制药股份有限公司、广东大华农动物保健品股份有限公司、广州毅昌科技股份有限公司、广东顺钠</w:t>
      </w:r>
      <w:r>
        <w:rPr>
          <w:spacing w:val="-65"/>
        </w:rPr>
        <w:t> </w:t>
      </w:r>
      <w:r>
        <w:rPr>
          <w:spacing w:val="-65"/>
        </w:rPr>
      </w:r>
      <w:r>
        <w:rPr>
          <w:spacing w:val="-2"/>
        </w:rPr>
        <w:t>电气股份有限公司、美的集团股份有限公司、江苏赛福天钢索股份有限公司独立董事。现任公司独立董事，华南理工大学工</w:t>
      </w:r>
      <w:r>
        <w:rPr>
          <w:spacing w:val="-65"/>
        </w:rPr>
        <w:t> </w:t>
      </w:r>
      <w:r>
        <w:rPr>
          <w:spacing w:val="-65"/>
        </w:rPr>
      </w:r>
      <w:r>
        <w:rPr>
          <w:spacing w:val="-2"/>
        </w:rPr>
        <w:t>商管理学院教授、博士生导师，兼任广东省技术经济和管理现代化研究会副会长，广东省经济学会副会长，中国南玻集团股</w:t>
      </w:r>
      <w:r>
        <w:rPr>
          <w:spacing w:val="-65"/>
        </w:rPr>
        <w:t> </w:t>
      </w:r>
      <w:r>
        <w:rPr>
          <w:spacing w:val="-65"/>
        </w:rPr>
      </w:r>
      <w:r>
        <w:rPr/>
        <w:t>份有限公司、广州金域医学检验集团股份有限公司独立董事。</w:t>
      </w:r>
    </w:p>
    <w:p>
      <w:pPr>
        <w:pStyle w:val="BodyText"/>
        <w:spacing w:line="309" w:lineRule="auto" w:before="59"/>
        <w:ind w:right="1133" w:firstLine="360"/>
        <w:jc w:val="both"/>
      </w:pPr>
      <w:r>
        <w:rPr/>
        <w:t>杨闰，中国国籍，</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8</w:t>
      </w:r>
      <w:r>
        <w:rPr/>
        <w:t>月出生，研究生学历，律师，取得深圳证券交易所授予的独立董事资格证书。曾任广东广大 </w:t>
      </w:r>
      <w:r>
        <w:rPr>
          <w:spacing w:val="-2"/>
        </w:rPr>
        <w:t>律师事务所律师，广东天禾农资股份有限公司独立董事。现任公司独立董事，北京德恒（广州）律师事务所律师，仙乐健康</w:t>
      </w:r>
      <w:r>
        <w:rPr>
          <w:spacing w:val="-67"/>
        </w:rPr>
        <w:t> </w:t>
      </w:r>
      <w:r>
        <w:rPr>
          <w:spacing w:val="-67"/>
        </w:rPr>
      </w:r>
      <w:r>
        <w:rPr/>
        <w:t>科技股份有限公司独立董事。</w:t>
      </w:r>
    </w:p>
    <w:p>
      <w:pPr>
        <w:pStyle w:val="BodyText"/>
        <w:spacing w:line="314" w:lineRule="auto" w:before="65"/>
        <w:ind w:right="1034" w:firstLine="360"/>
        <w:jc w:val="left"/>
      </w:pPr>
      <w:r>
        <w:rPr/>
        <w:t>邢良文，中国国籍，</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9</w:t>
      </w:r>
      <w:r>
        <w:rPr/>
        <w:t>月出生，本科学历，中国注册会计师〔资深会员（执业）〕、中国注册税务师、中国注册 资产评估师，会计师、审计师，取得深圳证券交易所授予的独立董事资格证书。曾任广州市黄埔会计师事务所业务部经理，</w:t>
      </w:r>
      <w:r>
        <w:rPr>
          <w:spacing w:val="-86"/>
        </w:rPr>
        <w:t> </w:t>
      </w:r>
      <w:r>
        <w:rPr>
          <w:spacing w:val="-86"/>
        </w:rPr>
      </w:r>
      <w:r>
        <w:rPr>
          <w:spacing w:val="-2"/>
        </w:rPr>
        <w:t>广东省审计厅第六届特约审计员。现任公司独立董事，广东丰衡会计师事务所有限公司主任会计师，广州丰衡税务师事务所</w:t>
      </w:r>
      <w:r>
        <w:rPr>
          <w:spacing w:val="-66"/>
        </w:rPr>
        <w:t> </w:t>
      </w:r>
      <w:r>
        <w:rPr>
          <w:spacing w:val="-66"/>
        </w:rPr>
      </w:r>
      <w:r>
        <w:rPr>
          <w:spacing w:val="-2"/>
        </w:rPr>
        <w:t>有限公司总经理，广东省审计厅第七届特约审计员，广州市社会保险监督委员会委员，广州港集团有限公司外部董事，广东</w:t>
      </w:r>
      <w:r>
        <w:rPr>
          <w:spacing w:val="-64"/>
        </w:rPr>
        <w:t> </w:t>
      </w:r>
      <w:r>
        <w:rPr>
          <w:spacing w:val="-64"/>
        </w:rPr>
      </w:r>
      <w:r>
        <w:rPr/>
        <w:t>省注册会计师协会理事、审查委员会委员，广州注册会计师协会常务理事、诚信委员会委员、行业工会副主席。</w:t>
      </w:r>
    </w:p>
    <w:p>
      <w:pPr>
        <w:pStyle w:val="BodyText"/>
        <w:spacing w:line="338" w:lineRule="auto" w:before="61"/>
        <w:ind w:left="513" w:right="1123"/>
        <w:jc w:val="left"/>
      </w:pPr>
      <w:r>
        <w:rPr>
          <w:rFonts w:ascii="Times New Roman" w:hAnsi="Times New Roman" w:cs="Times New Roman" w:eastAsia="Times New Roman" w:hint="default"/>
        </w:rPr>
        <w:t>2</w:t>
      </w:r>
      <w:r>
        <w:rPr/>
        <w:t>、第五届监事会成员 诸岗，中国国籍，</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8</w:t>
      </w:r>
      <w:r>
        <w:rPr/>
        <w:t>月出生，研究生学历，经济师、税务师。曾任广州恒大地产集团有限公司经营副总监，广东</w:t>
      </w:r>
    </w:p>
    <w:p>
      <w:pPr>
        <w:pStyle w:val="BodyText"/>
        <w:spacing w:line="217" w:lineRule="exact"/>
        <w:ind w:right="0"/>
        <w:jc w:val="left"/>
      </w:pPr>
      <w:r>
        <w:rPr/>
        <w:t>溢达纺织有限公司高级财务经理，韶关市住宅建筑工程有限公司财务总监。现任公司监事会主席，广州无线电集团有限公司</w:t>
      </w:r>
    </w:p>
    <w:p>
      <w:pPr>
        <w:pStyle w:val="BodyText"/>
        <w:spacing w:line="360" w:lineRule="auto" w:before="76"/>
        <w:ind w:left="513" w:right="1034" w:hanging="361"/>
        <w:jc w:val="left"/>
      </w:pPr>
      <w:r>
        <w:rPr/>
        <w:t>审计部部长，平云资本、广电国际商贸董事，海格通信、广电智能、广州信息投资有限公司监事。 </w:t>
      </w:r>
      <w:r>
        <w:rPr>
          <w:spacing w:val="-2"/>
        </w:rPr>
        <w:t>肖勋勇，中国国籍，</w:t>
      </w:r>
      <w:r>
        <w:rPr>
          <w:rFonts w:ascii="Times New Roman" w:hAnsi="Times New Roman" w:cs="Times New Roman" w:eastAsia="Times New Roman" w:hint="default"/>
          <w:spacing w:val="-2"/>
        </w:rPr>
        <w:t>1970</w:t>
      </w:r>
      <w:r>
        <w:rPr>
          <w:spacing w:val="-2"/>
        </w:rPr>
        <w:t>年</w:t>
      </w:r>
      <w:r>
        <w:rPr>
          <w:rFonts w:ascii="Times New Roman" w:hAnsi="Times New Roman" w:cs="Times New Roman" w:eastAsia="Times New Roman" w:hint="default"/>
          <w:spacing w:val="-2"/>
        </w:rPr>
        <w:t>12</w:t>
      </w:r>
      <w:r>
        <w:rPr>
          <w:spacing w:val="-2"/>
        </w:rPr>
        <w:t>月出生，博士研究生，高级经济师。曾任美的集团股份有限公司企划投资经理，广州无线</w:t>
      </w:r>
    </w:p>
    <w:p>
      <w:pPr>
        <w:pStyle w:val="BodyText"/>
        <w:spacing w:line="199" w:lineRule="exact"/>
        <w:ind w:right="0"/>
        <w:jc w:val="left"/>
      </w:pPr>
      <w:r>
        <w:rPr/>
        <w:t>电集团有限公司投资发展部副部长，广电运通董事、总经理助理，汇通金融董事。现任公司监事，无线电集团投资发展部部</w:t>
      </w:r>
    </w:p>
    <w:p>
      <w:pPr>
        <w:pStyle w:val="BodyText"/>
        <w:spacing w:line="360" w:lineRule="auto" w:before="77"/>
        <w:ind w:left="513" w:right="1034" w:hanging="361"/>
        <w:jc w:val="left"/>
      </w:pPr>
      <w:r>
        <w:rPr/>
        <w:t>长，平云资本董事、总经理，广电国际商贸董事长，海格通信、广州广电新兴产业园投资有限公司、广电智能董事。 </w:t>
      </w:r>
      <w:r>
        <w:rPr>
          <w:spacing w:val="-4"/>
        </w:rPr>
        <w:t>邝建洲，中国国籍，</w:t>
      </w:r>
      <w:r>
        <w:rPr>
          <w:rFonts w:ascii="Times New Roman" w:hAnsi="Times New Roman" w:cs="Times New Roman" w:eastAsia="Times New Roman" w:hint="default"/>
          <w:spacing w:val="-4"/>
        </w:rPr>
        <w:t>1970</w:t>
      </w:r>
      <w:r>
        <w:rPr>
          <w:spacing w:val="-4"/>
        </w:rPr>
        <w:t>年</w:t>
      </w:r>
      <w:r>
        <w:rPr>
          <w:rFonts w:ascii="Times New Roman" w:hAnsi="Times New Roman" w:cs="Times New Roman" w:eastAsia="Times New Roman" w:hint="default"/>
          <w:spacing w:val="-4"/>
        </w:rPr>
        <w:t>7</w:t>
      </w:r>
      <w:r>
        <w:rPr>
          <w:spacing w:val="-4"/>
        </w:rPr>
        <w:t>月出生，本科学历。曾任广州无线电集团有限公司电子一厂财务主管，公司财务部副经理，</w:t>
      </w:r>
    </w:p>
    <w:p>
      <w:pPr>
        <w:pStyle w:val="BodyText"/>
        <w:spacing w:line="199" w:lineRule="exact"/>
        <w:ind w:right="1034"/>
        <w:jc w:val="left"/>
      </w:pPr>
      <w:r>
        <w:rPr>
          <w:spacing w:val="-5"/>
        </w:rPr>
        <w:t>现任公司纪委书记、职工代表监事、监察审计总监，汇通金融监事会主席，支点创投、运通信息、运通智能、龙源环保监事。</w:t>
      </w:r>
    </w:p>
    <w:p>
      <w:pPr>
        <w:pStyle w:val="BodyText"/>
        <w:spacing w:line="338" w:lineRule="auto" w:before="115"/>
        <w:ind w:left="513" w:right="2923"/>
        <w:jc w:val="left"/>
      </w:pPr>
      <w:r>
        <w:rPr>
          <w:rFonts w:ascii="Times New Roman" w:hAnsi="Times New Roman" w:cs="Times New Roman" w:eastAsia="Times New Roman" w:hint="default"/>
        </w:rPr>
        <w:t>3</w:t>
      </w:r>
      <w:r>
        <w:rPr/>
        <w:t>、高级管理人员 叶子瑜，本公司总经理，简历参阅本年度报告“第八节、三、</w:t>
      </w:r>
      <w:r>
        <w:rPr>
          <w:rFonts w:ascii="Times New Roman" w:hAnsi="Times New Roman" w:cs="Times New Roman" w:eastAsia="Times New Roman" w:hint="default"/>
        </w:rPr>
        <w:t>1</w:t>
      </w:r>
      <w:r>
        <w:rPr/>
        <w:t>、第五届董事会成员”。 陈建良，本公司常务副总经理，简历参阅本年度报告“第八节、三、</w:t>
      </w:r>
      <w:r>
        <w:rPr>
          <w:rFonts w:ascii="Times New Roman" w:hAnsi="Times New Roman" w:cs="Times New Roman" w:eastAsia="Times New Roman" w:hint="default"/>
        </w:rPr>
        <w:t>1</w:t>
      </w:r>
      <w:r>
        <w:rPr/>
        <w:t>、第五届董事会成员”。 罗攀峰，本公司常务副总经理，简历参阅本年度报告“第八节、三、</w:t>
      </w:r>
      <w:r>
        <w:rPr>
          <w:rFonts w:ascii="Times New Roman" w:hAnsi="Times New Roman" w:cs="Times New Roman" w:eastAsia="Times New Roman" w:hint="default"/>
        </w:rPr>
        <w:t>1</w:t>
      </w:r>
      <w:r>
        <w:rPr/>
        <w:t>、第五届董事会成员”。</w:t>
      </w:r>
    </w:p>
    <w:p>
      <w:pPr>
        <w:pStyle w:val="BodyText"/>
        <w:spacing w:line="312" w:lineRule="auto" w:before="22"/>
        <w:ind w:right="1130" w:firstLine="360"/>
        <w:jc w:val="both"/>
      </w:pPr>
      <w:r>
        <w:rPr/>
        <w:t>李叶东，中国国籍，</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9</w:t>
      </w:r>
      <w:r>
        <w:rPr/>
        <w:t>月出生，研究生学历。曾任合肥天鹅空调器科技有限公司助理工程师，东莞大同机械有限 </w:t>
      </w:r>
      <w:r>
        <w:rPr>
          <w:spacing w:val="-2"/>
        </w:rPr>
        <w:t>公司工程部副经理，顺德科达自动化有限公司项目主管，广州神通电信科技有限公司工程师，广电运通硬件工程师、硬件开</w:t>
      </w:r>
      <w:r>
        <w:rPr>
          <w:spacing w:val="-64"/>
        </w:rPr>
        <w:t> </w:t>
      </w:r>
      <w:r>
        <w:rPr>
          <w:spacing w:val="-64"/>
        </w:rPr>
      </w:r>
      <w:r>
        <w:rPr>
          <w:spacing w:val="-2"/>
        </w:rPr>
        <w:t>发部模块组主任、海外客户服务部副经理、经理、总经理助理。现任公司副总经理，运通国际董事、总经理，广州银通、中</w:t>
      </w:r>
      <w:r>
        <w:rPr>
          <w:spacing w:val="-65"/>
        </w:rPr>
        <w:t> </w:t>
      </w:r>
      <w:r>
        <w:rPr>
          <w:spacing w:val="-65"/>
        </w:rPr>
      </w:r>
      <w:r>
        <w:rPr/>
        <w:t>智融通、运通信息董事。</w:t>
      </w:r>
    </w:p>
    <w:p>
      <w:pPr>
        <w:spacing w:after="0" w:line="312" w:lineRule="auto"/>
        <w:jc w:val="both"/>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09" w:lineRule="auto" w:before="44"/>
        <w:ind w:right="1034" w:firstLine="360"/>
        <w:jc w:val="left"/>
      </w:pPr>
      <w:r>
        <w:rPr/>
        <w:t>魏东，中国国籍，</w:t>
      </w:r>
      <w:r>
        <w:rPr>
          <w:rFonts w:ascii="Times New Roman" w:hAnsi="Times New Roman" w:cs="Times New Roman" w:eastAsia="Times New Roman" w:hint="default"/>
        </w:rPr>
        <w:t>1977</w:t>
      </w:r>
      <w:r>
        <w:rPr/>
        <w:t>年</w:t>
      </w:r>
      <w:r>
        <w:rPr>
          <w:rFonts w:ascii="Times New Roman" w:hAnsi="Times New Roman" w:cs="Times New Roman" w:eastAsia="Times New Roman" w:hint="default"/>
        </w:rPr>
        <w:t>2</w:t>
      </w:r>
      <w:r>
        <w:rPr/>
        <w:t>月出生，研究生学历。曾任公司工业设计部工程师、工业设计部取款机芯组主任、上海研发 中心经理、研究院副总工程师、制造中心生产总监、总经理助理、党委副书记。现任公司副总经理，广电计量、广州银通、</w:t>
      </w:r>
      <w:r>
        <w:rPr>
          <w:spacing w:val="-85"/>
        </w:rPr>
        <w:t> </w:t>
      </w:r>
      <w:r>
        <w:rPr>
          <w:spacing w:val="-85"/>
        </w:rPr>
      </w:r>
      <w:r>
        <w:rPr/>
        <w:t>广电汇通、运通智能、运通信息、中智融通、创自技术、汇通金融、中科江南董事。</w:t>
      </w:r>
    </w:p>
    <w:p>
      <w:pPr>
        <w:pStyle w:val="BodyText"/>
        <w:spacing w:line="314" w:lineRule="auto" w:before="65"/>
        <w:ind w:right="1132" w:firstLine="360"/>
        <w:jc w:val="both"/>
      </w:pPr>
      <w:r>
        <w:rPr>
          <w:spacing w:val="-2"/>
        </w:rPr>
        <w:t>蒋春晨，中国国籍，</w:t>
      </w:r>
      <w:r>
        <w:rPr>
          <w:rFonts w:ascii="Times New Roman" w:hAnsi="Times New Roman" w:cs="Times New Roman" w:eastAsia="Times New Roman" w:hint="default"/>
          <w:spacing w:val="-2"/>
        </w:rPr>
        <w:t>1964</w:t>
      </w:r>
      <w:r>
        <w:rPr>
          <w:spacing w:val="-2"/>
        </w:rPr>
        <w:t>年</w:t>
      </w:r>
      <w:r>
        <w:rPr>
          <w:rFonts w:ascii="Times New Roman" w:hAnsi="Times New Roman" w:cs="Times New Roman" w:eastAsia="Times New Roman" w:hint="default"/>
          <w:spacing w:val="-2"/>
        </w:rPr>
        <w:t>11</w:t>
      </w:r>
      <w:r>
        <w:rPr>
          <w:spacing w:val="-2"/>
        </w:rPr>
        <w:t>月出生，本科学历，会计师，中国注册会计师协会非执业会员。曾任江西电视机厂主办会</w:t>
      </w:r>
      <w:r>
        <w:rPr/>
        <w:t> </w:t>
      </w:r>
      <w:r>
        <w:rPr>
          <w:spacing w:val="-2"/>
        </w:rPr>
        <w:t>计，赣新电视有限公司财务主管，中国人寿保险公司吉安分公司会计师，无线电集团审计师，广电运通财务部经理，广百小</w:t>
      </w:r>
      <w:r>
        <w:rPr>
          <w:spacing w:val="-67"/>
        </w:rPr>
        <w:t> </w:t>
      </w:r>
      <w:r>
        <w:rPr>
          <w:spacing w:val="-67"/>
        </w:rPr>
      </w:r>
      <w:r>
        <w:rPr>
          <w:spacing w:val="-2"/>
        </w:rPr>
        <w:t>额贷、广州市力沛企业管理咨询有限公司、龙源环保、广州穗通监事，创自技术董事，四川汇源光通信股份有限公司独立董</w:t>
      </w:r>
      <w:r>
        <w:rPr>
          <w:spacing w:val="-67"/>
        </w:rPr>
        <w:t> </w:t>
      </w:r>
      <w:r>
        <w:rPr>
          <w:spacing w:val="-67"/>
        </w:rPr>
      </w:r>
      <w:r>
        <w:rPr>
          <w:spacing w:val="-2"/>
        </w:rPr>
        <w:t>事。现任公司副总经理、财务负责人、财务总监，龙源环保董事长，运通信息、支点创投董事，广州银通、广电汇通、中智</w:t>
      </w:r>
      <w:r>
        <w:rPr>
          <w:spacing w:val="-69"/>
        </w:rPr>
        <w:t> </w:t>
      </w:r>
      <w:r>
        <w:rPr>
          <w:spacing w:val="-69"/>
        </w:rPr>
      </w:r>
      <w:r>
        <w:rPr/>
        <w:t>融通监事，广州凡拓数字创意科技股份有限公司、广东顺钠电气股份有限公司独立董事。</w:t>
      </w:r>
    </w:p>
    <w:p>
      <w:pPr>
        <w:pStyle w:val="BodyText"/>
        <w:spacing w:line="309" w:lineRule="auto" w:before="59"/>
        <w:ind w:right="1133" w:firstLine="360"/>
        <w:jc w:val="both"/>
      </w:pPr>
      <w:r>
        <w:rPr/>
        <w:t>解永生，中国国籍，</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5</w:t>
      </w:r>
      <w:r>
        <w:rPr/>
        <w:t>月出生，研究生学历。曾任合肥佳通轮胎有限公司助理工程师，广电运通硬件开发部工程 </w:t>
      </w:r>
      <w:r>
        <w:rPr>
          <w:spacing w:val="-5"/>
        </w:rPr>
        <w:t>师，公司硬件开发部副经理、经理、副总工程师、轨道交通事业部总监、总经理助理；现任公司副总经理，创自技术董事长，</w:t>
      </w:r>
      <w:r>
        <w:rPr>
          <w:spacing w:val="-82"/>
        </w:rPr>
        <w:t> </w:t>
      </w:r>
      <w:r>
        <w:rPr>
          <w:spacing w:val="-82"/>
        </w:rPr>
      </w:r>
      <w:r>
        <w:rPr/>
        <w:t>运通智能董事、总经理。</w:t>
      </w:r>
    </w:p>
    <w:p>
      <w:pPr>
        <w:pStyle w:val="BodyText"/>
        <w:spacing w:line="300" w:lineRule="auto" w:before="65"/>
        <w:ind w:right="1138" w:firstLine="360"/>
        <w:jc w:val="both"/>
      </w:pPr>
      <w:r>
        <w:rPr/>
        <w:t>韩莹，中国国籍，</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6</w:t>
      </w:r>
      <w:r>
        <w:rPr/>
        <w:t>月出生，工学硕士学历。曾任公司制造系统技术总监、总经理助理，现任公司副总经理，中 智融通总经理。</w:t>
      </w:r>
    </w:p>
    <w:p>
      <w:pPr>
        <w:pStyle w:val="BodyText"/>
        <w:spacing w:line="312" w:lineRule="auto" w:before="72"/>
        <w:ind w:right="1129" w:firstLine="360"/>
        <w:jc w:val="both"/>
      </w:pPr>
      <w:r>
        <w:rPr>
          <w:spacing w:val="-2"/>
        </w:rPr>
        <w:t>钟勇，中国国籍，</w:t>
      </w:r>
      <w:r>
        <w:rPr>
          <w:rFonts w:ascii="Times New Roman" w:hAnsi="Times New Roman" w:cs="Times New Roman" w:eastAsia="Times New Roman" w:hint="default"/>
          <w:spacing w:val="-2"/>
        </w:rPr>
        <w:t>1973</w:t>
      </w:r>
      <w:r>
        <w:rPr>
          <w:spacing w:val="-2"/>
        </w:rPr>
        <w:t>年</w:t>
      </w:r>
      <w:r>
        <w:rPr>
          <w:rFonts w:ascii="Times New Roman" w:hAnsi="Times New Roman" w:cs="Times New Roman" w:eastAsia="Times New Roman" w:hint="default"/>
          <w:spacing w:val="-2"/>
        </w:rPr>
        <w:t>10</w:t>
      </w:r>
      <w:r>
        <w:rPr>
          <w:spacing w:val="-2"/>
        </w:rPr>
        <w:t>月出生，本科学历，取得董事会秘书资格证书。曾任北京北大方正电子有限公司长沙分公司</w:t>
      </w:r>
      <w:r>
        <w:rPr/>
        <w:t> </w:t>
      </w:r>
      <w:r>
        <w:rPr>
          <w:spacing w:val="-2"/>
        </w:rPr>
        <w:t>总经理助理、华南区系统集成部总监，北京方正新天地科技有限公司华南区经理，广东开普互联信息技术有限公司联合创始</w:t>
      </w:r>
      <w:r>
        <w:rPr>
          <w:spacing w:val="-62"/>
        </w:rPr>
        <w:t> </w:t>
      </w:r>
      <w:r>
        <w:rPr>
          <w:spacing w:val="-62"/>
        </w:rPr>
      </w:r>
      <w:r>
        <w:rPr>
          <w:spacing w:val="-2"/>
        </w:rPr>
        <w:t>人、副总经理，北京新聚思信息科技有限公司华南区经理，美国易腾迈科技公司中国区渠道总监，北京中科江南信息技术股</w:t>
      </w:r>
      <w:r>
        <w:rPr>
          <w:spacing w:val="-64"/>
        </w:rPr>
        <w:t> </w:t>
      </w:r>
      <w:r>
        <w:rPr>
          <w:spacing w:val="-64"/>
        </w:rPr>
      </w:r>
      <w:r>
        <w:rPr/>
        <w:t>份有限公司董事会秘书、副总经理。现任公司董事会秘书、支点创投总经理。</w:t>
      </w:r>
    </w:p>
    <w:p>
      <w:pPr>
        <w:pStyle w:val="BodyText"/>
        <w:spacing w:line="240" w:lineRule="auto" w:before="61"/>
        <w:ind w:right="1034"/>
        <w:jc w:val="left"/>
      </w:pPr>
      <w:r>
        <w:rPr/>
        <w:t>在股东单位任职情况</w:t>
      </w:r>
    </w:p>
    <w:p>
      <w:pPr>
        <w:pStyle w:val="BodyText"/>
        <w:spacing w:line="240" w:lineRule="auto" w:before="117"/>
        <w:ind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08"/>
        <w:gridCol w:w="994"/>
        <w:gridCol w:w="2693"/>
        <w:gridCol w:w="1844"/>
        <w:gridCol w:w="1561"/>
        <w:gridCol w:w="1771"/>
      </w:tblGrid>
      <w:tr>
        <w:trPr>
          <w:trHeight w:val="754"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8"/>
              <w:ind w:left="79" w:right="77"/>
              <w:jc w:val="left"/>
              <w:rPr>
                <w:rFonts w:ascii="宋体" w:hAnsi="宋体" w:cs="宋体" w:eastAsia="宋体" w:hint="default"/>
                <w:sz w:val="18"/>
                <w:szCs w:val="18"/>
              </w:rPr>
            </w:pPr>
            <w:r>
              <w:rPr>
                <w:rFonts w:ascii="宋体" w:hAnsi="宋体" w:cs="宋体" w:eastAsia="宋体" w:hint="default"/>
                <w:sz w:val="18"/>
                <w:szCs w:val="18"/>
              </w:rPr>
              <w:t>任职人 员姓名</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314" w:right="127" w:hanging="180"/>
              <w:jc w:val="left"/>
              <w:rPr>
                <w:rFonts w:ascii="宋体" w:hAnsi="宋体" w:cs="宋体" w:eastAsia="宋体" w:hint="default"/>
                <w:sz w:val="18"/>
                <w:szCs w:val="18"/>
              </w:rPr>
            </w:pPr>
            <w:r>
              <w:rPr>
                <w:rFonts w:ascii="宋体" w:hAnsi="宋体" w:cs="宋体" w:eastAsia="宋体" w:hint="default"/>
                <w:sz w:val="18"/>
                <w:szCs w:val="18"/>
              </w:rPr>
              <w:t>股东单位 名称</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sz w:val="18"/>
                <w:szCs w:val="18"/>
              </w:rPr>
              <w:t>在股东单位担任的职务</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340" w:right="247"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1" w:hRule="exact"/>
        </w:trPr>
        <w:tc>
          <w:tcPr>
            <w:tcW w:w="708" w:type="dxa"/>
            <w:vMerge w:val="restart"/>
            <w:tcBorders>
              <w:top w:val="single" w:sz="12" w:space="0" w:color="D2D2D2"/>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黄跃珍</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无线电集团</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党委副书记、副董事长、总裁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7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08"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771" w:type="dxa"/>
            <w:vMerge/>
            <w:tcBorders>
              <w:left w:val="single" w:sz="4" w:space="0" w:color="000000"/>
              <w:bottom w:val="single" w:sz="4" w:space="0" w:color="000000"/>
              <w:right w:val="single" w:sz="4" w:space="0" w:color="000000"/>
            </w:tcBorders>
          </w:tcPr>
          <w:p>
            <w:pPr/>
          </w:p>
        </w:tc>
      </w:tr>
      <w:tr>
        <w:trPr>
          <w:trHeight w:val="713" w:hRule="exact"/>
        </w:trPr>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杨文峰</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无线电集团</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5"/>
                <w:sz w:val="18"/>
                <w:szCs w:val="18"/>
              </w:rPr>
              <w:t>资产运营管理部部长，董事会办公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室主任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7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08"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771" w:type="dxa"/>
            <w:vMerge/>
            <w:tcBorders>
              <w:left w:val="single" w:sz="4" w:space="0" w:color="000000"/>
              <w:bottom w:val="single" w:sz="4" w:space="0" w:color="000000"/>
              <w:right w:val="single" w:sz="4" w:space="0" w:color="000000"/>
            </w:tcBorders>
          </w:tcPr>
          <w:p>
            <w:pP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陈荣</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
              <w:jc w:val="center"/>
              <w:rPr>
                <w:rFonts w:ascii="宋体" w:hAnsi="宋体" w:cs="宋体" w:eastAsia="宋体" w:hint="default"/>
                <w:sz w:val="18"/>
                <w:szCs w:val="18"/>
              </w:rPr>
            </w:pPr>
            <w:r>
              <w:rPr>
                <w:rFonts w:ascii="宋体" w:hAnsi="宋体" w:cs="宋体" w:eastAsia="宋体" w:hint="default"/>
                <w:sz w:val="18"/>
                <w:szCs w:val="18"/>
              </w:rPr>
              <w:t>无线电集团</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财务会计部部长</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诸岗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
              <w:jc w:val="center"/>
              <w:rPr>
                <w:rFonts w:ascii="宋体" w:hAnsi="宋体" w:cs="宋体" w:eastAsia="宋体" w:hint="default"/>
                <w:sz w:val="18"/>
                <w:szCs w:val="18"/>
              </w:rPr>
            </w:pPr>
            <w:r>
              <w:rPr>
                <w:rFonts w:ascii="宋体" w:hAnsi="宋体" w:cs="宋体" w:eastAsia="宋体" w:hint="default"/>
                <w:sz w:val="18"/>
                <w:szCs w:val="18"/>
              </w:rPr>
              <w:t>无线电集团</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审计部部长</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肖勋勇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
              <w:jc w:val="center"/>
              <w:rPr>
                <w:rFonts w:ascii="宋体" w:hAnsi="宋体" w:cs="宋体" w:eastAsia="宋体" w:hint="default"/>
                <w:sz w:val="18"/>
                <w:szCs w:val="18"/>
              </w:rPr>
            </w:pPr>
            <w:r>
              <w:rPr>
                <w:rFonts w:ascii="宋体" w:hAnsi="宋体" w:cs="宋体" w:eastAsia="宋体" w:hint="default"/>
                <w:sz w:val="18"/>
                <w:szCs w:val="18"/>
              </w:rPr>
              <w:t>无线电集团</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投资发展部部长</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32"/>
              <w:jc w:val="both"/>
              <w:rPr>
                <w:rFonts w:ascii="宋体" w:hAnsi="宋体" w:cs="宋体" w:eastAsia="宋体" w:hint="default"/>
                <w:sz w:val="18"/>
                <w:szCs w:val="18"/>
              </w:rPr>
            </w:pPr>
            <w:r>
              <w:rPr>
                <w:rFonts w:ascii="宋体" w:hAnsi="宋体" w:cs="宋体" w:eastAsia="宋体" w:hint="default"/>
                <w:sz w:val="18"/>
                <w:szCs w:val="18"/>
              </w:rPr>
              <w:t>在股东 单位任 职情况 的说明</w:t>
            </w:r>
          </w:p>
        </w:tc>
        <w:tc>
          <w:tcPr>
            <w:tcW w:w="88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034"/>
        <w:jc w:val="left"/>
      </w:pPr>
      <w:r>
        <w:rPr/>
        <w:t>在其他单位任职情况</w:t>
      </w:r>
    </w:p>
    <w:p>
      <w:pPr>
        <w:pStyle w:val="BodyText"/>
        <w:spacing w:line="240" w:lineRule="auto" w:before="115"/>
        <w:ind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76"/>
        <w:gridCol w:w="2977"/>
        <w:gridCol w:w="1277"/>
        <w:gridCol w:w="1558"/>
        <w:gridCol w:w="1561"/>
        <w:gridCol w:w="919"/>
      </w:tblGrid>
      <w:tr>
        <w:trPr>
          <w:trHeight w:val="1337"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4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3"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6" w:right="91"/>
              <w:jc w:val="center"/>
              <w:rPr>
                <w:rFonts w:ascii="宋体" w:hAnsi="宋体" w:cs="宋体" w:eastAsia="宋体" w:hint="default"/>
                <w:sz w:val="18"/>
                <w:szCs w:val="18"/>
              </w:rPr>
            </w:pPr>
            <w:r>
              <w:rPr>
                <w:rFonts w:ascii="宋体" w:hAnsi="宋体" w:cs="宋体" w:eastAsia="宋体" w:hint="default"/>
                <w:sz w:val="18"/>
                <w:szCs w:val="18"/>
              </w:rPr>
              <w:t>在其他单 位是否领 取报酬津 贴</w:t>
            </w:r>
          </w:p>
        </w:tc>
      </w:tr>
      <w:tr>
        <w:trPr>
          <w:trHeight w:val="403" w:hRule="exact"/>
        </w:trPr>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黄跃珍</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广州广电城市服务管理有限公司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489.459991pt;margin-top:92.11998pt;width:44.3pt;height:20.65pt;mso-position-horizontal-relative:page;mso-position-vertical-relative:page;z-index:-1289632" coordorigin="9789,1842" coordsize="886,413">
            <v:group style="position:absolute;left:9800;top:1853;width:2;height:392" coordorigin="9800,1853" coordsize="2,392">
              <v:shape style="position:absolute;left:9800;top:1853;width:2;height:392" coordorigin="9800,1853" coordsize="0,392" path="m9800,1853l9800,2244e" filled="false" stroked="true" strokeweight="1.08pt" strokecolor="#ffffff">
                <v:path arrowok="t"/>
              </v:shape>
            </v:group>
            <v:group style="position:absolute;left:9811;top:1853;width:864;height:392" coordorigin="9811,1853" coordsize="864,392">
              <v:shape style="position:absolute;left:9811;top:1853;width:864;height:392" coordorigin="9811,1853" coordsize="864,392" path="m9811,2244l10675,2244,10675,1853,9811,1853,9811,2244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1277"/>
        <w:gridCol w:w="2977"/>
        <w:gridCol w:w="1277"/>
        <w:gridCol w:w="1558"/>
        <w:gridCol w:w="1561"/>
        <w:gridCol w:w="217"/>
        <w:gridCol w:w="702"/>
      </w:tblGrid>
      <w:tr>
        <w:trPr>
          <w:trHeight w:val="401" w:hRule="exact"/>
        </w:trPr>
        <w:tc>
          <w:tcPr>
            <w:tcW w:w="1277" w:type="dxa"/>
            <w:vMerge w:val="restart"/>
            <w:tcBorders>
              <w:top w:val="nil" w:sz="6" w:space="0" w:color="auto"/>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广州广电计量检测股份有限公司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广州广电研究院有限公司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2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58"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广州广电平云资本管理有限公司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广州广电国际商贸有限公司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叶子瑜</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广州广电银通金融电子科技有限公司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广州广电汇通金融服务有限公司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广州支点创业投资有限公司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919"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919" w:type="dxa"/>
            <w:gridSpan w:val="2"/>
            <w:vMerge/>
            <w:tcBorders>
              <w:left w:val="single" w:sz="4" w:space="0" w:color="000000"/>
              <w:right w:val="single" w:sz="4" w:space="0" w:color="000000"/>
            </w:tcBorders>
          </w:tcPr>
          <w:p>
            <w:pP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广州穗通金融服务有限公司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919" w:type="dxa"/>
            <w:gridSpan w:val="2"/>
            <w:vMerge/>
            <w:tcBorders>
              <w:left w:val="single" w:sz="4" w:space="0" w:color="000000"/>
              <w:bottom w:val="single" w:sz="4" w:space="0" w:color="000000"/>
              <w:right w:val="single" w:sz="4" w:space="0" w:color="000000"/>
            </w:tcBorders>
          </w:tcPr>
          <w:p>
            <w:pP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广电运通国际有限公司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广州广电运通信息科技有限公司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广州广电运通智能科技有限公司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江苏汇通金融数据股份有限公司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广州市龙源环保科技有限公司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深圳市创自技术有限公司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广州市广百小额贷款有限公司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广州广电研究院有限公司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杨文峰</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广州广电城市服务管理有限公司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广州广电新兴产业园投资有限公司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广州广电智能科技有限公司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广州广哈通信股份有限公司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盈富泰克创业投资有限公司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 </w:t>
            </w:r>
            <w:r>
              <w:rPr>
                <w:rFonts w:ascii="宋体" w:hAnsi="宋体" w:cs="宋体" w:eastAsia="宋体" w:hint="default"/>
                <w:spacing w:val="2"/>
                <w:sz w:val="18"/>
                <w:szCs w:val="18"/>
              </w:rPr>
              <w:t> </w:t>
            </w:r>
            <w:r>
              <w:rPr>
                <w:rFonts w:ascii="宋体" w:hAnsi="宋体" w:cs="宋体" w:eastAsia="宋体" w:hint="default"/>
                <w:sz w:val="18"/>
                <w:szCs w:val="18"/>
              </w:rPr>
              <w:t>荣</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广州广电研究院有限公司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广州广电城市服务集团股份有限公司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广州广电国际商贸有限公司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广州广电新兴产业园投资有限公司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广州广电平云资本管理有限公司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陈建良</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广州广电银通金融电子科技有限公司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9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广州穗通金融服务有限公司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919" w:type="dxa"/>
            <w:gridSpan w:val="2"/>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bottom w:val="nil" w:sz="6" w:space="0" w:color="auto"/>
              <w:right w:val="single" w:sz="4" w:space="0" w:color="000000"/>
            </w:tcBorders>
          </w:tcPr>
          <w:p>
            <w:pPr/>
          </w:p>
        </w:tc>
        <w:tc>
          <w:tcPr>
            <w:tcW w:w="2977"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919" w:type="dxa"/>
            <w:gridSpan w:val="2"/>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77"/>
        <w:gridCol w:w="2977"/>
        <w:gridCol w:w="1277"/>
        <w:gridCol w:w="1558"/>
        <w:gridCol w:w="1561"/>
        <w:gridCol w:w="919"/>
      </w:tblGrid>
      <w:tr>
        <w:trPr>
          <w:trHeight w:val="401" w:hRule="exact"/>
        </w:trPr>
        <w:tc>
          <w:tcPr>
            <w:tcW w:w="1277" w:type="dxa"/>
            <w:vMerge w:val="restart"/>
            <w:tcBorders>
              <w:top w:val="nil" w:sz="6" w:space="0" w:color="auto"/>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广州广电汇通金融服务有限公司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广州广电运通信息科技有限公司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广州广电运通智能科技有限公司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罗攀峰</w:t>
            </w:r>
          </w:p>
        </w:tc>
        <w:tc>
          <w:tcPr>
            <w:tcW w:w="29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vMerge/>
            <w:tcBorders>
              <w:left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919" w:type="dxa"/>
            <w:vMerge/>
            <w:tcBorders>
              <w:left w:val="single" w:sz="4" w:space="0" w:color="000000"/>
              <w:right w:val="single" w:sz="4" w:space="0" w:color="000000"/>
            </w:tcBorders>
          </w:tcPr>
          <w:p>
            <w:pPr/>
          </w:p>
        </w:tc>
      </w:tr>
      <w:tr>
        <w:trPr>
          <w:trHeight w:val="401" w:hRule="exact"/>
        </w:trPr>
        <w:tc>
          <w:tcPr>
            <w:tcW w:w="1277" w:type="dxa"/>
            <w:vMerge/>
            <w:tcBorders>
              <w:left w:val="single" w:sz="4" w:space="0" w:color="000000"/>
              <w:right w:val="single" w:sz="4" w:space="0" w:color="000000"/>
            </w:tcBorders>
          </w:tcPr>
          <w:p>
            <w:pPr/>
          </w:p>
        </w:tc>
        <w:tc>
          <w:tcPr>
            <w:tcW w:w="2977"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919" w:type="dxa"/>
            <w:vMerge/>
            <w:tcBorders>
              <w:left w:val="single" w:sz="4" w:space="0" w:color="000000"/>
              <w:bottom w:val="single" w:sz="4" w:space="0" w:color="000000"/>
              <w:right w:val="single" w:sz="4" w:space="0" w:color="000000"/>
            </w:tcBorders>
          </w:tcPr>
          <w:p>
            <w:pPr/>
          </w:p>
        </w:tc>
      </w:tr>
      <w:tr>
        <w:trPr>
          <w:trHeight w:val="403" w:hRule="exact"/>
        </w:trPr>
        <w:tc>
          <w:tcPr>
            <w:tcW w:w="1277" w:type="dxa"/>
            <w:vMerge/>
            <w:tcBorders>
              <w:left w:val="single" w:sz="4" w:space="0" w:color="000000"/>
              <w:right w:val="single" w:sz="4" w:space="0" w:color="000000"/>
            </w:tcBorders>
          </w:tcPr>
          <w:p>
            <w:pPr/>
          </w:p>
        </w:tc>
        <w:tc>
          <w:tcPr>
            <w:tcW w:w="297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广州广电汇通金融服务有限公司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广州广电运通信息科技有限公司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vMerge/>
            <w:tcBorders>
              <w:left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北京中科江南信息技术股份有限公司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广州广电银通金融电子科技有限公司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广州穗通金融服务有限公司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广州广电运通智能科技有限公司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广州市龙源环保科技有限公司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江苏汇通金融数据股份有限公司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广州支点创业投资有限公司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朱桂龙</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中国南玻集团股份有限公司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江苏赛福天钢索股份有限公司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77"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广州金域医学检验集团股份有限公司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 </w:t>
            </w:r>
            <w:r>
              <w:rPr>
                <w:rFonts w:ascii="宋体" w:hAnsi="宋体" w:cs="宋体" w:eastAsia="宋体" w:hint="default"/>
                <w:spacing w:val="2"/>
                <w:sz w:val="18"/>
                <w:szCs w:val="18"/>
              </w:rPr>
              <w:t> </w:t>
            </w:r>
            <w:r>
              <w:rPr>
                <w:rFonts w:ascii="宋体" w:hAnsi="宋体" w:cs="宋体" w:eastAsia="宋体" w:hint="default"/>
                <w:sz w:val="18"/>
                <w:szCs w:val="18"/>
              </w:rPr>
              <w:t>闰</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北京德恒（广州）律师事务所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广东天禾农资股份有限公司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77"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仙乐健康科技股份有限公司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邢良文</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广东丰衡会计师事务所有限公司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主任会计师</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广州丰衡税务师事务所有限公司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广州港集团有限公司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诸岗</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广州广电智能科技有限公司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号</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广州信息投资有限公司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广州广电国际商贸有限公司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广州广电平云资本管理有限公司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77"/>
        <w:gridCol w:w="2977"/>
        <w:gridCol w:w="1277"/>
        <w:gridCol w:w="1558"/>
        <w:gridCol w:w="1561"/>
        <w:gridCol w:w="919"/>
      </w:tblGrid>
      <w:tr>
        <w:trPr>
          <w:trHeight w:val="401"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肖勋勇</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广州广电平云资本管理有限公司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广州广电平云资本管理有限公司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广州广电国际商贸有限公司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广州广电新兴产业园投资有限公司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广州广电智能科技有限公司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江苏汇通金融数据股份有限公司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邝建洲</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广州广电运通信息科技有限公司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广州支点创业投资有限公司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广州广电运通智能科技有限公司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广州市龙源环保科技有限公司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江苏汇通金融数据股份有限公司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李叶东</w:t>
            </w:r>
          </w:p>
        </w:tc>
        <w:tc>
          <w:tcPr>
            <w:tcW w:w="297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广电运通国际有限公司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61"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广州广电银通金融电子科技有限公司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广州广电运通信息科技有限公司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魏 </w:t>
            </w:r>
            <w:r>
              <w:rPr>
                <w:rFonts w:ascii="宋体" w:hAnsi="宋体" w:cs="宋体" w:eastAsia="宋体" w:hint="default"/>
                <w:spacing w:val="2"/>
                <w:sz w:val="18"/>
                <w:szCs w:val="18"/>
              </w:rPr>
              <w:t> </w:t>
            </w:r>
            <w:r>
              <w:rPr>
                <w:rFonts w:ascii="宋体" w:hAnsi="宋体" w:cs="宋体" w:eastAsia="宋体" w:hint="default"/>
                <w:sz w:val="18"/>
                <w:szCs w:val="18"/>
              </w:rPr>
              <w:t>东</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广州广电计量检测股份有限公司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北京中科江南信息技术股份有限公司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广州广电银通金融电子科技有限公司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广州广电汇通金融服务有限公司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广州广电运通信息科技有限公司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江苏汇通金融数据股份有限公司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深圳市创自技术有限公司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广州广电运通智能科技有限公司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蒋春晨</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广州支点创业投资有限公司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广州广电运通信息科技有限公司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深圳市创自技术有限公司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广州广电汇通金融服务有限公司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广州市龙源环保科技有限公司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广州广电银通金融电子科技有限公司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bottom w:val="nil" w:sz="6" w:space="0" w:color="auto"/>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广州穗通金融服务有限公司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77"/>
        <w:gridCol w:w="2977"/>
        <w:gridCol w:w="1277"/>
        <w:gridCol w:w="1558"/>
        <w:gridCol w:w="1561"/>
        <w:gridCol w:w="919"/>
      </w:tblGrid>
      <w:tr>
        <w:trPr>
          <w:trHeight w:val="401" w:hRule="exact"/>
        </w:trPr>
        <w:tc>
          <w:tcPr>
            <w:tcW w:w="1277" w:type="dxa"/>
            <w:vMerge w:val="restart"/>
            <w:tcBorders>
              <w:top w:val="nil" w:sz="6" w:space="0" w:color="auto"/>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广州凡拓数字创意科技股份有限公司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77"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四川汇源光通信股份有限公司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77"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广东顺钠电气股份有限公司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解永生</w:t>
            </w:r>
          </w:p>
        </w:tc>
        <w:tc>
          <w:tcPr>
            <w:tcW w:w="297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深圳市创自技术有限公司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right w:val="single" w:sz="4" w:space="0" w:color="000000"/>
            </w:tcBorders>
          </w:tcPr>
          <w:p>
            <w:pPr/>
          </w:p>
        </w:tc>
        <w:tc>
          <w:tcPr>
            <w:tcW w:w="2977"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61"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r>
      <w:tr>
        <w:trPr>
          <w:trHeight w:val="401" w:hRule="exact"/>
        </w:trPr>
        <w:tc>
          <w:tcPr>
            <w:tcW w:w="1277" w:type="dxa"/>
            <w:vMerge/>
            <w:tcBorders>
              <w:left w:val="single" w:sz="4" w:space="0" w:color="000000"/>
              <w:right w:val="single" w:sz="4" w:space="0" w:color="000000"/>
            </w:tcBorders>
          </w:tcPr>
          <w:p>
            <w:pPr/>
          </w:p>
        </w:tc>
        <w:tc>
          <w:tcPr>
            <w:tcW w:w="297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广州广电运通智能科技有限公司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vMerge/>
            <w:tcBorders>
              <w:left w:val="single" w:sz="4" w:space="0" w:color="000000"/>
              <w:bottom w:val="single" w:sz="4" w:space="0" w:color="000000"/>
              <w:right w:val="single" w:sz="4" w:space="0" w:color="000000"/>
            </w:tcBorders>
          </w:tcPr>
          <w:p>
            <w:pPr/>
          </w:p>
        </w:tc>
        <w:tc>
          <w:tcPr>
            <w:tcW w:w="2977"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韩 </w:t>
            </w:r>
            <w:r>
              <w:rPr>
                <w:rFonts w:ascii="宋体" w:hAnsi="宋体" w:cs="宋体" w:eastAsia="宋体" w:hint="default"/>
                <w:spacing w:val="2"/>
                <w:sz w:val="18"/>
                <w:szCs w:val="18"/>
              </w:rPr>
              <w:t> </w:t>
            </w:r>
            <w:r>
              <w:rPr>
                <w:rFonts w:ascii="宋体" w:hAnsi="宋体" w:cs="宋体" w:eastAsia="宋体" w:hint="default"/>
                <w:sz w:val="18"/>
                <w:szCs w:val="18"/>
              </w:rPr>
              <w:t>莹</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钟 </w:t>
            </w:r>
            <w:r>
              <w:rPr>
                <w:rFonts w:ascii="宋体" w:hAnsi="宋体" w:cs="宋体" w:eastAsia="宋体" w:hint="default"/>
                <w:spacing w:val="2"/>
                <w:sz w:val="18"/>
                <w:szCs w:val="18"/>
              </w:rPr>
              <w:t> </w:t>
            </w:r>
            <w:r>
              <w:rPr>
                <w:rFonts w:ascii="宋体" w:hAnsi="宋体" w:cs="宋体" w:eastAsia="宋体" w:hint="default"/>
                <w:sz w:val="18"/>
                <w:szCs w:val="18"/>
              </w:rPr>
              <w:t>勇</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广州支点创业投资有限公司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2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both"/>
      </w:pPr>
      <w:r>
        <w:rPr/>
        <w:t>公司现任及报告期内离任董事、监事和高级管理人员近三年证券监管机构处罚的情况</w:t>
      </w:r>
    </w:p>
    <w:p>
      <w:pPr>
        <w:pStyle w:val="BodyText"/>
        <w:spacing w:line="240" w:lineRule="auto" w:before="11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left="513" w:right="1034" w:hanging="361"/>
        <w:jc w:val="left"/>
      </w:pPr>
      <w:r>
        <w:rPr/>
        <w:t>董事、监事、高级管理人员报酬的决策程序、确定依据、实际支付情况 </w:t>
      </w:r>
      <w:r>
        <w:rPr>
          <w:spacing w:val="-2"/>
        </w:rPr>
        <w:t>在公司任职的董事、监事未在公司领薪，兼任公司董事、监事的高管、员工不以董事、监事职务领取报酬。高管人员按</w:t>
      </w:r>
    </w:p>
    <w:p>
      <w:pPr>
        <w:pStyle w:val="BodyText"/>
        <w:spacing w:line="224" w:lineRule="exact"/>
        <w:ind w:right="0"/>
        <w:jc w:val="both"/>
      </w:pPr>
      <w:r>
        <w:rPr/>
        <w:t>其职务根据公司董事会批准的《高管层年度业绩考核与薪酬管理办法》，在每年年初落实有关考核指标及相关事项，在年度</w:t>
      </w:r>
    </w:p>
    <w:p>
      <w:pPr>
        <w:pStyle w:val="BodyText"/>
        <w:spacing w:line="309" w:lineRule="auto" w:before="76"/>
        <w:ind w:right="1130"/>
        <w:jc w:val="both"/>
      </w:pPr>
      <w:r>
        <w:rPr>
          <w:spacing w:val="-2"/>
        </w:rPr>
        <w:t>结束后对全年计划完成情况进行考核，由董事会薪酬与考核委员会审议通过相关议案后，提交董事会审议，按照考核结果兑</w:t>
      </w:r>
      <w:r>
        <w:rPr>
          <w:spacing w:val="-63"/>
        </w:rPr>
        <w:t> </w:t>
      </w:r>
      <w:r>
        <w:rPr>
          <w:spacing w:val="-63"/>
        </w:rPr>
      </w:r>
      <w:r>
        <w:rPr/>
        <w:t>现绩效年薪和奖励。独立董事津贴按照股东大会决议执行，为每人</w:t>
      </w:r>
      <w:r>
        <w:rPr>
          <w:spacing w:val="-44"/>
        </w:rPr>
        <w:t> </w:t>
      </w:r>
      <w:r>
        <w:rPr>
          <w:rFonts w:ascii="Times New Roman" w:hAnsi="Times New Roman" w:cs="Times New Roman" w:eastAsia="Times New Roman" w:hint="default"/>
        </w:rPr>
        <w:t>8 </w:t>
      </w:r>
      <w:r>
        <w:rPr/>
        <w:t>万元</w:t>
      </w:r>
      <w:r>
        <w:rPr>
          <w:rFonts w:ascii="Times New Roman" w:hAnsi="Times New Roman" w:cs="Times New Roman" w:eastAsia="Times New Roman" w:hint="default"/>
        </w:rPr>
        <w:t>/</w:t>
      </w:r>
      <w:r>
        <w:rPr/>
        <w:t>年，均按具体任职时间及规定发放；独立董事参 加会议发生的差旅费，办公费等履职费用由本公司承担。</w:t>
      </w:r>
    </w:p>
    <w:p>
      <w:pPr>
        <w:pStyle w:val="BodyText"/>
        <w:spacing w:line="240" w:lineRule="auto" w:before="65"/>
        <w:ind w:right="0"/>
        <w:jc w:val="both"/>
      </w:pPr>
      <w:r>
        <w:rPr/>
        <w:t>公司报告期内董事、监事和高级管理人员报酬情况</w:t>
      </w:r>
    </w:p>
    <w:p>
      <w:pPr>
        <w:pStyle w:val="BodyText"/>
        <w:spacing w:line="240" w:lineRule="auto" w:before="117"/>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52"/>
        <w:gridCol w:w="1844"/>
        <w:gridCol w:w="566"/>
        <w:gridCol w:w="566"/>
        <w:gridCol w:w="991"/>
        <w:gridCol w:w="2412"/>
        <w:gridCol w:w="2341"/>
      </w:tblGrid>
      <w:tr>
        <w:trPr>
          <w:trHeight w:val="40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从公司获得的税前报酬总额</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是否在公司关联方获取报酬</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杨海洲</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黄跃珍</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叶子瑜</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176.59</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杨文峰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陈 </w:t>
            </w:r>
            <w:r>
              <w:rPr>
                <w:rFonts w:ascii="宋体" w:hAnsi="宋体" w:cs="宋体" w:eastAsia="宋体" w:hint="default"/>
                <w:spacing w:val="2"/>
                <w:sz w:val="18"/>
                <w:szCs w:val="18"/>
              </w:rPr>
              <w:t> </w:t>
            </w:r>
            <w:r>
              <w:rPr>
                <w:rFonts w:ascii="宋体" w:hAnsi="宋体" w:cs="宋体" w:eastAsia="宋体" w:hint="default"/>
                <w:sz w:val="18"/>
                <w:szCs w:val="18"/>
              </w:rPr>
              <w:t>荣</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陈建良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193.25</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罗攀峰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董事、常务副总经理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125.45</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朱桂龙</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杨 </w:t>
            </w:r>
            <w:r>
              <w:rPr>
                <w:rFonts w:ascii="宋体" w:hAnsi="宋体" w:cs="宋体" w:eastAsia="宋体" w:hint="default"/>
                <w:spacing w:val="2"/>
                <w:sz w:val="18"/>
                <w:szCs w:val="18"/>
              </w:rPr>
              <w:t> </w:t>
            </w:r>
            <w:r>
              <w:rPr>
                <w:rFonts w:ascii="宋体" w:hAnsi="宋体" w:cs="宋体" w:eastAsia="宋体" w:hint="default"/>
                <w:sz w:val="18"/>
                <w:szCs w:val="18"/>
              </w:rPr>
              <w:t>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邢良文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祝立新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852"/>
        <w:gridCol w:w="1844"/>
        <w:gridCol w:w="566"/>
        <w:gridCol w:w="566"/>
        <w:gridCol w:w="991"/>
        <w:gridCol w:w="2412"/>
        <w:gridCol w:w="2341"/>
      </w:tblGrid>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6"/>
              <w:jc w:val="right"/>
              <w:rPr>
                <w:rFonts w:ascii="宋体" w:hAnsi="宋体" w:cs="宋体" w:eastAsia="宋体" w:hint="default"/>
                <w:sz w:val="18"/>
                <w:szCs w:val="18"/>
              </w:rPr>
            </w:pPr>
            <w:r>
              <w:rPr>
                <w:rFonts w:ascii="宋体" w:hAnsi="宋体" w:cs="宋体" w:eastAsia="宋体" w:hint="default"/>
                <w:sz w:val="18"/>
                <w:szCs w:val="18"/>
              </w:rPr>
              <w:t>诸 </w:t>
            </w:r>
            <w:r>
              <w:rPr>
                <w:rFonts w:ascii="宋体" w:hAnsi="宋体" w:cs="宋体" w:eastAsia="宋体" w:hint="default"/>
                <w:spacing w:val="2"/>
                <w:sz w:val="18"/>
                <w:szCs w:val="18"/>
              </w:rPr>
              <w:t> </w:t>
            </w:r>
            <w:r>
              <w:rPr>
                <w:rFonts w:ascii="宋体" w:hAnsi="宋体" w:cs="宋体" w:eastAsia="宋体" w:hint="default"/>
                <w:sz w:val="18"/>
                <w:szCs w:val="18"/>
              </w:rPr>
              <w:t>岗</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9"/>
              <w:jc w:val="right"/>
              <w:rPr>
                <w:rFonts w:ascii="宋体" w:hAnsi="宋体" w:cs="宋体" w:eastAsia="宋体" w:hint="default"/>
                <w:sz w:val="18"/>
                <w:szCs w:val="18"/>
              </w:rPr>
            </w:pPr>
            <w:r>
              <w:rPr>
                <w:rFonts w:ascii="宋体" w:hAnsi="宋体" w:cs="宋体" w:eastAsia="宋体" w:hint="default"/>
                <w:sz w:val="18"/>
                <w:szCs w:val="18"/>
              </w:rPr>
              <w:t>莫东成</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 w:right="0"/>
              <w:jc w:val="left"/>
              <w:rPr>
                <w:rFonts w:ascii="Times New Roman" w:hAnsi="Times New Roman" w:cs="Times New Roman" w:eastAsia="Times New Roman" w:hint="default"/>
                <w:sz w:val="18"/>
                <w:szCs w:val="18"/>
              </w:rPr>
            </w:pPr>
            <w:r>
              <w:rPr>
                <w:rFonts w:ascii="Times New Roman"/>
                <w:sz w:val="18"/>
              </w:rPr>
              <w:t>58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7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9"/>
              <w:jc w:val="right"/>
              <w:rPr>
                <w:rFonts w:ascii="宋体" w:hAnsi="宋体" w:cs="宋体" w:eastAsia="宋体" w:hint="default"/>
                <w:sz w:val="18"/>
                <w:szCs w:val="18"/>
              </w:rPr>
            </w:pPr>
            <w:r>
              <w:rPr>
                <w:rFonts w:ascii="宋体" w:hAnsi="宋体" w:cs="宋体" w:eastAsia="宋体" w:hint="default"/>
                <w:sz w:val="18"/>
                <w:szCs w:val="18"/>
              </w:rPr>
              <w:t>肖勋勇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9"/>
              <w:jc w:val="right"/>
              <w:rPr>
                <w:rFonts w:ascii="宋体" w:hAnsi="宋体" w:cs="宋体" w:eastAsia="宋体" w:hint="default"/>
                <w:sz w:val="18"/>
                <w:szCs w:val="18"/>
              </w:rPr>
            </w:pPr>
            <w:r>
              <w:rPr>
                <w:rFonts w:ascii="宋体" w:hAnsi="宋体" w:cs="宋体" w:eastAsia="宋体" w:hint="default"/>
                <w:sz w:val="18"/>
                <w:szCs w:val="18"/>
              </w:rPr>
              <w:t>邝建洲</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 w:right="0"/>
              <w:jc w:val="left"/>
              <w:rPr>
                <w:rFonts w:ascii="Times New Roman" w:hAnsi="Times New Roman" w:cs="Times New Roman" w:eastAsia="Times New Roman" w:hint="default"/>
                <w:sz w:val="18"/>
                <w:szCs w:val="18"/>
              </w:rPr>
            </w:pPr>
            <w:r>
              <w:rPr>
                <w:rFonts w:ascii="Times New Roman"/>
                <w:sz w:val="18"/>
              </w:rPr>
              <w:t>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40.43</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7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9"/>
              <w:jc w:val="right"/>
              <w:rPr>
                <w:rFonts w:ascii="宋体" w:hAnsi="宋体" w:cs="宋体" w:eastAsia="宋体" w:hint="default"/>
                <w:sz w:val="18"/>
                <w:szCs w:val="18"/>
              </w:rPr>
            </w:pPr>
            <w:r>
              <w:rPr>
                <w:rFonts w:ascii="宋体" w:hAnsi="宋体" w:cs="宋体" w:eastAsia="宋体" w:hint="default"/>
                <w:sz w:val="18"/>
                <w:szCs w:val="18"/>
              </w:rPr>
              <w:t>李叶东</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159.55</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6"/>
              <w:jc w:val="right"/>
              <w:rPr>
                <w:rFonts w:ascii="宋体" w:hAnsi="宋体" w:cs="宋体" w:eastAsia="宋体" w:hint="default"/>
                <w:sz w:val="18"/>
                <w:szCs w:val="18"/>
              </w:rPr>
            </w:pPr>
            <w:r>
              <w:rPr>
                <w:rFonts w:ascii="宋体" w:hAnsi="宋体" w:cs="宋体" w:eastAsia="宋体" w:hint="default"/>
                <w:sz w:val="18"/>
                <w:szCs w:val="18"/>
              </w:rPr>
              <w:t>魏 </w:t>
            </w:r>
            <w:r>
              <w:rPr>
                <w:rFonts w:ascii="宋体" w:hAnsi="宋体" w:cs="宋体" w:eastAsia="宋体" w:hint="default"/>
                <w:spacing w:val="2"/>
                <w:sz w:val="18"/>
                <w:szCs w:val="18"/>
              </w:rPr>
              <w:t> </w:t>
            </w:r>
            <w:r>
              <w:rPr>
                <w:rFonts w:ascii="宋体" w:hAnsi="宋体" w:cs="宋体" w:eastAsia="宋体" w:hint="default"/>
                <w:sz w:val="18"/>
                <w:szCs w:val="18"/>
              </w:rPr>
              <w:t>东</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 w:right="0"/>
              <w:jc w:val="left"/>
              <w:rPr>
                <w:rFonts w:ascii="Times New Roman" w:hAnsi="Times New Roman" w:cs="Times New Roman" w:eastAsia="Times New Roman" w:hint="default"/>
                <w:sz w:val="18"/>
                <w:szCs w:val="18"/>
              </w:rPr>
            </w:pPr>
            <w:r>
              <w:rPr>
                <w:rFonts w:ascii="Times New Roman"/>
                <w:sz w:val="18"/>
              </w:rPr>
              <w:t>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112.22</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7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9"/>
              <w:jc w:val="right"/>
              <w:rPr>
                <w:rFonts w:ascii="宋体" w:hAnsi="宋体" w:cs="宋体" w:eastAsia="宋体" w:hint="default"/>
                <w:sz w:val="18"/>
                <w:szCs w:val="18"/>
              </w:rPr>
            </w:pPr>
            <w:r>
              <w:rPr>
                <w:rFonts w:ascii="宋体" w:hAnsi="宋体" w:cs="宋体" w:eastAsia="宋体" w:hint="default"/>
                <w:sz w:val="18"/>
                <w:szCs w:val="18"/>
              </w:rPr>
              <w:t>蒋春晨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副总经理、财务总监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55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90.81</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9"/>
              <w:jc w:val="right"/>
              <w:rPr>
                <w:rFonts w:ascii="宋体" w:hAnsi="宋体" w:cs="宋体" w:eastAsia="宋体" w:hint="default"/>
                <w:sz w:val="18"/>
                <w:szCs w:val="18"/>
              </w:rPr>
            </w:pPr>
            <w:r>
              <w:rPr>
                <w:rFonts w:ascii="宋体" w:hAnsi="宋体" w:cs="宋体" w:eastAsia="宋体" w:hint="default"/>
                <w:sz w:val="18"/>
                <w:szCs w:val="18"/>
              </w:rPr>
              <w:t>解永生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 w:right="0"/>
              <w:jc w:val="left"/>
              <w:rPr>
                <w:rFonts w:ascii="Times New Roman" w:hAnsi="Times New Roman" w:cs="Times New Roman" w:eastAsia="Times New Roman" w:hint="default"/>
                <w:sz w:val="18"/>
                <w:szCs w:val="18"/>
              </w:rPr>
            </w:pPr>
            <w:r>
              <w:rPr>
                <w:rFonts w:ascii="Times New Roman"/>
                <w:sz w:val="18"/>
              </w:rPr>
              <w:t>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145.77</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7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6"/>
              <w:jc w:val="right"/>
              <w:rPr>
                <w:rFonts w:ascii="宋体" w:hAnsi="宋体" w:cs="宋体" w:eastAsia="宋体" w:hint="default"/>
                <w:sz w:val="18"/>
                <w:szCs w:val="18"/>
              </w:rPr>
            </w:pPr>
            <w:r>
              <w:rPr>
                <w:rFonts w:ascii="宋体" w:hAnsi="宋体" w:cs="宋体" w:eastAsia="宋体" w:hint="default"/>
                <w:sz w:val="18"/>
                <w:szCs w:val="18"/>
              </w:rPr>
              <w:t>韩 </w:t>
            </w:r>
            <w:r>
              <w:rPr>
                <w:rFonts w:ascii="宋体" w:hAnsi="宋体" w:cs="宋体" w:eastAsia="宋体" w:hint="default"/>
                <w:spacing w:val="2"/>
                <w:sz w:val="18"/>
                <w:szCs w:val="18"/>
              </w:rPr>
              <w:t> </w:t>
            </w:r>
            <w:r>
              <w:rPr>
                <w:rFonts w:ascii="宋体" w:hAnsi="宋体" w:cs="宋体" w:eastAsia="宋体" w:hint="default"/>
                <w:sz w:val="18"/>
                <w:szCs w:val="18"/>
              </w:rPr>
              <w:t>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86.79</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6"/>
              <w:jc w:val="right"/>
              <w:rPr>
                <w:rFonts w:ascii="宋体" w:hAnsi="宋体" w:cs="宋体" w:eastAsia="宋体" w:hint="default"/>
                <w:sz w:val="18"/>
                <w:szCs w:val="18"/>
              </w:rPr>
            </w:pPr>
            <w:r>
              <w:rPr>
                <w:rFonts w:ascii="宋体" w:hAnsi="宋体" w:cs="宋体" w:eastAsia="宋体" w:hint="default"/>
                <w:sz w:val="18"/>
                <w:szCs w:val="18"/>
              </w:rPr>
              <w:t>钟 </w:t>
            </w:r>
            <w:r>
              <w:rPr>
                <w:rFonts w:ascii="宋体" w:hAnsi="宋体" w:cs="宋体" w:eastAsia="宋体" w:hint="default"/>
                <w:spacing w:val="2"/>
                <w:sz w:val="18"/>
                <w:szCs w:val="18"/>
              </w:rPr>
              <w:t> </w:t>
            </w:r>
            <w:r>
              <w:rPr>
                <w:rFonts w:ascii="宋体" w:hAnsi="宋体" w:cs="宋体" w:eastAsia="宋体" w:hint="default"/>
                <w:sz w:val="18"/>
                <w:szCs w:val="18"/>
              </w:rPr>
              <w:t>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 w:right="0"/>
              <w:jc w:val="left"/>
              <w:rPr>
                <w:rFonts w:ascii="Times New Roman" w:hAnsi="Times New Roman" w:cs="Times New Roman" w:eastAsia="Times New Roman" w:hint="default"/>
                <w:sz w:val="18"/>
                <w:szCs w:val="18"/>
              </w:rPr>
            </w:pPr>
            <w:r>
              <w:rPr>
                <w:rFonts w:ascii="Times New Roman"/>
                <w:sz w:val="18"/>
              </w:rPr>
              <w:t>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75.40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7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6"/>
              <w:jc w:val="right"/>
              <w:rPr>
                <w:rFonts w:ascii="宋体" w:hAnsi="宋体" w:cs="宋体" w:eastAsia="宋体" w:hint="default"/>
                <w:sz w:val="18"/>
                <w:szCs w:val="18"/>
              </w:rPr>
            </w:pPr>
            <w:r>
              <w:rPr>
                <w:rFonts w:ascii="宋体" w:hAnsi="宋体" w:cs="宋体" w:eastAsia="宋体" w:hint="default"/>
                <w:sz w:val="18"/>
                <w:szCs w:val="18"/>
              </w:rPr>
              <w:t>任 </w:t>
            </w:r>
            <w:r>
              <w:rPr>
                <w:rFonts w:ascii="宋体" w:hAnsi="宋体" w:cs="宋体" w:eastAsia="宋体" w:hint="default"/>
                <w:spacing w:val="2"/>
                <w:sz w:val="18"/>
                <w:szCs w:val="18"/>
              </w:rPr>
              <w:t> </w:t>
            </w:r>
            <w:r>
              <w:rPr>
                <w:rFonts w:ascii="宋体" w:hAnsi="宋体" w:cs="宋体" w:eastAsia="宋体" w:hint="default"/>
                <w:sz w:val="18"/>
                <w:szCs w:val="18"/>
              </w:rPr>
              <w:t>斌</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18.09</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18" w:right="0"/>
              <w:jc w:val="left"/>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18" w:right="0"/>
              <w:jc w:val="lef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1,248.35</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107"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49"/>
        <w:ind w:right="1034"/>
        <w:jc w:val="left"/>
      </w:pPr>
      <w:r>
        <w:rPr/>
        <w:t>注：任斌于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13 </w:t>
      </w:r>
      <w:r>
        <w:rPr/>
        <w:t>日离职；钟勇于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t>日聘为董事会秘书。 公司董事、高级管理人员报告期内被授予的股权激励情况</w:t>
      </w:r>
    </w:p>
    <w:p>
      <w:pPr>
        <w:pStyle w:val="BodyText"/>
        <w:spacing w:line="240" w:lineRule="auto" w:before="43"/>
        <w:ind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034"/>
        <w:jc w:val="left"/>
        <w:rPr>
          <w:b w:val="0"/>
          <w:bCs w:val="0"/>
        </w:rPr>
      </w:pPr>
      <w:r>
        <w:rPr/>
        <w:t>五、公司员工情况</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right="1034"/>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1,344</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24,612</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25,956</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25,956</w:t>
            </w:r>
          </w:p>
        </w:tc>
      </w:tr>
      <w:tr>
        <w:trPr>
          <w:trHeight w:val="40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9"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58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935</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619</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2,456</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服务人员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20,301</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1,166</w:t>
            </w:r>
          </w:p>
        </w:tc>
      </w:tr>
      <w:tr>
        <w:trPr>
          <w:trHeight w:val="40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25,956</w:t>
            </w:r>
          </w:p>
        </w:tc>
      </w:tr>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372</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本科及大专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13,489</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8,238</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中专以下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3,857</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25,956</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3"/>
          <w:szCs w:val="13"/>
        </w:rPr>
      </w:pPr>
    </w:p>
    <w:p>
      <w:pPr>
        <w:spacing w:line="8680" w:lineRule="exact"/>
        <w:ind w:left="645" w:right="0" w:firstLine="0"/>
        <w:rPr>
          <w:rFonts w:ascii="宋体" w:hAnsi="宋体" w:cs="宋体" w:eastAsia="宋体" w:hint="default"/>
          <w:sz w:val="20"/>
          <w:szCs w:val="20"/>
        </w:rPr>
      </w:pPr>
      <w:r>
        <w:rPr>
          <w:rFonts w:ascii="宋体" w:hAnsi="宋体" w:cs="宋体" w:eastAsia="宋体" w:hint="default"/>
          <w:position w:val="-173"/>
          <w:sz w:val="20"/>
          <w:szCs w:val="20"/>
        </w:rPr>
        <w:pict>
          <v:group style="width:432.6pt;height:434.05pt;mso-position-horizontal-relative:char;mso-position-vertical-relative:line" coordorigin="0,0" coordsize="8652,8681">
            <v:shape style="position:absolute;left:756;top:548;width:7171;height:3305" type="#_x0000_t75" stroked="false">
              <v:imagedata r:id="rId36" o:title=""/>
            </v:shape>
            <v:group style="position:absolute;left:5028;top:498;width:342;height:117" coordorigin="5028,498" coordsize="342,117">
              <v:shape style="position:absolute;left:5028;top:498;width:342;height:117" coordorigin="5028,498" coordsize="342,117" path="m5028,615l5279,498,5369,498e" filled="false" stroked="true" strokeweight=".75pt" strokecolor="#000000">
                <v:path arrowok="t"/>
              </v:shape>
            </v:group>
            <v:group style="position:absolute;left:5825;top:774;width:1250;height:79" coordorigin="5825,774" coordsize="1250,79">
              <v:shape style="position:absolute;left:5825;top:774;width:1250;height:79" coordorigin="5825,774" coordsize="1250,79" path="m5825,774l6984,852,7074,852e" filled="false" stroked="true" strokeweight=".75pt" strokecolor="#000000">
                <v:path arrowok="t"/>
              </v:shape>
            </v:group>
            <v:group style="position:absolute;left:6417;top:1009;width:815;height:688" coordorigin="6417,1009" coordsize="815,688">
              <v:shape style="position:absolute;left:6417;top:1009;width:815;height:688" coordorigin="6417,1009" coordsize="815,688" path="m6417,1009l7142,1696,7232,1696e" filled="false" stroked="true" strokeweight=".75pt" strokecolor="#000000">
                <v:path arrowok="t"/>
              </v:shape>
            </v:group>
            <v:group style="position:absolute;left:6509;top:1061;width:1015;height:1584" coordorigin="6509,1061" coordsize="1015,1584">
              <v:shape style="position:absolute;left:6509;top:1061;width:1015;height:1584" coordorigin="6509,1061" coordsize="1015,1584" path="m6509,1061l7434,2644,7524,2644e" filled="false" stroked="true" strokeweight=".75pt" strokecolor="#000000">
                <v:path arrowok="t"/>
              </v:shape>
            </v:group>
            <v:group style="position:absolute;left:1554;top:582;width:2466;height:345" coordorigin="1554,582" coordsize="2466,345">
              <v:shape style="position:absolute;left:1554;top:582;width:2466;height:345" coordorigin="1554,582" coordsize="2466,345" path="m4020,582l1644,926,1554,926e" filled="false" stroked="true" strokeweight=".75pt" strokecolor="#000000">
                <v:path arrowok="t"/>
              </v:shape>
            </v:group>
            <v:group style="position:absolute;left:8;top:8;width:8637;height:4273" coordorigin="8,8" coordsize="8637,4273">
              <v:shape style="position:absolute;left:8;top:8;width:8637;height:4273" coordorigin="8,8" coordsize="8637,4273" path="m8,4280l8644,4280,8644,8,8,8,8,4280xe" filled="false" stroked="true" strokeweight=".75pt" strokecolor="#858585">
                <v:path arrowok="t"/>
              </v:shape>
              <v:shape style="position:absolute;left:1397;top:4840;width:5854;height:3341" type="#_x0000_t75" stroked="false">
                <v:imagedata r:id="rId37" o:title=""/>
              </v:shape>
            </v:group>
            <v:group style="position:absolute;left:4430;top:4822;width:1734;height:48" coordorigin="4430,4822" coordsize="1734,48">
              <v:shape style="position:absolute;left:4430;top:4822;width:1734;height:48" coordorigin="4430,4822" coordsize="1734,48" path="m4430,4870l6073,4822,6163,4822e" filled="false" stroked="true" strokeweight=".75pt" strokecolor="#000000">
                <v:path arrowok="t"/>
              </v:shape>
            </v:group>
            <v:group style="position:absolute;left:2327;top:4841;width:939;height:126" coordorigin="2327,4841" coordsize="939,126">
              <v:shape style="position:absolute;left:2327;top:4841;width:939;height:126" coordorigin="2327,4841" coordsize="939,126" path="m3266,4966l2417,4841,2327,4841e" filled="false" stroked="true" strokeweight=".75pt" strokecolor="#000000">
                <v:path arrowok="t"/>
              </v:shape>
            </v:group>
            <v:group style="position:absolute;left:728;top:4350;width:7197;height:4324" coordorigin="728,4350" coordsize="7197,4324">
              <v:shape style="position:absolute;left:728;top:4350;width:7197;height:4324" coordorigin="728,4350" coordsize="7197,4324" path="m728,8673l7924,8673,7924,4350,728,4350,728,8673xe" filled="false" stroked="true" strokeweight=".75pt" strokecolor="#858585">
                <v:path arrowok="t"/>
              </v:shape>
              <v:shape style="position:absolute;left:3200;top:66;width:1316;height:423" type="#_x0000_t202" filled="false" stroked="false">
                <v:textbox inset="0,0,0,0">
                  <w:txbxContent>
                    <w:p>
                      <w:pPr>
                        <w:spacing w:line="179" w:lineRule="exact" w:before="0"/>
                        <w:ind w:left="-49" w:right="0" w:firstLine="0"/>
                        <w:jc w:val="center"/>
                        <w:rPr>
                          <w:rFonts w:ascii="宋体" w:hAnsi="宋体" w:cs="宋体" w:eastAsia="宋体" w:hint="default"/>
                          <w:sz w:val="18"/>
                          <w:szCs w:val="18"/>
                        </w:rPr>
                      </w:pPr>
                      <w:r>
                        <w:rPr>
                          <w:rFonts w:ascii="宋体" w:hAnsi="宋体" w:cs="宋体" w:eastAsia="宋体" w:hint="default"/>
                          <w:b/>
                          <w:bCs/>
                          <w:sz w:val="18"/>
                          <w:szCs w:val="18"/>
                        </w:rPr>
                        <w:t>生产人员</w:t>
                      </w:r>
                      <w:r>
                        <w:rPr>
                          <w:rFonts w:ascii="宋体" w:hAnsi="宋体" w:cs="宋体" w:eastAsia="宋体" w:hint="default"/>
                          <w:sz w:val="18"/>
                          <w:szCs w:val="18"/>
                        </w:rPr>
                      </w:r>
                    </w:p>
                    <w:p>
                      <w:pPr>
                        <w:spacing w:line="244" w:lineRule="exact" w:before="0"/>
                        <w:ind w:left="-1" w:right="0" w:firstLine="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935</w:t>
                      </w:r>
                      <w:r>
                        <w:rPr>
                          <w:rFonts w:ascii="宋体" w:hAnsi="宋体" w:cs="宋体" w:eastAsia="宋体" w:hint="default"/>
                          <w:b/>
                          <w:bCs/>
                          <w:sz w:val="18"/>
                          <w:szCs w:val="18"/>
                        </w:rPr>
                        <w:t>人占比</w:t>
                      </w:r>
                      <w:r>
                        <w:rPr>
                          <w:rFonts w:ascii="Times New Roman" w:hAnsi="Times New Roman" w:cs="Times New Roman" w:eastAsia="Times New Roman" w:hint="default"/>
                          <w:b/>
                          <w:bCs/>
                          <w:sz w:val="18"/>
                          <w:szCs w:val="18"/>
                        </w:rPr>
                        <w:t>3.60%</w:t>
                      </w:r>
                      <w:r>
                        <w:rPr>
                          <w:rFonts w:ascii="Times New Roman" w:hAnsi="Times New Roman" w:cs="Times New Roman" w:eastAsia="Times New Roman" w:hint="default"/>
                          <w:sz w:val="18"/>
                          <w:szCs w:val="18"/>
                        </w:rPr>
                      </w:r>
                    </w:p>
                  </w:txbxContent>
                </v:textbox>
                <w10:wrap type="none"/>
              </v:shape>
              <v:shape style="position:absolute;left:5444;top:109;width:1315;height:423" type="#_x0000_t202" filled="false" stroked="false">
                <v:textbox inset="0,0,0,0">
                  <w:txbxContent>
                    <w:p>
                      <w:pPr>
                        <w:spacing w:line="179" w:lineRule="exact" w:before="0"/>
                        <w:ind w:left="-46" w:right="0" w:firstLine="0"/>
                        <w:jc w:val="center"/>
                        <w:rPr>
                          <w:rFonts w:ascii="宋体" w:hAnsi="宋体" w:cs="宋体" w:eastAsia="宋体" w:hint="default"/>
                          <w:sz w:val="18"/>
                          <w:szCs w:val="18"/>
                        </w:rPr>
                      </w:pPr>
                      <w:r>
                        <w:rPr>
                          <w:rFonts w:ascii="宋体" w:hAnsi="宋体" w:cs="宋体" w:eastAsia="宋体" w:hint="default"/>
                          <w:b/>
                          <w:bCs/>
                          <w:sz w:val="18"/>
                          <w:szCs w:val="18"/>
                        </w:rPr>
                        <w:t>销售人员</w:t>
                      </w:r>
                      <w:r>
                        <w:rPr>
                          <w:rFonts w:ascii="宋体" w:hAnsi="宋体" w:cs="宋体" w:eastAsia="宋体" w:hint="default"/>
                          <w:sz w:val="18"/>
                          <w:szCs w:val="18"/>
                        </w:rPr>
                      </w:r>
                    </w:p>
                    <w:p>
                      <w:pPr>
                        <w:spacing w:line="244" w:lineRule="exact" w:before="0"/>
                        <w:ind w:left="-1" w:right="0" w:firstLine="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619</w:t>
                      </w:r>
                      <w:r>
                        <w:rPr>
                          <w:rFonts w:ascii="宋体" w:hAnsi="宋体" w:cs="宋体" w:eastAsia="宋体" w:hint="default"/>
                          <w:b/>
                          <w:bCs/>
                          <w:sz w:val="18"/>
                          <w:szCs w:val="18"/>
                        </w:rPr>
                        <w:t>人占比</w:t>
                      </w:r>
                      <w:r>
                        <w:rPr>
                          <w:rFonts w:ascii="Times New Roman" w:hAnsi="Times New Roman" w:cs="Times New Roman" w:eastAsia="Times New Roman" w:hint="default"/>
                          <w:b/>
                          <w:bCs/>
                          <w:sz w:val="18"/>
                          <w:szCs w:val="18"/>
                        </w:rPr>
                        <w:t>2.38%</w:t>
                      </w:r>
                      <w:r>
                        <w:rPr>
                          <w:rFonts w:ascii="Times New Roman" w:hAnsi="Times New Roman" w:cs="Times New Roman" w:eastAsia="Times New Roman" w:hint="default"/>
                          <w:sz w:val="18"/>
                          <w:szCs w:val="18"/>
                        </w:rPr>
                      </w:r>
                    </w:p>
                  </w:txbxContent>
                </v:textbox>
                <w10:wrap type="none"/>
              </v:shape>
              <v:shape style="position:absolute;left:67;top:539;width:1450;height:423" type="#_x0000_t202" filled="false" stroked="false">
                <v:textbox inset="0,0,0,0">
                  <w:txbxContent>
                    <w:p>
                      <w:pPr>
                        <w:spacing w:line="185" w:lineRule="exact" w:before="0"/>
                        <w:ind w:left="-7" w:right="0" w:firstLine="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管理人员</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spacing w:line="237" w:lineRule="exact" w:before="0"/>
                        <w:ind w:left="0" w:right="0" w:firstLine="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1,166</w:t>
                      </w:r>
                      <w:r>
                        <w:rPr>
                          <w:rFonts w:ascii="宋体" w:hAnsi="宋体" w:cs="宋体" w:eastAsia="宋体" w:hint="default"/>
                          <w:b/>
                          <w:bCs/>
                          <w:sz w:val="18"/>
                          <w:szCs w:val="18"/>
                        </w:rPr>
                        <w:t>人占比</w:t>
                      </w:r>
                      <w:r>
                        <w:rPr>
                          <w:rFonts w:ascii="Times New Roman" w:hAnsi="Times New Roman" w:cs="Times New Roman" w:eastAsia="Times New Roman" w:hint="default"/>
                          <w:b/>
                          <w:bCs/>
                          <w:sz w:val="18"/>
                          <w:szCs w:val="18"/>
                        </w:rPr>
                        <w:t>4.49%</w:t>
                      </w:r>
                      <w:r>
                        <w:rPr>
                          <w:rFonts w:ascii="Times New Roman" w:hAnsi="Times New Roman" w:cs="Times New Roman" w:eastAsia="Times New Roman" w:hint="default"/>
                          <w:sz w:val="18"/>
                          <w:szCs w:val="18"/>
                        </w:rPr>
                      </w:r>
                    </w:p>
                  </w:txbxContent>
                </v:textbox>
                <w10:wrap type="none"/>
              </v:shape>
              <v:shape style="position:absolute;left:7105;top:465;width:1450;height:423" type="#_x0000_t202" filled="false" stroked="false">
                <v:textbox inset="0,0,0,0">
                  <w:txbxContent>
                    <w:p>
                      <w:pPr>
                        <w:spacing w:line="185" w:lineRule="exact" w:before="0"/>
                        <w:ind w:left="-8" w:right="0" w:firstLine="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技术人员</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spacing w:line="237" w:lineRule="exact" w:before="0"/>
                        <w:ind w:left="0" w:right="0" w:firstLine="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2,456</w:t>
                      </w:r>
                      <w:r>
                        <w:rPr>
                          <w:rFonts w:ascii="宋体" w:hAnsi="宋体" w:cs="宋体" w:eastAsia="宋体" w:hint="default"/>
                          <w:b/>
                          <w:bCs/>
                          <w:sz w:val="18"/>
                          <w:szCs w:val="18"/>
                        </w:rPr>
                        <w:t>人占比</w:t>
                      </w:r>
                      <w:r>
                        <w:rPr>
                          <w:rFonts w:ascii="Times New Roman" w:hAnsi="Times New Roman" w:cs="Times New Roman" w:eastAsia="Times New Roman" w:hint="default"/>
                          <w:b/>
                          <w:bCs/>
                          <w:sz w:val="18"/>
                          <w:szCs w:val="18"/>
                        </w:rPr>
                        <w:t>9.46%</w:t>
                      </w:r>
                      <w:r>
                        <w:rPr>
                          <w:rFonts w:ascii="Times New Roman" w:hAnsi="Times New Roman" w:cs="Times New Roman" w:eastAsia="Times New Roman" w:hint="default"/>
                          <w:sz w:val="18"/>
                          <w:szCs w:val="18"/>
                        </w:rPr>
                      </w:r>
                    </w:p>
                  </w:txbxContent>
                </v:textbox>
                <w10:wrap type="none"/>
              </v:shape>
              <v:shape style="position:absolute;left:7277;top:1309;width:1316;height:423" type="#_x0000_t202" filled="false" stroked="false">
                <v:textbox inset="0,0,0,0">
                  <w:txbxContent>
                    <w:p>
                      <w:pPr>
                        <w:spacing w:line="179" w:lineRule="exact" w:before="0"/>
                        <w:ind w:left="-5" w:right="0" w:firstLine="0"/>
                        <w:jc w:val="center"/>
                        <w:rPr>
                          <w:rFonts w:ascii="宋体" w:hAnsi="宋体" w:cs="宋体" w:eastAsia="宋体" w:hint="default"/>
                          <w:sz w:val="18"/>
                          <w:szCs w:val="18"/>
                        </w:rPr>
                      </w:pPr>
                      <w:r>
                        <w:rPr>
                          <w:rFonts w:ascii="宋体" w:hAnsi="宋体" w:cs="宋体" w:eastAsia="宋体" w:hint="default"/>
                          <w:b/>
                          <w:bCs/>
                          <w:sz w:val="18"/>
                          <w:szCs w:val="18"/>
                        </w:rPr>
                        <w:t>财务人员</w:t>
                      </w:r>
                      <w:r>
                        <w:rPr>
                          <w:rFonts w:ascii="宋体" w:hAnsi="宋体" w:cs="宋体" w:eastAsia="宋体" w:hint="default"/>
                          <w:sz w:val="18"/>
                          <w:szCs w:val="18"/>
                        </w:rPr>
                      </w:r>
                    </w:p>
                    <w:p>
                      <w:pPr>
                        <w:spacing w:line="244" w:lineRule="exact" w:before="0"/>
                        <w:ind w:left="0" w:right="0" w:firstLine="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200</w:t>
                      </w:r>
                      <w:r>
                        <w:rPr>
                          <w:rFonts w:ascii="宋体" w:hAnsi="宋体" w:cs="宋体" w:eastAsia="宋体" w:hint="default"/>
                          <w:b/>
                          <w:bCs/>
                          <w:sz w:val="18"/>
                          <w:szCs w:val="18"/>
                        </w:rPr>
                        <w:t>人占比</w:t>
                      </w:r>
                      <w:r>
                        <w:rPr>
                          <w:rFonts w:ascii="Times New Roman" w:hAnsi="Times New Roman" w:cs="Times New Roman" w:eastAsia="Times New Roman" w:hint="default"/>
                          <w:b/>
                          <w:bCs/>
                          <w:sz w:val="18"/>
                          <w:szCs w:val="18"/>
                        </w:rPr>
                        <w:t>0.77%</w:t>
                      </w:r>
                      <w:r>
                        <w:rPr>
                          <w:rFonts w:ascii="Times New Roman" w:hAnsi="Times New Roman" w:cs="Times New Roman" w:eastAsia="Times New Roman" w:hint="default"/>
                          <w:sz w:val="18"/>
                          <w:szCs w:val="18"/>
                        </w:rPr>
                      </w:r>
                    </w:p>
                  </w:txbxContent>
                </v:textbox>
                <w10:wrap type="none"/>
              </v:shape>
              <v:shape style="position:absolute;left:2990;top:1869;width:1275;height:649" type="#_x0000_t202" filled="false" stroked="false">
                <v:textbox inset="0,0,0,0">
                  <w:txbxContent>
                    <w:p>
                      <w:pPr>
                        <w:spacing w:line="179" w:lineRule="exact" w:before="0"/>
                        <w:ind w:left="0" w:right="0" w:firstLine="0"/>
                        <w:jc w:val="center"/>
                        <w:rPr>
                          <w:rFonts w:ascii="宋体" w:hAnsi="宋体" w:cs="宋体" w:eastAsia="宋体" w:hint="default"/>
                          <w:sz w:val="18"/>
                          <w:szCs w:val="18"/>
                        </w:rPr>
                      </w:pPr>
                      <w:r>
                        <w:rPr>
                          <w:rFonts w:ascii="宋体" w:hAnsi="宋体" w:cs="宋体" w:eastAsia="宋体" w:hint="default"/>
                          <w:b/>
                          <w:bCs/>
                          <w:sz w:val="18"/>
                          <w:szCs w:val="18"/>
                        </w:rPr>
                        <w:t>服务人员</w:t>
                      </w:r>
                      <w:r>
                        <w:rPr>
                          <w:rFonts w:ascii="宋体" w:hAnsi="宋体" w:cs="宋体" w:eastAsia="宋体" w:hint="default"/>
                          <w:sz w:val="18"/>
                          <w:szCs w:val="18"/>
                        </w:rPr>
                      </w:r>
                    </w:p>
                    <w:p>
                      <w:pPr>
                        <w:spacing w:line="234" w:lineRule="exact" w:before="0"/>
                        <w:ind w:left="0" w:right="0" w:firstLine="0"/>
                        <w:jc w:val="center"/>
                        <w:rPr>
                          <w:rFonts w:ascii="宋体" w:hAnsi="宋体" w:cs="宋体" w:eastAsia="宋体" w:hint="default"/>
                          <w:sz w:val="18"/>
                          <w:szCs w:val="18"/>
                        </w:rPr>
                      </w:pPr>
                      <w:r>
                        <w:rPr>
                          <w:rFonts w:ascii="宋体" w:hAnsi="宋体" w:cs="宋体" w:eastAsia="宋体" w:hint="default"/>
                          <w:b/>
                          <w:bCs/>
                          <w:sz w:val="18"/>
                          <w:szCs w:val="18"/>
                        </w:rPr>
                        <w:t>20,301</w:t>
                      </w:r>
                      <w:r>
                        <w:rPr>
                          <w:rFonts w:ascii="宋体" w:hAnsi="宋体" w:cs="宋体" w:eastAsia="宋体" w:hint="default"/>
                          <w:b/>
                          <w:bCs/>
                          <w:sz w:val="18"/>
                          <w:szCs w:val="18"/>
                        </w:rPr>
                        <w:t>人，占比</w:t>
                      </w:r>
                      <w:r>
                        <w:rPr>
                          <w:rFonts w:ascii="宋体" w:hAnsi="宋体" w:cs="宋体" w:eastAsia="宋体" w:hint="default"/>
                          <w:sz w:val="18"/>
                          <w:szCs w:val="18"/>
                        </w:rPr>
                      </w:r>
                    </w:p>
                    <w:p>
                      <w:pPr>
                        <w:spacing w:before="0"/>
                        <w:ind w:left="0" w:right="0" w:firstLine="0"/>
                        <w:jc w:val="center"/>
                        <w:rPr>
                          <w:rFonts w:ascii="宋体" w:hAnsi="宋体" w:cs="宋体" w:eastAsia="宋体" w:hint="default"/>
                          <w:sz w:val="18"/>
                          <w:szCs w:val="18"/>
                        </w:rPr>
                      </w:pPr>
                      <w:r>
                        <w:rPr>
                          <w:rFonts w:ascii="宋体"/>
                          <w:b/>
                          <w:sz w:val="18"/>
                        </w:rPr>
                        <w:t>78.21%</w:t>
                      </w:r>
                      <w:r>
                        <w:rPr>
                          <w:rFonts w:ascii="宋体"/>
                          <w:sz w:val="18"/>
                        </w:rPr>
                      </w:r>
                    </w:p>
                  </w:txbxContent>
                </v:textbox>
                <w10:wrap type="none"/>
              </v:shape>
              <v:shape style="position:absolute;left:7277;top:2491;width:1316;height:423" type="#_x0000_t202" filled="false" stroked="false">
                <v:textbox inset="0,0,0,0">
                  <w:txbxContent>
                    <w:p>
                      <w:pPr>
                        <w:spacing w:line="179" w:lineRule="exact" w:before="0"/>
                        <w:ind w:left="-5" w:right="0" w:firstLine="0"/>
                        <w:jc w:val="center"/>
                        <w:rPr>
                          <w:rFonts w:ascii="宋体" w:hAnsi="宋体" w:cs="宋体" w:eastAsia="宋体" w:hint="default"/>
                          <w:sz w:val="18"/>
                          <w:szCs w:val="18"/>
                        </w:rPr>
                      </w:pPr>
                      <w:r>
                        <w:rPr>
                          <w:rFonts w:ascii="宋体" w:hAnsi="宋体" w:cs="宋体" w:eastAsia="宋体" w:hint="default"/>
                          <w:b/>
                          <w:bCs/>
                          <w:sz w:val="18"/>
                          <w:szCs w:val="18"/>
                        </w:rPr>
                        <w:t>行政人员</w:t>
                      </w:r>
                      <w:r>
                        <w:rPr>
                          <w:rFonts w:ascii="宋体" w:hAnsi="宋体" w:cs="宋体" w:eastAsia="宋体" w:hint="default"/>
                          <w:sz w:val="18"/>
                          <w:szCs w:val="18"/>
                        </w:rPr>
                      </w:r>
                    </w:p>
                    <w:p>
                      <w:pPr>
                        <w:spacing w:line="244" w:lineRule="exact" w:before="0"/>
                        <w:ind w:left="0" w:right="0" w:firstLine="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279</w:t>
                      </w:r>
                      <w:r>
                        <w:rPr>
                          <w:rFonts w:ascii="宋体" w:hAnsi="宋体" w:cs="宋体" w:eastAsia="宋体" w:hint="default"/>
                          <w:b/>
                          <w:bCs/>
                          <w:sz w:val="18"/>
                          <w:szCs w:val="18"/>
                        </w:rPr>
                        <w:t>人占比</w:t>
                      </w:r>
                      <w:r>
                        <w:rPr>
                          <w:rFonts w:ascii="Times New Roman" w:hAnsi="Times New Roman" w:cs="Times New Roman" w:eastAsia="Times New Roman" w:hint="default"/>
                          <w:b/>
                          <w:bCs/>
                          <w:sz w:val="18"/>
                          <w:szCs w:val="18"/>
                        </w:rPr>
                        <w:t>1.07%</w:t>
                      </w:r>
                      <w:r>
                        <w:rPr>
                          <w:rFonts w:ascii="Times New Roman" w:hAnsi="Times New Roman" w:cs="Times New Roman" w:eastAsia="Times New Roman" w:hint="default"/>
                          <w:sz w:val="18"/>
                          <w:szCs w:val="18"/>
                        </w:rPr>
                      </w:r>
                    </w:p>
                  </w:txbxContent>
                </v:textbox>
                <w10:wrap type="none"/>
              </v:shape>
              <v:shape style="position:absolute;left:1299;top:4409;width:1004;height:648" type="#_x0000_t202" filled="false" stroked="false">
                <v:textbox inset="0,0,0,0">
                  <w:txbxContent>
                    <w:p>
                      <w:pPr>
                        <w:spacing w:line="179" w:lineRule="exact" w:before="0"/>
                        <w:ind w:left="-1" w:right="0" w:firstLine="0"/>
                        <w:jc w:val="center"/>
                        <w:rPr>
                          <w:rFonts w:ascii="宋体" w:hAnsi="宋体" w:cs="宋体" w:eastAsia="宋体" w:hint="default"/>
                          <w:sz w:val="18"/>
                          <w:szCs w:val="18"/>
                        </w:rPr>
                      </w:pPr>
                      <w:r>
                        <w:rPr>
                          <w:rFonts w:ascii="宋体" w:hAnsi="宋体" w:cs="宋体" w:eastAsia="宋体" w:hint="default"/>
                          <w:b/>
                          <w:bCs/>
                          <w:sz w:val="18"/>
                          <w:szCs w:val="18"/>
                        </w:rPr>
                        <w:t>中专以下</w:t>
                      </w:r>
                      <w:r>
                        <w:rPr>
                          <w:rFonts w:ascii="宋体" w:hAnsi="宋体" w:cs="宋体" w:eastAsia="宋体" w:hint="default"/>
                          <w:sz w:val="18"/>
                          <w:szCs w:val="18"/>
                        </w:rPr>
                      </w:r>
                    </w:p>
                    <w:p>
                      <w:pPr>
                        <w:spacing w:line="234" w:lineRule="exact" w:before="0"/>
                        <w:ind w:left="0" w:right="0" w:firstLine="0"/>
                        <w:jc w:val="center"/>
                        <w:rPr>
                          <w:rFonts w:ascii="宋体" w:hAnsi="宋体" w:cs="宋体" w:eastAsia="宋体" w:hint="default"/>
                          <w:sz w:val="18"/>
                          <w:szCs w:val="18"/>
                        </w:rPr>
                      </w:pPr>
                      <w:r>
                        <w:rPr>
                          <w:rFonts w:ascii="宋体" w:hAnsi="宋体" w:cs="宋体" w:eastAsia="宋体" w:hint="default"/>
                          <w:b/>
                          <w:bCs/>
                          <w:sz w:val="18"/>
                          <w:szCs w:val="18"/>
                        </w:rPr>
                        <w:t>3,857</w:t>
                      </w:r>
                      <w:r>
                        <w:rPr>
                          <w:rFonts w:ascii="宋体" w:hAnsi="宋体" w:cs="宋体" w:eastAsia="宋体" w:hint="default"/>
                          <w:b/>
                          <w:bCs/>
                          <w:sz w:val="18"/>
                          <w:szCs w:val="18"/>
                        </w:rPr>
                        <w:t>人占比</w:t>
                      </w:r>
                      <w:r>
                        <w:rPr>
                          <w:rFonts w:ascii="宋体" w:hAnsi="宋体" w:cs="宋体" w:eastAsia="宋体" w:hint="default"/>
                          <w:sz w:val="18"/>
                          <w:szCs w:val="18"/>
                        </w:rPr>
                      </w:r>
                    </w:p>
                    <w:p>
                      <w:pPr>
                        <w:spacing w:before="0"/>
                        <w:ind w:left="0" w:right="0" w:firstLine="0"/>
                        <w:jc w:val="center"/>
                        <w:rPr>
                          <w:rFonts w:ascii="宋体" w:hAnsi="宋体" w:cs="宋体" w:eastAsia="宋体" w:hint="default"/>
                          <w:sz w:val="18"/>
                          <w:szCs w:val="18"/>
                        </w:rPr>
                      </w:pPr>
                      <w:r>
                        <w:rPr>
                          <w:rFonts w:ascii="宋体"/>
                          <w:b/>
                          <w:sz w:val="18"/>
                        </w:rPr>
                        <w:t>14.86%</w:t>
                      </w:r>
                      <w:r>
                        <w:rPr>
                          <w:rFonts w:ascii="宋体"/>
                          <w:sz w:val="18"/>
                        </w:rPr>
                      </w:r>
                    </w:p>
                  </w:txbxContent>
                </v:textbox>
                <w10:wrap type="none"/>
              </v:shape>
              <v:shape style="position:absolute;left:6099;top:4669;width:1273;height:413" type="#_x0000_t202" filled="false" stroked="false">
                <v:textbox inset="0,0,0,0">
                  <w:txbxContent>
                    <w:p>
                      <w:pPr>
                        <w:spacing w:line="179" w:lineRule="exact" w:before="0"/>
                        <w:ind w:left="0" w:right="0" w:firstLine="91"/>
                        <w:jc w:val="left"/>
                        <w:rPr>
                          <w:rFonts w:ascii="宋体" w:hAnsi="宋体" w:cs="宋体" w:eastAsia="宋体" w:hint="default"/>
                          <w:sz w:val="18"/>
                          <w:szCs w:val="18"/>
                        </w:rPr>
                      </w:pPr>
                      <w:r>
                        <w:rPr>
                          <w:rFonts w:ascii="宋体" w:hAnsi="宋体" w:cs="宋体" w:eastAsia="宋体" w:hint="default"/>
                          <w:b/>
                          <w:bCs/>
                          <w:sz w:val="18"/>
                          <w:szCs w:val="18"/>
                        </w:rPr>
                        <w:t>研究生及以上</w:t>
                      </w:r>
                      <w:r>
                        <w:rPr>
                          <w:rFonts w:ascii="宋体" w:hAnsi="宋体" w:cs="宋体" w:eastAsia="宋体" w:hint="default"/>
                          <w:sz w:val="18"/>
                          <w:szCs w:val="18"/>
                        </w:rPr>
                      </w:r>
                    </w:p>
                    <w:p>
                      <w:pPr>
                        <w:spacing w:line="234"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372</w:t>
                      </w:r>
                      <w:r>
                        <w:rPr>
                          <w:rFonts w:ascii="宋体" w:hAnsi="宋体" w:cs="宋体" w:eastAsia="宋体" w:hint="default"/>
                          <w:b/>
                          <w:bCs/>
                          <w:sz w:val="18"/>
                          <w:szCs w:val="18"/>
                        </w:rPr>
                        <w:t>人占比</w:t>
                      </w:r>
                      <w:r>
                        <w:rPr>
                          <w:rFonts w:ascii="宋体" w:hAnsi="宋体" w:cs="宋体" w:eastAsia="宋体" w:hint="default"/>
                          <w:b/>
                          <w:bCs/>
                          <w:sz w:val="18"/>
                          <w:szCs w:val="18"/>
                        </w:rPr>
                        <w:t>1.43%</w:t>
                      </w:r>
                      <w:r>
                        <w:rPr>
                          <w:rFonts w:ascii="宋体" w:hAnsi="宋体" w:cs="宋体" w:eastAsia="宋体" w:hint="default"/>
                          <w:sz w:val="18"/>
                          <w:szCs w:val="18"/>
                        </w:rPr>
                      </w:r>
                    </w:p>
                  </w:txbxContent>
                </v:textbox>
                <w10:wrap type="none"/>
              </v:shape>
              <v:shape style="position:absolute;left:2482;top:5914;width:1003;height:648" type="#_x0000_t202" filled="false" stroked="false">
                <v:textbox inset="0,0,0,0">
                  <w:txbxContent>
                    <w:p>
                      <w:pPr>
                        <w:spacing w:line="179" w:lineRule="exact" w:before="0"/>
                        <w:ind w:left="0" w:right="0" w:firstLine="0"/>
                        <w:jc w:val="center"/>
                        <w:rPr>
                          <w:rFonts w:ascii="宋体" w:hAnsi="宋体" w:cs="宋体" w:eastAsia="宋体" w:hint="default"/>
                          <w:sz w:val="18"/>
                          <w:szCs w:val="18"/>
                        </w:rPr>
                      </w:pPr>
                      <w:r>
                        <w:rPr>
                          <w:rFonts w:ascii="宋体" w:hAnsi="宋体" w:cs="宋体" w:eastAsia="宋体" w:hint="default"/>
                          <w:b/>
                          <w:bCs/>
                          <w:sz w:val="18"/>
                          <w:szCs w:val="18"/>
                        </w:rPr>
                        <w:t>中专</w:t>
                      </w:r>
                      <w:r>
                        <w:rPr>
                          <w:rFonts w:ascii="宋体" w:hAnsi="宋体" w:cs="宋体" w:eastAsia="宋体" w:hint="default"/>
                          <w:sz w:val="18"/>
                          <w:szCs w:val="18"/>
                        </w:rPr>
                      </w:r>
                    </w:p>
                    <w:p>
                      <w:pPr>
                        <w:spacing w:line="234" w:lineRule="exact" w:before="0"/>
                        <w:ind w:left="0" w:right="0" w:firstLine="0"/>
                        <w:jc w:val="center"/>
                        <w:rPr>
                          <w:rFonts w:ascii="宋体" w:hAnsi="宋体" w:cs="宋体" w:eastAsia="宋体" w:hint="default"/>
                          <w:sz w:val="18"/>
                          <w:szCs w:val="18"/>
                        </w:rPr>
                      </w:pPr>
                      <w:r>
                        <w:rPr>
                          <w:rFonts w:ascii="宋体" w:hAnsi="宋体" w:cs="宋体" w:eastAsia="宋体" w:hint="default"/>
                          <w:b/>
                          <w:bCs/>
                          <w:sz w:val="18"/>
                          <w:szCs w:val="18"/>
                        </w:rPr>
                        <w:t>8,238</w:t>
                      </w:r>
                      <w:r>
                        <w:rPr>
                          <w:rFonts w:ascii="宋体" w:hAnsi="宋体" w:cs="宋体" w:eastAsia="宋体" w:hint="default"/>
                          <w:b/>
                          <w:bCs/>
                          <w:sz w:val="18"/>
                          <w:szCs w:val="18"/>
                        </w:rPr>
                        <w:t>人占比</w:t>
                      </w:r>
                      <w:r>
                        <w:rPr>
                          <w:rFonts w:ascii="宋体" w:hAnsi="宋体" w:cs="宋体" w:eastAsia="宋体" w:hint="default"/>
                          <w:sz w:val="18"/>
                          <w:szCs w:val="18"/>
                        </w:rPr>
                      </w:r>
                    </w:p>
                    <w:p>
                      <w:pPr>
                        <w:spacing w:before="0"/>
                        <w:ind w:left="0" w:right="1" w:firstLine="0"/>
                        <w:jc w:val="center"/>
                        <w:rPr>
                          <w:rFonts w:ascii="宋体" w:hAnsi="宋体" w:cs="宋体" w:eastAsia="宋体" w:hint="default"/>
                          <w:sz w:val="18"/>
                          <w:szCs w:val="18"/>
                        </w:rPr>
                      </w:pPr>
                      <w:r>
                        <w:rPr>
                          <w:rFonts w:ascii="宋体"/>
                          <w:b/>
                          <w:sz w:val="18"/>
                        </w:rPr>
                        <w:t>31.74%</w:t>
                      </w:r>
                      <w:r>
                        <w:rPr>
                          <w:rFonts w:ascii="宋体"/>
                          <w:sz w:val="18"/>
                        </w:rPr>
                      </w:r>
                    </w:p>
                  </w:txbxContent>
                </v:textbox>
                <w10:wrap type="none"/>
              </v:shape>
              <v:shape style="position:absolute;left:4923;top:5881;width:1092;height:648" type="#_x0000_t202" filled="false" stroked="false">
                <v:textbox inset="0,0,0,0">
                  <w:txbxContent>
                    <w:p>
                      <w:pPr>
                        <w:spacing w:line="179" w:lineRule="exact" w:before="0"/>
                        <w:ind w:left="0" w:right="0" w:firstLine="0"/>
                        <w:jc w:val="center"/>
                        <w:rPr>
                          <w:rFonts w:ascii="宋体" w:hAnsi="宋体" w:cs="宋体" w:eastAsia="宋体" w:hint="default"/>
                          <w:sz w:val="18"/>
                          <w:szCs w:val="18"/>
                        </w:rPr>
                      </w:pPr>
                      <w:r>
                        <w:rPr>
                          <w:rFonts w:ascii="宋体" w:hAnsi="宋体" w:cs="宋体" w:eastAsia="宋体" w:hint="default"/>
                          <w:b/>
                          <w:bCs/>
                          <w:sz w:val="18"/>
                          <w:szCs w:val="18"/>
                        </w:rPr>
                        <w:t>本科及大专</w:t>
                      </w:r>
                      <w:r>
                        <w:rPr>
                          <w:rFonts w:ascii="宋体" w:hAnsi="宋体" w:cs="宋体" w:eastAsia="宋体" w:hint="default"/>
                          <w:sz w:val="18"/>
                          <w:szCs w:val="18"/>
                        </w:rPr>
                      </w:r>
                    </w:p>
                    <w:p>
                      <w:pPr>
                        <w:spacing w:line="234" w:lineRule="exact" w:before="0"/>
                        <w:ind w:left="0" w:right="0" w:firstLine="0"/>
                        <w:jc w:val="center"/>
                        <w:rPr>
                          <w:rFonts w:ascii="宋体" w:hAnsi="宋体" w:cs="宋体" w:eastAsia="宋体" w:hint="default"/>
                          <w:sz w:val="18"/>
                          <w:szCs w:val="18"/>
                        </w:rPr>
                      </w:pPr>
                      <w:r>
                        <w:rPr>
                          <w:rFonts w:ascii="宋体" w:hAnsi="宋体" w:cs="宋体" w:eastAsia="宋体" w:hint="default"/>
                          <w:b/>
                          <w:bCs/>
                          <w:sz w:val="18"/>
                          <w:szCs w:val="18"/>
                        </w:rPr>
                        <w:t>13,489</w:t>
                      </w:r>
                      <w:r>
                        <w:rPr>
                          <w:rFonts w:ascii="宋体" w:hAnsi="宋体" w:cs="宋体" w:eastAsia="宋体" w:hint="default"/>
                          <w:b/>
                          <w:bCs/>
                          <w:sz w:val="18"/>
                          <w:szCs w:val="18"/>
                        </w:rPr>
                        <w:t>人占比</w:t>
                      </w:r>
                      <w:r>
                        <w:rPr>
                          <w:rFonts w:ascii="宋体" w:hAnsi="宋体" w:cs="宋体" w:eastAsia="宋体" w:hint="default"/>
                          <w:sz w:val="18"/>
                          <w:szCs w:val="18"/>
                        </w:rPr>
                      </w:r>
                    </w:p>
                    <w:p>
                      <w:pPr>
                        <w:spacing w:before="0"/>
                        <w:ind w:left="0" w:right="0" w:firstLine="0"/>
                        <w:jc w:val="center"/>
                        <w:rPr>
                          <w:rFonts w:ascii="宋体" w:hAnsi="宋体" w:cs="宋体" w:eastAsia="宋体" w:hint="default"/>
                          <w:sz w:val="18"/>
                          <w:szCs w:val="18"/>
                        </w:rPr>
                      </w:pPr>
                      <w:r>
                        <w:rPr>
                          <w:rFonts w:ascii="宋体"/>
                          <w:b/>
                          <w:sz w:val="18"/>
                        </w:rPr>
                        <w:t>51.97%</w:t>
                      </w:r>
                      <w:r>
                        <w:rPr>
                          <w:rFonts w:ascii="宋体"/>
                          <w:sz w:val="18"/>
                        </w:rPr>
                      </w:r>
                    </w:p>
                  </w:txbxContent>
                </v:textbox>
                <w10:wrap type="none"/>
              </v:shape>
            </v:group>
          </v:group>
        </w:pict>
      </w:r>
      <w:r>
        <w:rPr>
          <w:rFonts w:ascii="宋体" w:hAnsi="宋体" w:cs="宋体" w:eastAsia="宋体" w:hint="default"/>
          <w:position w:val="-173"/>
          <w:sz w:val="20"/>
          <w:szCs w:val="20"/>
        </w:rPr>
      </w:r>
    </w:p>
    <w:p>
      <w:pPr>
        <w:spacing w:line="240" w:lineRule="auto" w:before="12"/>
        <w:rPr>
          <w:rFonts w:ascii="宋体" w:hAnsi="宋体" w:cs="宋体" w:eastAsia="宋体" w:hint="default"/>
          <w:b/>
          <w:bCs/>
          <w:sz w:val="20"/>
          <w:szCs w:val="20"/>
        </w:rPr>
      </w:pPr>
    </w:p>
    <w:p>
      <w:pPr>
        <w:pStyle w:val="Heading4"/>
        <w:spacing w:line="240" w:lineRule="auto" w:before="37"/>
        <w:ind w:right="1034"/>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11"/>
        <w:rPr>
          <w:rFonts w:ascii="宋体" w:hAnsi="宋体" w:cs="宋体" w:eastAsia="宋体" w:hint="default"/>
          <w:b/>
          <w:bCs/>
          <w:sz w:val="26"/>
          <w:szCs w:val="26"/>
        </w:rPr>
      </w:pPr>
    </w:p>
    <w:p>
      <w:pPr>
        <w:pStyle w:val="BodyText"/>
        <w:spacing w:line="319" w:lineRule="auto"/>
        <w:ind w:right="1133" w:firstLine="360"/>
        <w:jc w:val="both"/>
      </w:pPr>
      <w:r>
        <w:rPr>
          <w:spacing w:val="-2"/>
        </w:rPr>
        <w:t>为适应企业发展需要，充分发挥薪酬的激励作用，以公平、竞争、激励、经济、合法的原则制定薪酬政策。根据岗位价</w:t>
      </w:r>
      <w:r>
        <w:rPr/>
        <w:t> </w:t>
      </w:r>
      <w:r>
        <w:rPr>
          <w:spacing w:val="-2"/>
        </w:rPr>
        <w:t>值、个人能力、工作绩效结合市场薪酬水平和公司的支付能力提供具有竞争力的薪酬水平。同时，结合各版块的业务特点和</w:t>
      </w:r>
      <w:r>
        <w:rPr>
          <w:spacing w:val="-66"/>
        </w:rPr>
        <w:t> </w:t>
      </w:r>
      <w:r>
        <w:rPr>
          <w:spacing w:val="-66"/>
        </w:rPr>
      </w:r>
      <w:r>
        <w:rPr>
          <w:spacing w:val="-2"/>
        </w:rPr>
        <w:t>激励需要构建相对科学的考核体系，建立考核与工资、奖金、调薪、晋升及培训挂钩的机制，为骨干员工和优秀人才提供中</w:t>
      </w:r>
      <w:r>
        <w:rPr>
          <w:spacing w:val="-67"/>
        </w:rPr>
        <w:t> </w:t>
      </w:r>
      <w:r>
        <w:rPr>
          <w:spacing w:val="-67"/>
        </w:rPr>
      </w:r>
      <w:r>
        <w:rPr/>
        <w:t>长期的激励政策，最大限度地发挥和调动员工的积极性和主动性。</w:t>
      </w:r>
    </w:p>
    <w:p>
      <w:pPr>
        <w:spacing w:after="0" w:line="319" w:lineRule="auto"/>
        <w:jc w:val="both"/>
        <w:sectPr>
          <w:pgSz w:w="11910" w:h="16840"/>
          <w:pgMar w:header="877" w:footer="979" w:top="1100" w:bottom="1160" w:left="980" w:right="0"/>
        </w:sectPr>
      </w:pPr>
    </w:p>
    <w:p>
      <w:pPr>
        <w:spacing w:line="240" w:lineRule="auto" w:before="4"/>
        <w:rPr>
          <w:rFonts w:ascii="宋体" w:hAnsi="宋体" w:cs="宋体" w:eastAsia="宋体" w:hint="default"/>
          <w:sz w:val="21"/>
          <w:szCs w:val="21"/>
        </w:rPr>
      </w:pPr>
    </w:p>
    <w:p>
      <w:pPr>
        <w:pStyle w:val="Heading4"/>
        <w:spacing w:line="240" w:lineRule="auto" w:before="37"/>
        <w:ind w:right="1034"/>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11"/>
        <w:rPr>
          <w:rFonts w:ascii="宋体" w:hAnsi="宋体" w:cs="宋体" w:eastAsia="宋体" w:hint="default"/>
          <w:b/>
          <w:bCs/>
          <w:sz w:val="26"/>
          <w:szCs w:val="26"/>
        </w:rPr>
      </w:pPr>
    </w:p>
    <w:p>
      <w:pPr>
        <w:pStyle w:val="BodyText"/>
        <w:spacing w:line="309" w:lineRule="auto"/>
        <w:ind w:right="1128" w:firstLine="360"/>
        <w:jc w:val="both"/>
      </w:pPr>
      <w:r>
        <w:rPr>
          <w:spacing w:val="-2"/>
        </w:rPr>
        <w:t>公司建立了以支持发展战略为目标，以贴近业务流程为基础，以解决业务实际问题为出发点的实战型培训体系。从培训</w:t>
      </w:r>
      <w:r>
        <w:rPr/>
        <w:t> </w:t>
      </w:r>
      <w:r>
        <w:rPr>
          <w:spacing w:val="-2"/>
        </w:rPr>
        <w:t>资源、政策等方面覆盖公司各业务系统及各子公司，为帮助员工成长、支持公司战略完成贡献最大的力量。</w:t>
      </w:r>
      <w:r>
        <w:rPr>
          <w:rFonts w:ascii="Times New Roman" w:hAnsi="Times New Roman" w:cs="Times New Roman" w:eastAsia="Times New Roman" w:hint="default"/>
          <w:spacing w:val="-2"/>
        </w:rPr>
        <w:t>2018</w:t>
      </w:r>
      <w:r>
        <w:rPr>
          <w:spacing w:val="-2"/>
        </w:rPr>
        <w:t>年公司共培</w:t>
      </w:r>
      <w:r>
        <w:rPr>
          <w:spacing w:val="-60"/>
        </w:rPr>
        <w:t> </w:t>
      </w:r>
      <w:r>
        <w:rPr>
          <w:spacing w:val="-60"/>
        </w:rPr>
      </w:r>
      <w:r>
        <w:rPr>
          <w:spacing w:val="-1"/>
        </w:rPr>
        <w:t>训</w:t>
      </w:r>
      <w:r>
        <w:rPr>
          <w:rFonts w:ascii="Times New Roman" w:hAnsi="Times New Roman" w:cs="Times New Roman" w:eastAsia="Times New Roman" w:hint="default"/>
          <w:spacing w:val="-1"/>
        </w:rPr>
        <w:t>156</w:t>
      </w:r>
      <w:r>
        <w:rPr>
          <w:spacing w:val="-1"/>
        </w:rPr>
        <w:t>场次，培训课时</w:t>
      </w:r>
      <w:r>
        <w:rPr>
          <w:rFonts w:ascii="Times New Roman" w:hAnsi="Times New Roman" w:cs="Times New Roman" w:eastAsia="Times New Roman" w:hint="default"/>
          <w:spacing w:val="-1"/>
        </w:rPr>
        <w:t>12,632.65</w:t>
      </w:r>
      <w:r>
        <w:rPr>
          <w:spacing w:val="-1"/>
        </w:rPr>
        <w:t>小时，合计培训</w:t>
      </w:r>
      <w:r>
        <w:rPr>
          <w:rFonts w:ascii="Times New Roman" w:hAnsi="Times New Roman" w:cs="Times New Roman" w:eastAsia="Times New Roman" w:hint="default"/>
          <w:spacing w:val="-1"/>
        </w:rPr>
        <w:t>4,229</w:t>
      </w:r>
      <w:r>
        <w:rPr>
          <w:spacing w:val="-1"/>
        </w:rPr>
        <w:t>人次，大大提高了公司员工的综合素质，为企业的发展进一步提升了竞</w:t>
      </w:r>
      <w:r>
        <w:rPr>
          <w:spacing w:val="-72"/>
        </w:rPr>
        <w:t> </w:t>
      </w:r>
      <w:r>
        <w:rPr>
          <w:spacing w:val="-72"/>
        </w:rPr>
      </w:r>
      <w:r>
        <w:rPr>
          <w:spacing w:val="-5"/>
        </w:rPr>
        <w:t>争力。</w:t>
      </w:r>
      <w:r>
        <w:rPr>
          <w:rFonts w:ascii="Times New Roman" w:hAnsi="Times New Roman" w:cs="Times New Roman" w:eastAsia="Times New Roman" w:hint="default"/>
          <w:spacing w:val="-5"/>
        </w:rPr>
        <w:t>2019</w:t>
      </w:r>
      <w:r>
        <w:rPr>
          <w:spacing w:val="-5"/>
        </w:rPr>
        <w:t>年，公司年度培训工作将以年度经营方针为指导，围绕年度发展战略，结合业务实际，系统性构筑培训发展能力。</w:t>
      </w:r>
      <w:r>
        <w:rPr>
          <w:spacing w:val="-72"/>
        </w:rPr>
        <w:t> </w:t>
      </w:r>
      <w:r>
        <w:rPr>
          <w:spacing w:val="-72"/>
        </w:rPr>
      </w:r>
      <w:r>
        <w:rPr>
          <w:rFonts w:ascii="Times New Roman" w:hAnsi="Times New Roman" w:cs="Times New Roman" w:eastAsia="Times New Roman" w:hint="default"/>
          <w:spacing w:val="-2"/>
        </w:rPr>
        <w:t>2019</w:t>
      </w:r>
      <w:r>
        <w:rPr>
          <w:spacing w:val="-2"/>
        </w:rPr>
        <w:t>年培训工作将持续以培训体系建设为核心，重点推进“干部能力提升计划”、“应届生培养计划”、“专题课堂”等项</w:t>
      </w:r>
      <w:r>
        <w:rPr>
          <w:spacing w:val="-66"/>
        </w:rPr>
        <w:t> </w:t>
      </w:r>
      <w:r>
        <w:rPr>
          <w:spacing w:val="-66"/>
        </w:rPr>
      </w:r>
      <w:r>
        <w:rPr>
          <w:spacing w:val="-2"/>
        </w:rPr>
        <w:t>目，主抓干部队伍建设和新人培养，打造高素质领军人梯队，构建具有广电运通特色的培训体系。在课程体系建设上，结合</w:t>
      </w:r>
      <w:r>
        <w:rPr>
          <w:spacing w:val="-67"/>
        </w:rPr>
        <w:t> </w:t>
      </w:r>
      <w:r>
        <w:rPr>
          <w:spacing w:val="-67"/>
        </w:rPr>
      </w:r>
      <w:r>
        <w:rPr>
          <w:spacing w:val="-2"/>
        </w:rPr>
        <w:t>内外部课程资源，梳理制定“新员工必修课”和“干部必修课”等课程清单，为员工提供相对系统的学习提升方案。在制度</w:t>
      </w:r>
      <w:r>
        <w:rPr>
          <w:spacing w:val="-73"/>
        </w:rPr>
        <w:t> </w:t>
      </w:r>
      <w:r>
        <w:rPr>
          <w:spacing w:val="-73"/>
        </w:rPr>
      </w:r>
      <w:r>
        <w:rPr>
          <w:spacing w:val="-2"/>
        </w:rPr>
        <w:t>建设上，修订内部讲师管理办法及培训积分规则，实施课酬改革，并将员工学习与个人月度、季度考核进行关联。同时，全</w:t>
      </w:r>
      <w:r>
        <w:rPr>
          <w:spacing w:val="-70"/>
        </w:rPr>
        <w:t> </w:t>
      </w:r>
      <w:r>
        <w:rPr>
          <w:spacing w:val="-70"/>
        </w:rPr>
      </w:r>
      <w:r>
        <w:rPr>
          <w:spacing w:val="-2"/>
        </w:rPr>
        <w:t>面推行线上学习，持续推进课程资源电子化（录制微课），利用移动学习优势提高培训效率及培训管理水平，助推公司业绩</w:t>
      </w:r>
      <w:r>
        <w:rPr>
          <w:spacing w:val="-64"/>
        </w:rPr>
        <w:t> </w:t>
      </w:r>
      <w:r>
        <w:rPr>
          <w:spacing w:val="-64"/>
        </w:rPr>
      </w:r>
      <w:r>
        <w:rPr/>
        <w:t>目标达成和战略实施。</w:t>
      </w:r>
    </w:p>
    <w:p>
      <w:pPr>
        <w:spacing w:line="240" w:lineRule="auto" w:before="10"/>
        <w:rPr>
          <w:rFonts w:ascii="宋体" w:hAnsi="宋体" w:cs="宋体" w:eastAsia="宋体" w:hint="default"/>
          <w:sz w:val="23"/>
          <w:szCs w:val="23"/>
        </w:rPr>
      </w:pPr>
    </w:p>
    <w:p>
      <w:pPr>
        <w:pStyle w:val="Heading4"/>
        <w:spacing w:line="240" w:lineRule="auto"/>
        <w:ind w:right="1034"/>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976"/>
        <w:jc w:val="center"/>
        <w:rPr>
          <w:b w:val="0"/>
          <w:bCs w:val="0"/>
        </w:rPr>
      </w:pPr>
      <w:bookmarkStart w:name="_bookmark8" w:id="9"/>
      <w:bookmarkEnd w:id="9"/>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1" w:firstLine="358"/>
        <w:jc w:val="both"/>
      </w:pPr>
      <w:r>
        <w:rPr>
          <w:spacing w:val="-5"/>
        </w:rPr>
        <w:t>公司严格按照《公司法》《证券法》《上市公司治理准则》《深圳证券交易所中小企业板上市公司规范运作指引》及《深</w:t>
      </w:r>
      <w:r>
        <w:rPr/>
        <w:t> </w:t>
      </w:r>
      <w:r>
        <w:rPr>
          <w:spacing w:val="-2"/>
        </w:rPr>
        <w:t>圳证券交易所股票上市规则》等法律法规的要求规范运作，并结合公司自身的情况，不断优化公司治理结构，建立健全公司</w:t>
      </w:r>
      <w:r>
        <w:rPr>
          <w:spacing w:val="-65"/>
        </w:rPr>
        <w:t> </w:t>
      </w:r>
      <w:r>
        <w:rPr>
          <w:spacing w:val="-65"/>
        </w:rPr>
      </w:r>
      <w:r>
        <w:rPr>
          <w:spacing w:val="-2"/>
        </w:rPr>
        <w:t>治理及内部控制的各项规章制度，加强信息披露，积极开展投资者关系管理，维护公司及股东的利益，确保公司规范、健康</w:t>
      </w:r>
      <w:r>
        <w:rPr>
          <w:spacing w:val="-67"/>
        </w:rPr>
        <w:t> </w:t>
      </w:r>
      <w:r>
        <w:rPr>
          <w:spacing w:val="-67"/>
        </w:rPr>
      </w:r>
      <w:r>
        <w:rPr/>
        <w:t>发展。</w:t>
      </w:r>
    </w:p>
    <w:p>
      <w:pPr>
        <w:pStyle w:val="BodyText"/>
        <w:spacing w:line="240" w:lineRule="auto" w:before="139"/>
        <w:ind w:left="513" w:right="1034"/>
        <w:jc w:val="left"/>
      </w:pPr>
      <w:r>
        <w:rPr/>
        <w:t>报告期内，公司治理各项具体工作如下：</w:t>
      </w:r>
    </w:p>
    <w:p>
      <w:pPr>
        <w:pStyle w:val="BodyText"/>
        <w:spacing w:line="314" w:lineRule="auto" w:before="117"/>
        <w:ind w:right="1131" w:firstLine="360"/>
        <w:jc w:val="both"/>
      </w:pPr>
      <w:r>
        <w:rPr>
          <w:rFonts w:ascii="Times New Roman" w:hAnsi="Times New Roman" w:cs="Times New Roman" w:eastAsia="Times New Roman" w:hint="default"/>
        </w:rPr>
        <w:t>1</w:t>
      </w:r>
      <w:r>
        <w:rPr/>
        <w:t>、关于股东与股东大会：根据《上市公司股东大会规则》《深圳证券交易所中小企业板上市公司规范运作指引》等有 </w:t>
      </w:r>
      <w:r>
        <w:rPr>
          <w:spacing w:val="-2"/>
        </w:rPr>
        <w:t>关规定和要求，公司制定了《股东大会议事规则》并切实执行。报告期内，公司共召开三次股东大会，会议均由董事会召集</w:t>
      </w:r>
      <w:r>
        <w:rPr>
          <w:spacing w:val="-68"/>
        </w:rPr>
        <w:t> </w:t>
      </w:r>
      <w:r>
        <w:rPr>
          <w:spacing w:val="-68"/>
        </w:rPr>
      </w:r>
      <w:r>
        <w:rPr>
          <w:spacing w:val="-2"/>
        </w:rPr>
        <w:t>召开，并聘请了律师进行现场见证；三次会议均开通了网络投票，切实保障股东特别是中小股东的合法权益。现场见证律师</w:t>
      </w:r>
      <w:r>
        <w:rPr>
          <w:spacing w:val="-65"/>
        </w:rPr>
        <w:t> </w:t>
      </w:r>
      <w:r>
        <w:rPr>
          <w:spacing w:val="-65"/>
        </w:rPr>
      </w:r>
      <w:r>
        <w:rPr>
          <w:spacing w:val="-2"/>
        </w:rPr>
        <w:t>出具的《法律意见书》认为公司三次股东大会的召集和召开程序、出席会议人员的资格和召集人资格、表决程序和表决结果</w:t>
      </w:r>
      <w:r>
        <w:rPr>
          <w:spacing w:val="-64"/>
        </w:rPr>
        <w:t> </w:t>
      </w:r>
      <w:r>
        <w:rPr>
          <w:spacing w:val="-64"/>
        </w:rPr>
      </w:r>
      <w:r>
        <w:rPr/>
        <w:t>均符合法律法规及《公司章程》的规定，合法有效。</w:t>
      </w:r>
    </w:p>
    <w:p>
      <w:pPr>
        <w:pStyle w:val="BodyText"/>
        <w:spacing w:line="312" w:lineRule="auto" w:before="59"/>
        <w:ind w:right="1130" w:firstLine="360"/>
        <w:jc w:val="both"/>
      </w:pPr>
      <w:r>
        <w:rPr>
          <w:rFonts w:ascii="Times New Roman" w:hAnsi="Times New Roman" w:cs="Times New Roman" w:eastAsia="Times New Roman" w:hint="default"/>
        </w:rPr>
        <w:t>2</w:t>
      </w:r>
      <w:r>
        <w:rPr/>
        <w:t>、关于公司与控股股东：公司在业务、人员、资产、机构、财务上独立于控股股东。报告期内，公司控股股东严格规 </w:t>
      </w:r>
      <w:r>
        <w:rPr>
          <w:spacing w:val="-2"/>
        </w:rPr>
        <w:t>范自己的行为，依法行使股东权利并承担相应义务，没有超越公司股东大会、董事会及监事会等决策机构直接或间接干预公</w:t>
      </w:r>
      <w:r>
        <w:rPr>
          <w:spacing w:val="-63"/>
        </w:rPr>
        <w:t> </w:t>
      </w:r>
      <w:r>
        <w:rPr>
          <w:spacing w:val="-63"/>
        </w:rPr>
      </w:r>
      <w:r>
        <w:rPr>
          <w:spacing w:val="-2"/>
        </w:rPr>
        <w:t>司的决策和经营活动的行为；公司控股股东严格遵守相关承诺，不存在与公司进行同业竞争的行为；公司没有为控股股东及</w:t>
      </w:r>
      <w:r>
        <w:rPr>
          <w:spacing w:val="-63"/>
        </w:rPr>
        <w:t> </w:t>
      </w:r>
      <w:r>
        <w:rPr>
          <w:spacing w:val="-63"/>
        </w:rPr>
      </w:r>
      <w:r>
        <w:rPr/>
        <w:t>其子公司提供担保，也不存在公司控股股东非经营性占用公司资金的行为。</w:t>
      </w:r>
    </w:p>
    <w:p>
      <w:pPr>
        <w:pStyle w:val="BodyText"/>
        <w:spacing w:line="309" w:lineRule="auto" w:before="63"/>
        <w:ind w:right="1130" w:firstLine="360"/>
        <w:jc w:val="both"/>
      </w:pPr>
      <w:r>
        <w:rPr>
          <w:rFonts w:ascii="Times New Roman" w:hAnsi="Times New Roman" w:cs="Times New Roman" w:eastAsia="Times New Roman" w:hint="default"/>
        </w:rPr>
        <w:t>3</w:t>
      </w:r>
      <w:r>
        <w:rPr/>
        <w:t>、关于董事与董事会：根据《公司法》《深圳证券交易所股票上市规则》《深圳证券交易所中小企业板上市公司规范 </w:t>
      </w:r>
      <w:r>
        <w:rPr>
          <w:spacing w:val="-5"/>
        </w:rPr>
        <w:t>运作指引》《公司章程》等有关规定和要求，公司制定了《董事会议事规则》《独立董事工作细则》并切实执行。报告期内，</w:t>
      </w:r>
      <w:r>
        <w:rPr>
          <w:spacing w:val="-76"/>
        </w:rPr>
        <w:t> </w:t>
      </w:r>
      <w:r>
        <w:rPr>
          <w:spacing w:val="-76"/>
        </w:rPr>
      </w:r>
      <w:r>
        <w:rPr/>
        <w:t>公司共召开</w:t>
      </w:r>
      <w:r>
        <w:rPr>
          <w:spacing w:val="-42"/>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次董事会，会议的召集与召开程序、出席会议人员的资格、会议表决程序、表决结果和决议内容均符合法律 </w:t>
      </w:r>
      <w:r>
        <w:rPr>
          <w:spacing w:val="-2"/>
        </w:rPr>
        <w:t>法规和《公司章程》的规定。报告期内，公司全体董事认真履行诚实守信、勤勉尽责的义务，出席各董事会和股东大会，签</w:t>
      </w:r>
      <w:r>
        <w:rPr>
          <w:spacing w:val="-73"/>
        </w:rPr>
        <w:t> </w:t>
      </w:r>
      <w:r>
        <w:rPr>
          <w:spacing w:val="-73"/>
        </w:rPr>
      </w:r>
      <w:r>
        <w:rPr/>
        <w:t>署相关文件，同时积极参加相关培训，熟悉有关法律法规，维护公司和股东的利益。</w:t>
      </w:r>
    </w:p>
    <w:p>
      <w:pPr>
        <w:pStyle w:val="BodyText"/>
        <w:spacing w:line="309" w:lineRule="auto" w:before="65"/>
        <w:ind w:right="1128" w:firstLine="360"/>
        <w:jc w:val="both"/>
      </w:pPr>
      <w:r>
        <w:rPr>
          <w:rFonts w:ascii="Times New Roman" w:hAnsi="Times New Roman" w:cs="Times New Roman" w:eastAsia="Times New Roman" w:hint="default"/>
        </w:rPr>
        <w:t>4</w:t>
      </w:r>
      <w:r>
        <w:rPr/>
        <w:t>、关于监事与监事会：根据《公司法》《深圳证券交易所股票上市规则》《深圳证券交易所中小企业板上市公司规范 </w:t>
      </w:r>
      <w:r>
        <w:rPr>
          <w:spacing w:val="-2"/>
        </w:rPr>
        <w:t>运作指引》《公司章程》等有关规定和要求，公司制定了《监事会议事规则》并切实执行。报告期内，公司共召开</w:t>
      </w:r>
      <w:r>
        <w:rPr>
          <w:spacing w:val="-37"/>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spacing w:val="-1"/>
        </w:rPr>
        <w:t>次监事</w:t>
      </w:r>
      <w:r>
        <w:rPr>
          <w:spacing w:val="-88"/>
        </w:rPr>
        <w:t> </w:t>
      </w:r>
      <w:r>
        <w:rPr>
          <w:spacing w:val="-88"/>
        </w:rPr>
      </w:r>
      <w:r>
        <w:rPr>
          <w:spacing w:val="-5"/>
        </w:rPr>
        <w:t>会，会议的召集、召开和表决程序符合法律法规和《公司章程》的规定。报告期内，公司全体监事在《公司法》《公司章程》</w:t>
      </w:r>
      <w:r>
        <w:rPr>
          <w:spacing w:val="-76"/>
        </w:rPr>
        <w:t> </w:t>
      </w:r>
      <w:r>
        <w:rPr>
          <w:spacing w:val="-76"/>
        </w:rPr>
      </w:r>
      <w:r>
        <w:rPr>
          <w:spacing w:val="-2"/>
        </w:rPr>
        <w:t>和股东大会赋予的职权范围内积极行使监督权，对公司定期报告、募集资金使用、财务状况、股权转让、监事选举事项等进</w:t>
      </w:r>
      <w:r>
        <w:rPr>
          <w:spacing w:val="-67"/>
        </w:rPr>
        <w:t> </w:t>
      </w:r>
      <w:r>
        <w:rPr>
          <w:spacing w:val="-67"/>
        </w:rPr>
      </w:r>
      <w:r>
        <w:rPr/>
        <w:t>行审核并发表意见，保护公司、股东、债权人的合法权益。</w:t>
      </w:r>
    </w:p>
    <w:p>
      <w:pPr>
        <w:pStyle w:val="BodyText"/>
        <w:spacing w:line="312" w:lineRule="auto" w:before="63"/>
        <w:ind w:right="1132" w:firstLine="360"/>
        <w:jc w:val="both"/>
      </w:pPr>
      <w:r>
        <w:rPr>
          <w:rFonts w:ascii="Times New Roman" w:hAnsi="Times New Roman" w:cs="Times New Roman" w:eastAsia="Times New Roman" w:hint="default"/>
        </w:rPr>
        <w:t>5</w:t>
      </w:r>
      <w:r>
        <w:rPr/>
        <w:t>、关于绩效评价和激励约束机制：公司根据自身业务、经营情况，建立了企业绩效评价激励体系和激励约束机制，将 </w:t>
      </w:r>
      <w:r>
        <w:rPr>
          <w:spacing w:val="-2"/>
        </w:rPr>
        <w:t>经营管理层和员工的收入与企业经营业绩相挂钩，同时实施了员工持股计划，进一步完善了核心员工与全体股东的利益共享</w:t>
      </w:r>
      <w:r>
        <w:rPr>
          <w:spacing w:val="-63"/>
        </w:rPr>
        <w:t> </w:t>
      </w:r>
      <w:r>
        <w:rPr>
          <w:spacing w:val="-63"/>
        </w:rPr>
      </w:r>
      <w:r>
        <w:rPr>
          <w:spacing w:val="-2"/>
        </w:rPr>
        <w:t>和风险共担机制，激发员工积极性和创造性，提高工作效率；公司高级管理人员的聘任公开、透明，高管薪酬由薪酬考核委</w:t>
      </w:r>
      <w:r>
        <w:rPr>
          <w:spacing w:val="-67"/>
        </w:rPr>
        <w:t> </w:t>
      </w:r>
      <w:r>
        <w:rPr>
          <w:spacing w:val="-67"/>
        </w:rPr>
      </w:r>
      <w:r>
        <w:rPr/>
        <w:t>员会核定并经董事会审核通过。</w:t>
      </w:r>
    </w:p>
    <w:p>
      <w:pPr>
        <w:pStyle w:val="BodyText"/>
        <w:spacing w:line="309" w:lineRule="auto" w:before="63"/>
        <w:ind w:right="1133" w:firstLine="360"/>
        <w:jc w:val="both"/>
      </w:pPr>
      <w:r>
        <w:rPr>
          <w:rFonts w:ascii="Times New Roman" w:hAnsi="Times New Roman" w:cs="Times New Roman" w:eastAsia="Times New Roman" w:hint="default"/>
        </w:rPr>
        <w:t>6</w:t>
      </w:r>
      <w:r>
        <w:rPr/>
        <w:t>、关于利益相关者：报告期内，公司在注重企业经营的同时，充分尊重和维护利益相关者的合法权利，诚信对待供应 </w:t>
      </w:r>
      <w:r>
        <w:rPr>
          <w:spacing w:val="-5"/>
        </w:rPr>
        <w:t>商和客户，加强与各方的沟通和合作，努力实现公司、股东、员工、客户、供应商、最终用户、社会等各方利益的协调平衡，</w:t>
      </w:r>
      <w:r>
        <w:rPr>
          <w:spacing w:val="-83"/>
        </w:rPr>
        <w:t> </w:t>
      </w:r>
      <w:r>
        <w:rPr>
          <w:spacing w:val="-83"/>
        </w:rPr>
      </w:r>
      <w:r>
        <w:rPr/>
        <w:t>共同推动公司持续、稳健发展。</w:t>
      </w:r>
    </w:p>
    <w:p>
      <w:pPr>
        <w:pStyle w:val="BodyText"/>
        <w:spacing w:line="240" w:lineRule="auto" w:before="65"/>
        <w:ind w:left="513" w:right="1034"/>
        <w:jc w:val="left"/>
      </w:pPr>
      <w:r>
        <w:rPr>
          <w:rFonts w:ascii="Times New Roman" w:hAnsi="Times New Roman" w:cs="Times New Roman" w:eastAsia="Times New Roman" w:hint="default"/>
        </w:rPr>
        <w:t>7</w:t>
      </w:r>
      <w:r>
        <w:rPr/>
        <w:t>、关于信息披露与透明度：公司严格按照《深圳证券交易所股票上市规则》等相关法律法规及《信息披露管理制度》</w:t>
      </w:r>
    </w:p>
    <w:p>
      <w:pPr>
        <w:pStyle w:val="BodyText"/>
        <w:spacing w:line="312" w:lineRule="auto" w:before="63"/>
        <w:ind w:right="1128"/>
        <w:jc w:val="both"/>
      </w:pPr>
      <w:r>
        <w:rPr>
          <w:spacing w:val="-2"/>
        </w:rPr>
        <w:t>《投资者关系管理制度》等制度的要求，真实、准确、完整、及时、公平地履行信息披露义务，报告期内，公司信息披露工</w:t>
      </w:r>
      <w:r>
        <w:rPr>
          <w:spacing w:val="-65"/>
        </w:rPr>
        <w:t> </w:t>
      </w:r>
      <w:r>
        <w:rPr>
          <w:spacing w:val="-65"/>
        </w:rPr>
      </w:r>
      <w:r>
        <w:rPr/>
        <w:t>作继续荣获深交所信息披露</w:t>
      </w:r>
      <w:r>
        <w:rPr>
          <w:rFonts w:ascii="Times New Roman" w:hAnsi="Times New Roman" w:cs="Times New Roman" w:eastAsia="Times New Roman" w:hint="default"/>
        </w:rPr>
        <w:t>“</w:t>
      </w:r>
      <w:r>
        <w:rPr/>
        <w:t>优秀（</w:t>
      </w:r>
      <w:r>
        <w:rPr>
          <w:rFonts w:ascii="Times New Roman" w:hAnsi="Times New Roman" w:cs="Times New Roman" w:eastAsia="Times New Roman" w:hint="default"/>
        </w:rPr>
        <w:t>A</w:t>
      </w:r>
      <w:r>
        <w:rPr/>
        <w:t>）</w:t>
      </w:r>
      <w:r>
        <w:rPr>
          <w:rFonts w:ascii="Times New Roman" w:hAnsi="Times New Roman" w:cs="Times New Roman" w:eastAsia="Times New Roman" w:hint="default"/>
        </w:rPr>
        <w:t>”</w:t>
      </w:r>
      <w:r>
        <w:rPr/>
        <w:t>考评，公司指定《证券时报》和巨潮资讯网 </w:t>
      </w:r>
      <w:hyperlink r:id="rId10">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5"/>
        </w:rPr>
        <w:t> </w:t>
      </w:r>
      <w:r>
        <w:rPr/>
        <w:t>为公司信息披露的 </w:t>
      </w:r>
      <w:r>
        <w:rPr>
          <w:spacing w:val="-2"/>
        </w:rPr>
        <w:t>报纸和网站，通过网上说明会、投资者关系互动平台、电话接听、专用电子信箱、接待投资者和调研机构的来访和咨询等多</w:t>
      </w:r>
      <w:r>
        <w:rPr>
          <w:spacing w:val="-67"/>
        </w:rPr>
        <w:t> </w:t>
      </w:r>
      <w:r>
        <w:rPr>
          <w:spacing w:val="-67"/>
        </w:rPr>
      </w:r>
      <w:r>
        <w:rPr/>
        <w:t>种方式，与投资者进行沟通、交流，提高公司运作的公开性和透明度，确保公司所有股东以平等的机会获取公司信息。</w:t>
      </w:r>
    </w:p>
    <w:p>
      <w:pPr>
        <w:pStyle w:val="BodyText"/>
        <w:spacing w:line="240" w:lineRule="auto" w:before="61"/>
        <w:ind w:right="0"/>
        <w:jc w:val="both"/>
      </w:pPr>
      <w:r>
        <w:rPr/>
        <w:t>公司治理的实际状况与中国证监会发布的有关上市公司治理的规范性文件是否存在重大差异</w:t>
      </w:r>
    </w:p>
    <w:p>
      <w:pPr>
        <w:spacing w:after="0" w:line="240" w:lineRule="auto"/>
        <w:jc w:val="both"/>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40" w:lineRule="auto" w:before="44"/>
        <w:ind w:left="252"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left="252" w:right="0"/>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613" w:right="0"/>
        <w:jc w:val="left"/>
      </w:pPr>
      <w:r>
        <w:rPr/>
        <w:t>报告期内，公司与控股股东在业务、人员、资产、机构、财务等方面完全分开，具有独立完整的业务及自主经营能力。</w:t>
      </w:r>
    </w:p>
    <w:p>
      <w:pPr>
        <w:pStyle w:val="BodyText"/>
        <w:spacing w:line="328" w:lineRule="auto" w:before="76"/>
        <w:ind w:left="252" w:right="1133" w:firstLine="360"/>
        <w:jc w:val="both"/>
      </w:pPr>
      <w:r>
        <w:rPr>
          <w:rFonts w:ascii="Times New Roman" w:hAnsi="Times New Roman" w:cs="Times New Roman" w:eastAsia="Times New Roman" w:hint="default"/>
        </w:rPr>
        <w:t>1</w:t>
      </w:r>
      <w:r>
        <w:rPr/>
        <w:t>、业务独立情况：公司业务独立于控股股东、实际控制人及其控制的其他企业，拥有独立完整的生产、研发、销售和 </w:t>
      </w:r>
      <w:r>
        <w:rPr>
          <w:spacing w:val="-2"/>
        </w:rPr>
        <w:t>服务系统，独立开展业务，不依赖于股东或其它任何关联方，与控股股东、实际控制人及其控制的其他企业不存在同业竞争</w:t>
      </w:r>
      <w:r>
        <w:rPr>
          <w:spacing w:val="-66"/>
        </w:rPr>
        <w:t> </w:t>
      </w:r>
      <w:r>
        <w:rPr>
          <w:spacing w:val="-66"/>
        </w:rPr>
      </w:r>
      <w:r>
        <w:rPr/>
        <w:t>或者显失公平的关联交易。</w:t>
      </w:r>
    </w:p>
    <w:p>
      <w:pPr>
        <w:pStyle w:val="BodyText"/>
        <w:spacing w:line="312" w:lineRule="auto" w:before="50"/>
        <w:ind w:left="252" w:right="1131" w:firstLine="360"/>
        <w:jc w:val="both"/>
      </w:pPr>
      <w:r>
        <w:rPr>
          <w:rFonts w:ascii="Times New Roman" w:hAnsi="Times New Roman" w:cs="Times New Roman" w:eastAsia="Times New Roman" w:hint="default"/>
        </w:rPr>
        <w:t>2</w:t>
      </w:r>
      <w:r>
        <w:rPr/>
        <w:t>、人员独立情况：公司人员、劳动、人事及工资关系完全独立。公司拥有独立的员工队伍，并已建立完善的劳动用工 </w:t>
      </w:r>
      <w:r>
        <w:rPr>
          <w:spacing w:val="-2"/>
        </w:rPr>
        <w:t>和人事管理制度，拥有独立的劳动用工权利，不存在受控股股东干涉的现象。公司总经理、副总经理和其他高级管理人员以</w:t>
      </w:r>
      <w:r>
        <w:rPr>
          <w:spacing w:val="-65"/>
        </w:rPr>
        <w:t> </w:t>
      </w:r>
      <w:r>
        <w:rPr>
          <w:spacing w:val="-65"/>
        </w:rPr>
      </w:r>
      <w:r>
        <w:rPr>
          <w:spacing w:val="-2"/>
        </w:rPr>
        <w:t>及核心技术人员等均专职在本公司及控股子公司工作并领取薪酬，未在控股股东、实际控制人及其控制的其他企业中担任除</w:t>
      </w:r>
      <w:r>
        <w:rPr>
          <w:spacing w:val="-64"/>
        </w:rPr>
        <w:t> </w:t>
      </w:r>
      <w:r>
        <w:rPr>
          <w:spacing w:val="-64"/>
        </w:rPr>
      </w:r>
      <w:r>
        <w:rPr/>
        <w:t>董事、监事以外的任何职务及领取薪酬。</w:t>
      </w:r>
    </w:p>
    <w:p>
      <w:pPr>
        <w:pStyle w:val="BodyText"/>
        <w:spacing w:line="312" w:lineRule="auto" w:before="61"/>
        <w:ind w:left="252" w:right="1034" w:firstLine="360"/>
        <w:jc w:val="left"/>
      </w:pPr>
      <w:r>
        <w:rPr>
          <w:rFonts w:ascii="Times New Roman" w:hAnsi="Times New Roman" w:cs="Times New Roman" w:eastAsia="Times New Roman" w:hint="default"/>
        </w:rPr>
        <w:t>3</w:t>
      </w:r>
      <w:r>
        <w:rPr/>
        <w:t>、资产独立情况：公司拥有独立于控股股东的生产经营场所，拥有独立完整的资产结构，拥有独立的生产系统、辅助 生产系统和配套设施、土地使用权、房屋所有权等资产，拥有独立的采购和销售系统，对所有资产拥有完全的控制支配权。</w:t>
      </w:r>
      <w:r>
        <w:rPr>
          <w:spacing w:val="-86"/>
        </w:rPr>
        <w:t> </w:t>
      </w:r>
      <w:r>
        <w:rPr>
          <w:spacing w:val="-86"/>
        </w:rPr>
      </w:r>
      <w:r>
        <w:rPr>
          <w:spacing w:val="-2"/>
        </w:rPr>
        <w:t>公司不存在资产、资金被控股股东、实际控制人及其控制的其他企业违规占用而损害公司利益的情况；不存在以承包、委托</w:t>
      </w:r>
      <w:r>
        <w:rPr>
          <w:spacing w:val="-64"/>
        </w:rPr>
        <w:t> </w:t>
      </w:r>
      <w:r>
        <w:rPr>
          <w:spacing w:val="-64"/>
        </w:rPr>
      </w:r>
      <w:r>
        <w:rPr/>
        <w:t>经营、租赁或其他类似方式，依赖股东单位及其他关联方进行生产经营的情况。</w:t>
      </w:r>
    </w:p>
    <w:p>
      <w:pPr>
        <w:pStyle w:val="BodyText"/>
        <w:spacing w:line="300" w:lineRule="auto" w:before="63"/>
        <w:ind w:left="252" w:right="1139" w:firstLine="360"/>
        <w:jc w:val="both"/>
      </w:pPr>
      <w:r>
        <w:rPr>
          <w:rFonts w:ascii="Times New Roman" w:hAnsi="Times New Roman" w:cs="Times New Roman" w:eastAsia="Times New Roman" w:hint="default"/>
        </w:rPr>
        <w:t>4</w:t>
      </w:r>
      <w:r>
        <w:rPr/>
        <w:t>、财务独立情况：公司设有独立的财务会计部门，配备独立的财务会计人员，建立了独立的会计核算体系和财务管理 制度，独立进行财务决策，并严格实施内部审计制度；公司开设了独立银行账户，依法独立纳税。</w:t>
      </w:r>
    </w:p>
    <w:p>
      <w:pPr>
        <w:pStyle w:val="BodyText"/>
        <w:spacing w:line="300" w:lineRule="auto" w:before="72"/>
        <w:ind w:left="252" w:right="1132" w:firstLine="360"/>
        <w:jc w:val="both"/>
      </w:pPr>
      <w:r>
        <w:rPr>
          <w:rFonts w:ascii="Times New Roman" w:hAnsi="Times New Roman" w:cs="Times New Roman" w:eastAsia="Times New Roman" w:hint="default"/>
          <w:spacing w:val="-4"/>
        </w:rPr>
        <w:t>5</w:t>
      </w:r>
      <w:r>
        <w:rPr>
          <w:spacing w:val="-4"/>
        </w:rPr>
        <w:t>、机构独立情况：公司建立了健全的法人治理机构，公司根据《公司法》和《公司章程》及其他有关法律法规的规定，</w:t>
      </w:r>
      <w:r>
        <w:rPr/>
        <w:t> 设立了股东大会、董事会、监事会以及经营管理层，并制定了相关议事规则和工作细则。</w:t>
      </w:r>
    </w:p>
    <w:p>
      <w:pPr>
        <w:pStyle w:val="BodyText"/>
        <w:spacing w:line="316" w:lineRule="auto" w:before="70"/>
        <w:ind w:left="252" w:right="1130" w:firstLine="360"/>
        <w:jc w:val="both"/>
      </w:pPr>
      <w:r>
        <w:rPr>
          <w:spacing w:val="-2"/>
        </w:rPr>
        <w:t>公司已经按照法律、法规的规定和公司的实际情况设置了公司的组织机构，独立于控股股东和其他关联方，具有健全的</w:t>
      </w:r>
      <w:r>
        <w:rPr/>
        <w:t> </w:t>
      </w:r>
      <w:r>
        <w:rPr>
          <w:spacing w:val="-2"/>
        </w:rPr>
        <w:t>内部经营管理机构，独立行使经营管理职权，公司及其职能部门与控股股东及其职能部门之间不存在上下级关系，不存在与</w:t>
      </w:r>
      <w:r>
        <w:rPr>
          <w:spacing w:val="-63"/>
        </w:rPr>
        <w:t> </w:t>
      </w:r>
      <w:r>
        <w:rPr>
          <w:spacing w:val="-63"/>
        </w:rPr>
      </w:r>
      <w:r>
        <w:rPr/>
        <w:t>控股股东及其下属企业机构混同或从属的情形。</w:t>
      </w:r>
    </w:p>
    <w:p>
      <w:pPr>
        <w:spacing w:line="240" w:lineRule="auto" w:before="11"/>
        <w:rPr>
          <w:rFonts w:ascii="宋体" w:hAnsi="宋体" w:cs="宋体" w:eastAsia="宋体" w:hint="default"/>
          <w:sz w:val="20"/>
          <w:szCs w:val="20"/>
        </w:rPr>
      </w:pPr>
    </w:p>
    <w:p>
      <w:pPr>
        <w:pStyle w:val="Heading2"/>
        <w:spacing w:line="240" w:lineRule="auto"/>
        <w:ind w:left="252" w:right="3554"/>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52" w:right="35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left="252" w:right="3554"/>
        <w:jc w:val="left"/>
        <w:rPr>
          <w:b w:val="0"/>
          <w:bCs w:val="0"/>
        </w:rPr>
      </w:pPr>
      <w:r>
        <w:rPr/>
        <w:t>四、报告期内召开的年度股东大会和临时股东大会的有关情况</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left="252" w:right="3554"/>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8"/>
          <w:szCs w:val="28"/>
        </w:rPr>
      </w:pPr>
    </w:p>
    <w:p>
      <w:pPr>
        <w:pStyle w:val="BodyText"/>
        <w:spacing w:line="240" w:lineRule="auto" w:before="44"/>
        <w:ind w:left="0" w:right="1141"/>
        <w:jc w:val="right"/>
      </w:pPr>
      <w:r>
        <w:rPr/>
        <w:pict>
          <v:shape style="position:absolute;margin-left:49.32pt;margin-top:-54.008259pt;width:486.25pt;height:162.4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850"/>
                    <w:gridCol w:w="853"/>
                    <w:gridCol w:w="1558"/>
                    <w:gridCol w:w="1560"/>
                    <w:gridCol w:w="3329"/>
                  </w:tblGrid>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1" w:right="62" w:hanging="92"/>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10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年度股东 大会</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53.3609%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公告编号：临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2018-029</w:t>
                        </w:r>
                      </w:p>
                      <w:p>
                        <w:pPr>
                          <w:pStyle w:val="TableParagraph"/>
                          <w:spacing w:line="338" w:lineRule="auto" w:before="103"/>
                          <w:ind w:left="23" w:right="23"/>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公告名称：《</w:t>
                        </w:r>
                        <w:r>
                          <w:rPr>
                            <w:rFonts w:ascii="Times New Roman" w:hAnsi="Times New Roman" w:cs="Times New Roman" w:eastAsia="Times New Roman" w:hint="default"/>
                            <w:spacing w:val="-11"/>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年度股东大会决议公告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披露网站：巨潮资讯网</w:t>
                        </w:r>
                        <w:r>
                          <w:rPr>
                            <w:rFonts w:ascii="宋体" w:hAnsi="宋体" w:cs="宋体" w:eastAsia="宋体" w:hint="default"/>
                            <w:spacing w:val="-49"/>
                            <w:sz w:val="18"/>
                            <w:szCs w:val="18"/>
                          </w:rPr>
                          <w:t> </w:t>
                        </w:r>
                        <w:hyperlink r:id="rId10">
                          <w:r>
                            <w:rPr>
                              <w:rFonts w:ascii="Times New Roman" w:hAnsi="Times New Roman" w:cs="Times New Roman" w:eastAsia="Times New Roman" w:hint="default"/>
                              <w:sz w:val="18"/>
                              <w:szCs w:val="18"/>
                            </w:rPr>
                            <w:t>www.cninfo.com.cn</w:t>
                          </w:r>
                        </w:hyperlink>
                      </w:p>
                    </w:tc>
                  </w:tr>
                  <w:tr>
                    <w:trPr>
                      <w:trHeight w:val="141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00" w:lineRule="auto"/>
                          <w:ind w:left="24"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3" w:right="95"/>
                          <w:jc w:val="left"/>
                          <w:rPr>
                            <w:rFonts w:ascii="宋体" w:hAnsi="宋体" w:cs="宋体" w:eastAsia="宋体" w:hint="default"/>
                            <w:sz w:val="18"/>
                            <w:szCs w:val="18"/>
                          </w:rPr>
                        </w:pPr>
                        <w:r>
                          <w:rPr>
                            <w:rFonts w:ascii="宋体" w:hAnsi="宋体" w:cs="宋体" w:eastAsia="宋体" w:hint="default"/>
                            <w:sz w:val="18"/>
                            <w:szCs w:val="18"/>
                          </w:rPr>
                          <w:t>临时股东 大会</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54.1535%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公告编号：临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2018-054</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pacing w:val="-7"/>
                            <w:sz w:val="18"/>
                            <w:szCs w:val="18"/>
                          </w:rPr>
                        </w:r>
                        <w:r>
                          <w:rPr>
                            <w:rFonts w:ascii="宋体" w:hAnsi="宋体" w:cs="宋体" w:eastAsia="宋体" w:hint="default"/>
                            <w:sz w:val="18"/>
                            <w:szCs w:val="18"/>
                          </w:rPr>
                          <w:t>公告名称：《</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决议公告》</w:t>
                        </w:r>
                      </w:p>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披露网站：巨潮资讯网</w:t>
                        </w:r>
                        <w:r>
                          <w:rPr>
                            <w:rFonts w:ascii="宋体" w:hAnsi="宋体" w:cs="宋体" w:eastAsia="宋体" w:hint="default"/>
                            <w:spacing w:val="-49"/>
                            <w:sz w:val="18"/>
                            <w:szCs w:val="18"/>
                          </w:rPr>
                          <w:t> </w:t>
                        </w:r>
                        <w:hyperlink r:id="rId10">
                          <w:r>
                            <w:rPr>
                              <w:rFonts w:ascii="Times New Roman" w:hAnsi="Times New Roman" w:cs="Times New Roman" w:eastAsia="Times New Roman" w:hint="default"/>
                              <w:sz w:val="18"/>
                              <w:szCs w:val="18"/>
                            </w:rPr>
                            <w:t>www.cninfo.com.cn</w:t>
                          </w:r>
                        </w:hyperlink>
                      </w:p>
                    </w:tc>
                  </w:tr>
                </w:tbl>
                <w:p>
                  <w:pPr/>
                </w:p>
              </w:txbxContent>
            </v:textbox>
            <w10:wrap type="none"/>
          </v:shape>
        </w:pict>
      </w:r>
      <w:r>
        <w:rPr/>
        <w:t>》</w:t>
      </w:r>
    </w:p>
    <w:p>
      <w:pPr>
        <w:spacing w:after="0" w:line="240" w:lineRule="auto"/>
        <w:jc w:val="right"/>
        <w:sectPr>
          <w:pgSz w:w="11910" w:h="16840"/>
          <w:pgMar w:header="877" w:footer="979" w:top="1100" w:bottom="1160" w:left="880" w:right="0"/>
        </w:sectPr>
      </w:pPr>
    </w:p>
    <w:p>
      <w:pPr>
        <w:spacing w:line="240" w:lineRule="auto" w:before="8"/>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1560"/>
        <w:gridCol w:w="850"/>
        <w:gridCol w:w="853"/>
        <w:gridCol w:w="1558"/>
        <w:gridCol w:w="1560"/>
        <w:gridCol w:w="3329"/>
      </w:tblGrid>
      <w:tr>
        <w:trPr>
          <w:trHeight w:val="141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97" w:lineRule="auto"/>
              <w:ind w:left="24"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4" w:lineRule="auto"/>
              <w:ind w:left="23" w:right="95"/>
              <w:jc w:val="left"/>
              <w:rPr>
                <w:rFonts w:ascii="宋体" w:hAnsi="宋体" w:cs="宋体" w:eastAsia="宋体" w:hint="default"/>
                <w:sz w:val="18"/>
                <w:szCs w:val="18"/>
              </w:rPr>
            </w:pPr>
            <w:r>
              <w:rPr>
                <w:rFonts w:ascii="宋体" w:hAnsi="宋体" w:cs="宋体" w:eastAsia="宋体" w:hint="default"/>
                <w:sz w:val="18"/>
                <w:szCs w:val="18"/>
              </w:rPr>
              <w:t>临时股东 大会</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83" w:right="0"/>
              <w:jc w:val="left"/>
              <w:rPr>
                <w:rFonts w:ascii="Times New Roman" w:hAnsi="Times New Roman" w:cs="Times New Roman" w:eastAsia="Times New Roman" w:hint="default"/>
                <w:sz w:val="18"/>
                <w:szCs w:val="18"/>
              </w:rPr>
            </w:pPr>
            <w:r>
              <w:rPr>
                <w:rFonts w:ascii="Times New Roman"/>
                <w:sz w:val="18"/>
              </w:rPr>
              <w:t>53.8432%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公告编号：临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2018-072</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pacing w:val="-7"/>
                <w:sz w:val="18"/>
                <w:szCs w:val="18"/>
              </w:rPr>
            </w:r>
            <w:r>
              <w:rPr>
                <w:rFonts w:ascii="宋体" w:hAnsi="宋体" w:cs="宋体" w:eastAsia="宋体" w:hint="default"/>
                <w:sz w:val="18"/>
                <w:szCs w:val="18"/>
              </w:rPr>
              <w:t>公告名称：《</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决议公告》</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披露网站：巨潮资讯网</w:t>
            </w:r>
            <w:r>
              <w:rPr>
                <w:rFonts w:ascii="宋体" w:hAnsi="宋体" w:cs="宋体" w:eastAsia="宋体" w:hint="default"/>
                <w:spacing w:val="-49"/>
                <w:sz w:val="18"/>
                <w:szCs w:val="18"/>
              </w:rPr>
              <w:t> </w:t>
            </w:r>
            <w:hyperlink r:id="rId10">
              <w:r>
                <w:rPr>
                  <w:rFonts w:ascii="Times New Roman" w:hAnsi="Times New Roman" w:cs="Times New Roman" w:eastAsia="Times New Roman" w:hint="default"/>
                  <w:sz w:val="18"/>
                  <w:szCs w:val="18"/>
                </w:rPr>
                <w:t>www.cninfo.com.cn</w:t>
              </w:r>
            </w:hyperlink>
          </w:p>
        </w:tc>
      </w:tr>
    </w:tbl>
    <w:p>
      <w:pPr>
        <w:spacing w:line="240" w:lineRule="auto" w:before="8"/>
        <w:rPr>
          <w:rFonts w:ascii="宋体" w:hAnsi="宋体" w:cs="宋体" w:eastAsia="宋体" w:hint="default"/>
          <w:sz w:val="19"/>
          <w:szCs w:val="19"/>
        </w:rPr>
      </w:pPr>
    </w:p>
    <w:p>
      <w:pPr>
        <w:pStyle w:val="Heading4"/>
        <w:spacing w:line="240" w:lineRule="auto" w:before="37"/>
        <w:ind w:left="252" w:right="3554"/>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252" w:right="35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left="252" w:right="3554"/>
        <w:jc w:val="left"/>
        <w:rPr>
          <w:b w:val="0"/>
          <w:bCs w:val="0"/>
        </w:rPr>
      </w:pPr>
      <w:r>
        <w:rPr/>
        <w:t>五、报告期内独立董事履行职责的情况</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left="252" w:right="3554"/>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3"/>
        <w:rPr>
          <w:rFonts w:ascii="宋体" w:hAnsi="宋体" w:cs="宋体" w:eastAsia="宋体" w:hint="default"/>
          <w:b/>
          <w:bCs/>
          <w:sz w:val="26"/>
          <w:szCs w:val="26"/>
        </w:rPr>
      </w:pPr>
    </w:p>
    <w:tbl>
      <w:tblPr>
        <w:tblW w:w="0" w:type="auto"/>
        <w:jc w:val="left"/>
        <w:tblInd w:w="128" w:type="dxa"/>
        <w:tblLayout w:type="fixed"/>
        <w:tblCellMar>
          <w:top w:w="0" w:type="dxa"/>
          <w:left w:w="0" w:type="dxa"/>
          <w:bottom w:w="0" w:type="dxa"/>
          <w:right w:w="0" w:type="dxa"/>
        </w:tblCellMar>
        <w:tblLook w:val="01E0"/>
      </w:tblPr>
      <w:tblGrid>
        <w:gridCol w:w="843"/>
        <w:gridCol w:w="1325"/>
        <w:gridCol w:w="1325"/>
        <w:gridCol w:w="1322"/>
        <w:gridCol w:w="1325"/>
        <w:gridCol w:w="1044"/>
        <w:gridCol w:w="1702"/>
        <w:gridCol w:w="991"/>
      </w:tblGrid>
      <w:tr>
        <w:trPr>
          <w:trHeight w:val="401" w:hRule="exact"/>
        </w:trPr>
        <w:tc>
          <w:tcPr>
            <w:tcW w:w="987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15" w:hRule="exact"/>
        </w:trPr>
        <w:tc>
          <w:tcPr>
            <w:tcW w:w="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8" w:right="142"/>
              <w:jc w:val="left"/>
              <w:rPr>
                <w:rFonts w:ascii="宋体" w:hAnsi="宋体" w:cs="宋体" w:eastAsia="宋体" w:hint="default"/>
                <w:sz w:val="18"/>
                <w:szCs w:val="18"/>
              </w:rPr>
            </w:pPr>
            <w:r>
              <w:rPr>
                <w:rFonts w:ascii="宋体" w:hAnsi="宋体" w:cs="宋体" w:eastAsia="宋体" w:hint="default"/>
                <w:sz w:val="18"/>
                <w:szCs w:val="18"/>
              </w:rPr>
              <w:t>独立董 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0" w:right="113"/>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6" w:right="116"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7" w:right="113"/>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8" w:right="113" w:hanging="269"/>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7" w:right="156" w:hanging="92"/>
              <w:jc w:val="left"/>
              <w:rPr>
                <w:rFonts w:ascii="宋体" w:hAnsi="宋体" w:cs="宋体" w:eastAsia="宋体" w:hint="default"/>
                <w:sz w:val="18"/>
                <w:szCs w:val="18"/>
              </w:rPr>
            </w:pPr>
            <w:r>
              <w:rPr>
                <w:rFonts w:ascii="宋体" w:hAnsi="宋体" w:cs="宋体" w:eastAsia="宋体" w:hint="default"/>
                <w:sz w:val="18"/>
                <w:szCs w:val="18"/>
              </w:rPr>
              <w:t>缺席董事 会次数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125"/>
              <w:jc w:val="left"/>
              <w:rPr>
                <w:rFonts w:ascii="宋体" w:hAnsi="宋体" w:cs="宋体" w:eastAsia="宋体" w:hint="default"/>
                <w:sz w:val="18"/>
                <w:szCs w:val="18"/>
              </w:rPr>
            </w:pPr>
            <w:r>
              <w:rPr>
                <w:rFonts w:ascii="宋体" w:hAnsi="宋体" w:cs="宋体" w:eastAsia="宋体" w:hint="default"/>
                <w:sz w:val="18"/>
                <w:szCs w:val="18"/>
              </w:rPr>
              <w:t>是否连续两次未亲 自参加董事会会议</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131"/>
              <w:jc w:val="left"/>
              <w:rPr>
                <w:rFonts w:ascii="宋体" w:hAnsi="宋体" w:cs="宋体" w:eastAsia="宋体" w:hint="default"/>
                <w:sz w:val="18"/>
                <w:szCs w:val="18"/>
              </w:rPr>
            </w:pPr>
            <w:r>
              <w:rPr>
                <w:rFonts w:ascii="宋体" w:hAnsi="宋体" w:cs="宋体" w:eastAsia="宋体" w:hint="default"/>
                <w:sz w:val="18"/>
                <w:szCs w:val="18"/>
              </w:rPr>
              <w:t>出席股东 大会次数</w:t>
            </w:r>
          </w:p>
        </w:tc>
      </w:tr>
      <w:tr>
        <w:trPr>
          <w:trHeight w:val="401" w:hRule="exact"/>
        </w:trPr>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朱桂龙</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08"/>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3" w:right="0"/>
              <w:jc w:val="lef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杨 </w:t>
            </w:r>
            <w:r>
              <w:rPr>
                <w:rFonts w:ascii="宋体" w:hAnsi="宋体" w:cs="宋体" w:eastAsia="宋体" w:hint="default"/>
                <w:spacing w:val="2"/>
                <w:sz w:val="18"/>
                <w:szCs w:val="18"/>
              </w:rPr>
              <w:t> </w:t>
            </w:r>
            <w:r>
              <w:rPr>
                <w:rFonts w:ascii="宋体" w:hAnsi="宋体" w:cs="宋体" w:eastAsia="宋体" w:hint="default"/>
                <w:sz w:val="18"/>
                <w:szCs w:val="18"/>
              </w:rPr>
              <w:t>闰</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08"/>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3" w:right="0"/>
              <w:jc w:val="lef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邢良文</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08"/>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3" w:right="0"/>
              <w:jc w:val="left"/>
              <w:rPr>
                <w:rFonts w:ascii="Times New Roman" w:hAnsi="Times New Roman" w:cs="Times New Roman" w:eastAsia="Times New Roman" w:hint="default"/>
                <w:sz w:val="18"/>
                <w:szCs w:val="18"/>
              </w:rPr>
            </w:pPr>
            <w:r>
              <w:rPr>
                <w:rFonts w:ascii="Times New Roman"/>
                <w:sz w:val="18"/>
              </w:rPr>
              <w:t>3</w:t>
            </w:r>
          </w:p>
        </w:tc>
      </w:tr>
    </w:tbl>
    <w:p>
      <w:pPr>
        <w:pStyle w:val="BodyText"/>
        <w:spacing w:line="360" w:lineRule="auto" w:before="49"/>
        <w:ind w:left="252" w:right="8054"/>
        <w:jc w:val="left"/>
      </w:pPr>
      <w:r>
        <w:rPr/>
        <w:t>连续两次未亲自出席董事会的说明 无</w:t>
      </w:r>
    </w:p>
    <w:p>
      <w:pPr>
        <w:spacing w:line="240" w:lineRule="auto" w:before="9"/>
        <w:rPr>
          <w:rFonts w:ascii="宋体" w:hAnsi="宋体" w:cs="宋体" w:eastAsia="宋体" w:hint="default"/>
          <w:sz w:val="20"/>
          <w:szCs w:val="20"/>
        </w:rPr>
      </w:pPr>
    </w:p>
    <w:p>
      <w:pPr>
        <w:pStyle w:val="Heading4"/>
        <w:spacing w:line="240" w:lineRule="auto"/>
        <w:ind w:left="252" w:right="3554"/>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252" w:right="3554"/>
        <w:jc w:val="left"/>
      </w:pPr>
      <w:r>
        <w:rPr/>
        <w:t>独立董事对公司有关事项是否提出异议</w:t>
      </w:r>
    </w:p>
    <w:p>
      <w:pPr>
        <w:pStyle w:val="BodyText"/>
        <w:spacing w:line="338" w:lineRule="auto" w:before="117"/>
        <w:ind w:left="252"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1"/>
        <w:rPr>
          <w:rFonts w:ascii="宋体" w:hAnsi="宋体" w:cs="宋体" w:eastAsia="宋体" w:hint="default"/>
          <w:sz w:val="22"/>
          <w:szCs w:val="22"/>
        </w:rPr>
      </w:pPr>
    </w:p>
    <w:p>
      <w:pPr>
        <w:pStyle w:val="Heading4"/>
        <w:spacing w:line="240" w:lineRule="auto"/>
        <w:ind w:left="252" w:right="3554"/>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252" w:right="3554"/>
        <w:jc w:val="left"/>
      </w:pPr>
      <w:r>
        <w:rPr/>
        <w:t>独立董事对公司有关建议是否被采纳</w:t>
      </w:r>
    </w:p>
    <w:p>
      <w:pPr>
        <w:pStyle w:val="BodyText"/>
        <w:spacing w:line="338" w:lineRule="auto" w:before="117"/>
        <w:ind w:left="252"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09" w:lineRule="auto" w:before="43"/>
        <w:ind w:left="252" w:right="1126" w:firstLine="360"/>
        <w:jc w:val="both"/>
      </w:pPr>
      <w:r>
        <w:rPr>
          <w:spacing w:val="-2"/>
        </w:rPr>
        <w:t>公司独立董事根据《公司法》《证券法》《公司章程》和公司《独立董事工作制度》等法律法规的规定，关注公司运作</w:t>
      </w:r>
      <w:r>
        <w:rPr/>
        <w:t> </w:t>
      </w:r>
      <w:r>
        <w:rPr>
          <w:spacing w:val="-2"/>
        </w:rPr>
        <w:t>的规范性，独立履行职责，对公司的制度完善和日常经营决策等方面提出了许多宝贵的专业性意见，对报告期内公司子公司</w:t>
      </w:r>
      <w:r>
        <w:rPr>
          <w:spacing w:val="-66"/>
        </w:rPr>
        <w:t> </w:t>
      </w:r>
      <w:r>
        <w:rPr>
          <w:spacing w:val="-66"/>
        </w:rPr>
      </w:r>
      <w:r>
        <w:rPr>
          <w:spacing w:val="-2"/>
        </w:rPr>
        <w:t>使用部分暂时闲置募集资金购买保本型银行理财产品、公司关联方资金往来、对外担保情况、内部控制自我评价报告、</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11"/>
        </w:rPr>
        <w:t> </w:t>
      </w:r>
      <w:r>
        <w:rPr/>
        <w:t>年度利润分配预案、</w:t>
      </w:r>
      <w:r>
        <w:rPr>
          <w:rFonts w:ascii="Times New Roman" w:hAnsi="Times New Roman" w:cs="Times New Roman" w:eastAsia="Times New Roman" w:hint="default"/>
        </w:rPr>
        <w:t>2018 </w:t>
      </w:r>
      <w:r>
        <w:rPr/>
        <w:t>年度日常关联交易、未来三年（</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-2020 </w:t>
      </w:r>
      <w:r>
        <w:rPr/>
        <w:t>年）股东回报规划、</w:t>
      </w:r>
      <w:r>
        <w:rPr>
          <w:rFonts w:ascii="Times New Roman" w:hAnsi="Times New Roman" w:cs="Times New Roman" w:eastAsia="Times New Roman" w:hint="default"/>
        </w:rPr>
        <w:t>2017 </w:t>
      </w:r>
      <w:r>
        <w:rPr/>
        <w:t>年度高管薪酬、续聘会计 师事务所、会计政策变更、公司及子公司</w:t>
      </w:r>
      <w:r>
        <w:rPr>
          <w:spacing w:val="-46"/>
        </w:rPr>
        <w:t> </w:t>
      </w:r>
      <w:r>
        <w:rPr>
          <w:rFonts w:ascii="Times New Roman" w:hAnsi="Times New Roman" w:cs="Times New Roman" w:eastAsia="Times New Roman" w:hint="default"/>
        </w:rPr>
        <w:t>2018 </w:t>
      </w:r>
      <w:r>
        <w:rPr/>
        <w:t>年开展外汇套期保值业务、计提资产减值准备、计提商誉减值准备、部分存 </w:t>
      </w:r>
      <w:r>
        <w:rPr>
          <w:spacing w:val="-2"/>
        </w:rPr>
        <w:t>货报废处置、募集资金存放与使用情况、变更部分募集资金用途、选举董事、聘任高级管理人员、回购股票、股权转让等需</w:t>
      </w:r>
      <w:r>
        <w:rPr>
          <w:spacing w:val="-64"/>
        </w:rPr>
        <w:t> </w:t>
      </w:r>
      <w:r>
        <w:rPr>
          <w:spacing w:val="-64"/>
        </w:rPr>
      </w:r>
      <w:r>
        <w:rPr>
          <w:spacing w:val="-2"/>
        </w:rPr>
        <w:t>要独立董事发表意见的事项出具了独立、公正的独立董事意见，为完善公司监督机制，维护公司和全体股东的合法权益发挥</w:t>
      </w:r>
      <w:r>
        <w:rPr>
          <w:spacing w:val="-66"/>
        </w:rPr>
        <w:t> </w:t>
      </w:r>
      <w:r>
        <w:rPr>
          <w:spacing w:val="-66"/>
        </w:rPr>
      </w:r>
      <w:r>
        <w:rPr/>
        <w:t>了应有的作用。</w:t>
      </w:r>
    </w:p>
    <w:p>
      <w:pPr>
        <w:spacing w:after="0" w:line="309" w:lineRule="auto"/>
        <w:jc w:val="both"/>
        <w:sectPr>
          <w:pgSz w:w="11910" w:h="16840"/>
          <w:pgMar w:header="877" w:footer="979" w:top="1100" w:bottom="1160" w:left="880" w:right="0"/>
        </w:sectPr>
      </w:pPr>
    </w:p>
    <w:p>
      <w:pPr>
        <w:spacing w:line="240" w:lineRule="auto" w:before="10"/>
        <w:rPr>
          <w:rFonts w:ascii="宋体" w:hAnsi="宋体" w:cs="宋体" w:eastAsia="宋体" w:hint="default"/>
          <w:sz w:val="19"/>
          <w:szCs w:val="19"/>
        </w:rPr>
      </w:pPr>
    </w:p>
    <w:p>
      <w:pPr>
        <w:pStyle w:val="Heading2"/>
        <w:spacing w:line="240" w:lineRule="auto" w:before="26"/>
        <w:ind w:right="1034"/>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1034"/>
        <w:jc w:val="left"/>
      </w:pPr>
      <w:r>
        <w:rPr>
          <w:rFonts w:ascii="Times New Roman" w:hAnsi="Times New Roman" w:cs="Times New Roman" w:eastAsia="Times New Roman" w:hint="default"/>
        </w:rPr>
        <w:t>1</w:t>
      </w:r>
      <w:r>
        <w:rPr/>
        <w:t>、审计委员会</w:t>
      </w:r>
    </w:p>
    <w:p>
      <w:pPr>
        <w:pStyle w:val="BodyText"/>
        <w:spacing w:line="314" w:lineRule="auto" w:before="101"/>
        <w:ind w:right="1131" w:firstLine="360"/>
        <w:jc w:val="both"/>
      </w:pPr>
      <w:r>
        <w:rPr>
          <w:rFonts w:ascii="Times New Roman" w:hAnsi="Times New Roman" w:cs="Times New Roman" w:eastAsia="Times New Roman" w:hint="default"/>
        </w:rPr>
        <w:t>2018</w:t>
      </w:r>
      <w:r>
        <w:rPr/>
        <w:t>年，董事会审计委员会召开了</w:t>
      </w:r>
      <w:r>
        <w:rPr>
          <w:rFonts w:ascii="Times New Roman" w:hAnsi="Times New Roman" w:cs="Times New Roman" w:eastAsia="Times New Roman" w:hint="default"/>
        </w:rPr>
        <w:t>6</w:t>
      </w:r>
      <w:r>
        <w:rPr/>
        <w:t>次会议，严格按照《审计委员会工作细则》开展各项工作，对公司审计部提交的季 </w:t>
      </w:r>
      <w:r>
        <w:rPr>
          <w:spacing w:val="-2"/>
        </w:rPr>
        <w:t>度经营审计报告、季度及年度募集资金存放与使用情况的专项报告、年度内部控制自我评价报告、内部审计工作计划、外部</w:t>
      </w:r>
      <w:r>
        <w:rPr>
          <w:spacing w:val="-64"/>
        </w:rPr>
        <w:t> </w:t>
      </w:r>
      <w:r>
        <w:rPr>
          <w:spacing w:val="-64"/>
        </w:rPr>
      </w:r>
      <w:r>
        <w:rPr>
          <w:spacing w:val="-2"/>
        </w:rPr>
        <w:t>审计机构的工作总结报告、续聘会计师事务所等事项进行审议，对相关事项讨论后，形成决议提交公司董事会进行审议；对</w:t>
      </w:r>
      <w:r>
        <w:rPr>
          <w:spacing w:val="-65"/>
        </w:rPr>
        <w:t> </w:t>
      </w:r>
      <w:r>
        <w:rPr>
          <w:spacing w:val="-65"/>
        </w:rPr>
      </w:r>
      <w:r>
        <w:rPr>
          <w:spacing w:val="-2"/>
        </w:rPr>
        <w:t>内部控制的实施情况进行监督；严格按照《董事会审计委员会年报工作规程》对年审会计师完成审计工作情况及其执业质量</w:t>
      </w:r>
      <w:r>
        <w:rPr>
          <w:spacing w:val="-66"/>
        </w:rPr>
        <w:t> </w:t>
      </w:r>
      <w:r>
        <w:rPr>
          <w:spacing w:val="-66"/>
        </w:rPr>
      </w:r>
      <w:r>
        <w:rPr/>
        <w:t>进行全面客观的评价，提高年报的披露质量。</w:t>
      </w:r>
    </w:p>
    <w:p>
      <w:pPr>
        <w:pStyle w:val="BodyText"/>
        <w:spacing w:line="240" w:lineRule="auto" w:before="61"/>
        <w:ind w:left="513" w:right="1034"/>
        <w:jc w:val="left"/>
      </w:pPr>
      <w:r>
        <w:rPr>
          <w:rFonts w:ascii="Times New Roman" w:hAnsi="Times New Roman" w:cs="Times New Roman" w:eastAsia="Times New Roman" w:hint="default"/>
        </w:rPr>
        <w:t>2</w:t>
      </w:r>
      <w:r>
        <w:rPr/>
        <w:t>、薪酬与考核委员会</w:t>
      </w:r>
    </w:p>
    <w:p>
      <w:pPr>
        <w:pStyle w:val="BodyText"/>
        <w:spacing w:line="300" w:lineRule="auto" w:before="103"/>
        <w:ind w:right="1128" w:firstLine="360"/>
        <w:jc w:val="both"/>
      </w:pPr>
      <w:r>
        <w:rPr>
          <w:rFonts w:ascii="Times New Roman" w:hAnsi="Times New Roman" w:cs="Times New Roman" w:eastAsia="Times New Roman" w:hint="default"/>
        </w:rPr>
        <w:t>2018</w:t>
      </w:r>
      <w:r>
        <w:rPr/>
        <w:t>年，董事会薪酬与考核委员会召开了</w:t>
      </w:r>
      <w:r>
        <w:rPr>
          <w:rFonts w:ascii="Times New Roman" w:hAnsi="Times New Roman" w:cs="Times New Roman" w:eastAsia="Times New Roman" w:hint="default"/>
        </w:rPr>
        <w:t>1</w:t>
      </w:r>
      <w:r>
        <w:rPr/>
        <w:t>次会议，对公司高级管理人员进行考核，确定其</w:t>
      </w:r>
      <w:r>
        <w:rPr>
          <w:rFonts w:ascii="Times New Roman" w:hAnsi="Times New Roman" w:cs="Times New Roman" w:eastAsia="Times New Roman" w:hint="default"/>
        </w:rPr>
        <w:t>2017</w:t>
      </w:r>
      <w:r>
        <w:rPr/>
        <w:t>年薪酬及</w:t>
      </w:r>
      <w:r>
        <w:rPr>
          <w:rFonts w:ascii="Times New Roman" w:hAnsi="Times New Roman" w:cs="Times New Roman" w:eastAsia="Times New Roman" w:hint="default"/>
        </w:rPr>
        <w:t>2018</w:t>
      </w:r>
      <w:r>
        <w:rPr/>
        <w:t>年度考核 目标，并形成议案提交董事会审议。</w:t>
      </w:r>
    </w:p>
    <w:p>
      <w:pPr>
        <w:pStyle w:val="BodyText"/>
        <w:spacing w:line="240" w:lineRule="auto" w:before="70"/>
        <w:ind w:left="513" w:right="1034"/>
        <w:jc w:val="left"/>
      </w:pPr>
      <w:r>
        <w:rPr>
          <w:rFonts w:ascii="Times New Roman" w:hAnsi="Times New Roman" w:cs="Times New Roman" w:eastAsia="Times New Roman" w:hint="default"/>
        </w:rPr>
        <w:t>3</w:t>
      </w:r>
      <w:r>
        <w:rPr/>
        <w:t>、提名委员会</w:t>
      </w:r>
    </w:p>
    <w:p>
      <w:pPr>
        <w:pStyle w:val="BodyText"/>
        <w:spacing w:line="300" w:lineRule="auto" w:before="103"/>
        <w:ind w:right="1132" w:firstLine="360"/>
        <w:jc w:val="both"/>
      </w:pPr>
      <w:r>
        <w:rPr>
          <w:rFonts w:ascii="Times New Roman" w:hAnsi="Times New Roman" w:cs="Times New Roman" w:eastAsia="Times New Roman" w:hint="default"/>
        </w:rPr>
        <w:t>2018</w:t>
      </w:r>
      <w:r>
        <w:rPr/>
        <w:t>年，董事会提名委员会召开了</w:t>
      </w:r>
      <w:r>
        <w:rPr>
          <w:rFonts w:ascii="Times New Roman" w:hAnsi="Times New Roman" w:cs="Times New Roman" w:eastAsia="Times New Roman" w:hint="default"/>
        </w:rPr>
        <w:t>3</w:t>
      </w:r>
      <w:r>
        <w:rPr/>
        <w:t>次会议，审议通过了《关于聘任钟勇为公司董事会秘书的议案》《关于增补陈荣为 公司董事的议案》《关于聘任韩莹为公司副总经理的议案》</w:t>
      </w:r>
      <w:r>
        <w:rPr>
          <w:rFonts w:ascii="Times New Roman" w:hAnsi="Times New Roman" w:cs="Times New Roman" w:eastAsia="Times New Roman" w:hint="default"/>
        </w:rPr>
        <w:t>3</w:t>
      </w:r>
      <w:r>
        <w:rPr/>
        <w:t>个议案。提名委员会委员对上述人选从其职业、学历、职称、</w:t>
      </w:r>
      <w:r>
        <w:rPr>
          <w:spacing w:val="-83"/>
        </w:rPr>
        <w:t> </w:t>
      </w:r>
      <w:r>
        <w:rPr>
          <w:spacing w:val="-83"/>
        </w:rPr>
      </w:r>
      <w:r>
        <w:rPr/>
        <w:t>详细的工作经历、全部兼职等情况切实进行了审查，审议通过上述提名，并形成议案提交董事会审议。</w:t>
      </w:r>
    </w:p>
    <w:p>
      <w:pPr>
        <w:pStyle w:val="BodyText"/>
        <w:spacing w:line="240" w:lineRule="auto" w:before="72"/>
        <w:ind w:left="513" w:right="1034"/>
        <w:jc w:val="left"/>
      </w:pPr>
      <w:r>
        <w:rPr>
          <w:rFonts w:ascii="Times New Roman" w:hAnsi="Times New Roman" w:cs="Times New Roman" w:eastAsia="Times New Roman" w:hint="default"/>
        </w:rPr>
        <w:t>4</w:t>
      </w:r>
      <w:r>
        <w:rPr/>
        <w:t>、战略与投资委员会</w:t>
      </w:r>
    </w:p>
    <w:p>
      <w:pPr>
        <w:pStyle w:val="BodyText"/>
        <w:spacing w:line="300" w:lineRule="auto" w:before="101"/>
        <w:ind w:right="1131" w:firstLine="360"/>
        <w:jc w:val="both"/>
      </w:pPr>
      <w:r>
        <w:rPr>
          <w:rFonts w:ascii="Times New Roman" w:hAnsi="Times New Roman" w:cs="Times New Roman" w:eastAsia="Times New Roman" w:hint="default"/>
          <w:spacing w:val="-2"/>
        </w:rPr>
        <w:t>2018</w:t>
      </w:r>
      <w:r>
        <w:rPr>
          <w:spacing w:val="-2"/>
        </w:rPr>
        <w:t>年，董事会战略与投资委员会共召开了</w:t>
      </w:r>
      <w:r>
        <w:rPr>
          <w:rFonts w:ascii="Times New Roman" w:hAnsi="Times New Roman" w:cs="Times New Roman" w:eastAsia="Times New Roman" w:hint="default"/>
          <w:spacing w:val="-2"/>
        </w:rPr>
        <w:t>3</w:t>
      </w:r>
      <w:r>
        <w:rPr>
          <w:spacing w:val="-2"/>
        </w:rPr>
        <w:t>次会议，就公司战略与投资事项，先后形成</w:t>
      </w:r>
      <w:r>
        <w:rPr>
          <w:rFonts w:ascii="Times New Roman" w:hAnsi="Times New Roman" w:cs="Times New Roman" w:eastAsia="Times New Roman" w:hint="default"/>
          <w:spacing w:val="-2"/>
        </w:rPr>
        <w:t>8</w:t>
      </w:r>
      <w:r>
        <w:rPr>
          <w:spacing w:val="-2"/>
        </w:rPr>
        <w:t>项议案，达到董事会审议标准</w:t>
      </w:r>
      <w:r>
        <w:rPr/>
        <w:t> 的议案均已提交董事会审议。</w:t>
      </w:r>
    </w:p>
    <w:p>
      <w:pPr>
        <w:spacing w:line="240" w:lineRule="auto" w:before="11"/>
        <w:rPr>
          <w:rFonts w:ascii="宋体" w:hAnsi="宋体" w:cs="宋体" w:eastAsia="宋体" w:hint="default"/>
          <w:sz w:val="21"/>
          <w:szCs w:val="21"/>
        </w:rPr>
      </w:pPr>
    </w:p>
    <w:p>
      <w:pPr>
        <w:pStyle w:val="Heading2"/>
        <w:spacing w:line="240" w:lineRule="auto"/>
        <w:ind w:right="1034"/>
        <w:jc w:val="left"/>
        <w:rPr>
          <w:b w:val="0"/>
          <w:bCs w:val="0"/>
        </w:rPr>
      </w:pP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4"/>
        <w:jc w:val="left"/>
      </w:pPr>
      <w:r>
        <w:rPr/>
        <w:t>监事会在报告期内的监督活动中发现公司是否存在风险</w:t>
      </w:r>
    </w:p>
    <w:p>
      <w:pPr>
        <w:pStyle w:val="BodyText"/>
        <w:spacing w:line="340" w:lineRule="auto" w:before="115"/>
        <w:ind w:right="7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1034"/>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0" w:firstLine="360"/>
        <w:jc w:val="both"/>
      </w:pPr>
      <w:r>
        <w:rPr>
          <w:spacing w:val="-2"/>
        </w:rPr>
        <w:t>公司建立健全了高级管理人员绩效考评体系、薪酬制度以及《高管层年度业绩考核与薪酬管理办法》。公司高级管理人</w:t>
      </w:r>
      <w:r>
        <w:rPr/>
        <w:t> </w:t>
      </w:r>
      <w:r>
        <w:rPr>
          <w:spacing w:val="-2"/>
        </w:rPr>
        <w:t>员的工作绩效与其收入直接挂钩，每年年初，公司与高管层分别签订年度经营责任书，落实有关考核指标及相关事项。在年</w:t>
      </w:r>
      <w:r>
        <w:rPr>
          <w:spacing w:val="-64"/>
        </w:rPr>
        <w:t> </w:t>
      </w:r>
      <w:r>
        <w:rPr>
          <w:spacing w:val="-64"/>
        </w:rPr>
      </w:r>
      <w:r>
        <w:rPr>
          <w:spacing w:val="-2"/>
        </w:rPr>
        <w:t>度结束后，由董事会薪酬与考核委员会负责按量化考核指标，对高管责任目标完成情况进行考评，制定薪酬方案报公司董事</w:t>
      </w:r>
      <w:r>
        <w:rPr>
          <w:spacing w:val="-63"/>
        </w:rPr>
        <w:t> </w:t>
      </w:r>
      <w:r>
        <w:rPr>
          <w:spacing w:val="-63"/>
        </w:rPr>
      </w:r>
      <w:r>
        <w:rPr/>
        <w:t>会审批。</w:t>
      </w:r>
    </w:p>
    <w:p>
      <w:pPr>
        <w:spacing w:line="240" w:lineRule="auto" w:before="9"/>
        <w:rPr>
          <w:rFonts w:ascii="宋体" w:hAnsi="宋体" w:cs="宋体" w:eastAsia="宋体" w:hint="default"/>
          <w:sz w:val="20"/>
          <w:szCs w:val="20"/>
        </w:rPr>
      </w:pPr>
    </w:p>
    <w:p>
      <w:pPr>
        <w:pStyle w:val="Heading2"/>
        <w:spacing w:line="240" w:lineRule="auto"/>
        <w:ind w:right="1034"/>
        <w:jc w:val="left"/>
        <w:rPr>
          <w:b w:val="0"/>
          <w:bCs w:val="0"/>
        </w:rPr>
      </w:pPr>
      <w:r>
        <w:rPr/>
        <w:t>九、内部控制评价报告</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right="1034"/>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0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6"/>
        <w:rPr>
          <w:rFonts w:ascii="宋体" w:hAnsi="宋体" w:cs="宋体" w:eastAsia="宋体" w:hint="default"/>
          <w:sz w:val="26"/>
          <w:szCs w:val="26"/>
        </w:rPr>
      </w:pPr>
    </w:p>
    <w:p>
      <w:pPr>
        <w:pStyle w:val="Heading4"/>
        <w:spacing w:line="240" w:lineRule="auto"/>
        <w:ind w:right="1034"/>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3"/>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194"/>
        <w:gridCol w:w="6731"/>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刊登在巨潮资讯网</w:t>
            </w:r>
            <w:r>
              <w:rPr>
                <w:rFonts w:ascii="宋体" w:hAnsi="宋体" w:cs="宋体" w:eastAsia="宋体" w:hint="default"/>
                <w:spacing w:val="-50"/>
                <w:sz w:val="18"/>
                <w:szCs w:val="18"/>
              </w:rPr>
              <w:t> </w:t>
            </w:r>
            <w:hyperlink r:id="rId10">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上的《</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年度内部控制自我评价报告》</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384.070007pt;margin-top:681.940002pt;width:167.45pt;height:15.6pt;mso-position-horizontal-relative:page;mso-position-vertical-relative:page;z-index:-1289296" coordorigin="7681,13639" coordsize="3349,312">
            <v:shape style="position:absolute;left:7681;top:13639;width:3349;height:312" coordorigin="7681,13639" coordsize="3349,312" path="m7681,13951l11030,13951,11030,13639,7681,13639,7681,13951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3190"/>
        <w:gridCol w:w="3327"/>
        <w:gridCol w:w="3409"/>
      </w:tblGrid>
      <w:tr>
        <w:trPr>
          <w:trHeight w:val="36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财务报表资产总额的比例</w:t>
            </w:r>
          </w:p>
        </w:tc>
        <w:tc>
          <w:tcPr>
            <w:tcW w:w="6736" w:type="dxa"/>
            <w:gridSpan w:val="2"/>
            <w:tcBorders>
              <w:top w:val="single" w:sz="4" w:space="0" w:color="000000"/>
              <w:left w:val="single" w:sz="9" w:space="0" w:color="D2D2D2"/>
              <w:bottom w:val="single" w:sz="4" w:space="0" w:color="000000"/>
              <w:right w:val="single" w:sz="4" w:space="0" w:color="000000"/>
            </w:tcBorders>
          </w:tcPr>
          <w:p>
            <w:pP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73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w:t>
            </w:r>
          </w:p>
        </w:tc>
      </w:tr>
      <w:tr>
        <w:trPr>
          <w:trHeight w:val="398" w:hRule="exact"/>
        </w:trPr>
        <w:tc>
          <w:tcPr>
            <w:tcW w:w="992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087"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240" w:lineRule="auto" w:before="8"/>
              <w:ind w:left="383" w:right="0"/>
              <w:jc w:val="left"/>
              <w:rPr>
                <w:rFonts w:ascii="宋体" w:hAnsi="宋体" w:cs="宋体" w:eastAsia="宋体" w:hint="default"/>
                <w:sz w:val="18"/>
                <w:szCs w:val="18"/>
              </w:rPr>
            </w:pPr>
            <w:r>
              <w:rPr>
                <w:rFonts w:ascii="宋体" w:hAnsi="宋体" w:cs="宋体" w:eastAsia="宋体" w:hint="default"/>
                <w:sz w:val="18"/>
                <w:szCs w:val="18"/>
              </w:rPr>
              <w:t>财务报告重大缺陷的迹象包括：</w:t>
            </w:r>
          </w:p>
          <w:p>
            <w:pPr>
              <w:pStyle w:val="TableParagraph"/>
              <w:spacing w:line="316" w:lineRule="auto" w:before="76"/>
              <w:ind w:left="23" w:right="46" w:firstLine="360"/>
              <w:jc w:val="left"/>
              <w:rPr>
                <w:rFonts w:ascii="宋体" w:hAnsi="宋体" w:cs="宋体" w:eastAsia="宋体" w:hint="default"/>
                <w:sz w:val="18"/>
                <w:szCs w:val="18"/>
              </w:rPr>
            </w:pPr>
            <w:r>
              <w:rPr>
                <w:rFonts w:ascii="宋体" w:hAnsi="宋体" w:cs="宋体" w:eastAsia="宋体" w:hint="default"/>
                <w:sz w:val="18"/>
                <w:szCs w:val="18"/>
              </w:rPr>
              <w:t>①公司董事、监事和高级管理人员的 舞弊行为；</w:t>
            </w:r>
          </w:p>
          <w:p>
            <w:pPr>
              <w:pStyle w:val="TableParagraph"/>
              <w:spacing w:line="240" w:lineRule="auto" w:before="19"/>
              <w:ind w:left="383" w:right="0"/>
              <w:jc w:val="left"/>
              <w:rPr>
                <w:rFonts w:ascii="宋体" w:hAnsi="宋体" w:cs="宋体" w:eastAsia="宋体" w:hint="default"/>
                <w:sz w:val="18"/>
                <w:szCs w:val="18"/>
              </w:rPr>
            </w:pPr>
            <w:r>
              <w:rPr>
                <w:rFonts w:ascii="宋体" w:hAnsi="宋体" w:cs="宋体" w:eastAsia="宋体" w:hint="default"/>
                <w:sz w:val="18"/>
                <w:szCs w:val="18"/>
              </w:rPr>
              <w:t>②公司更正已公布的财务报告；</w:t>
            </w:r>
          </w:p>
          <w:p>
            <w:pPr>
              <w:pStyle w:val="TableParagraph"/>
              <w:spacing w:line="319" w:lineRule="auto" w:before="76"/>
              <w:ind w:left="23" w:right="46" w:firstLine="360"/>
              <w:jc w:val="left"/>
              <w:rPr>
                <w:rFonts w:ascii="宋体" w:hAnsi="宋体" w:cs="宋体" w:eastAsia="宋体" w:hint="default"/>
                <w:sz w:val="18"/>
                <w:szCs w:val="18"/>
              </w:rPr>
            </w:pPr>
            <w:r>
              <w:rPr>
                <w:rFonts w:ascii="宋体" w:hAnsi="宋体" w:cs="宋体" w:eastAsia="宋体" w:hint="default"/>
                <w:sz w:val="18"/>
                <w:szCs w:val="18"/>
              </w:rPr>
              <w:t>③注册会计师发现的却未被公司内部 控制识别的当期财务报告中的重大错报；</w:t>
            </w:r>
          </w:p>
          <w:p>
            <w:pPr>
              <w:pStyle w:val="TableParagraph"/>
              <w:spacing w:line="316" w:lineRule="auto" w:before="17"/>
              <w:ind w:left="23" w:right="46" w:firstLine="360"/>
              <w:jc w:val="left"/>
              <w:rPr>
                <w:rFonts w:ascii="宋体" w:hAnsi="宋体" w:cs="宋体" w:eastAsia="宋体" w:hint="default"/>
                <w:sz w:val="18"/>
                <w:szCs w:val="18"/>
              </w:rPr>
            </w:pPr>
            <w:r>
              <w:rPr>
                <w:rFonts w:ascii="宋体" w:hAnsi="宋体" w:cs="宋体" w:eastAsia="宋体" w:hint="default"/>
                <w:sz w:val="18"/>
                <w:szCs w:val="18"/>
              </w:rPr>
              <w:t>④审计委员会和审计部门对公司的对 外财务报告和财务报告内部控制监督无 效。</w:t>
            </w:r>
          </w:p>
          <w:p>
            <w:pPr>
              <w:pStyle w:val="TableParagraph"/>
              <w:spacing w:line="240" w:lineRule="auto" w:before="19"/>
              <w:ind w:left="383" w:right="0"/>
              <w:jc w:val="left"/>
              <w:rPr>
                <w:rFonts w:ascii="宋体" w:hAnsi="宋体" w:cs="宋体" w:eastAsia="宋体" w:hint="default"/>
                <w:sz w:val="18"/>
                <w:szCs w:val="18"/>
              </w:rPr>
            </w:pPr>
            <w:r>
              <w:rPr>
                <w:rFonts w:ascii="宋体" w:hAnsi="宋体" w:cs="宋体" w:eastAsia="宋体" w:hint="default"/>
                <w:sz w:val="18"/>
                <w:szCs w:val="18"/>
              </w:rPr>
              <w:t>财务报告重要缺陷的迹象包括：</w:t>
            </w:r>
          </w:p>
          <w:p>
            <w:pPr>
              <w:pStyle w:val="TableParagraph"/>
              <w:spacing w:line="316" w:lineRule="auto" w:before="76"/>
              <w:ind w:left="23" w:right="46" w:firstLine="360"/>
              <w:jc w:val="left"/>
              <w:rPr>
                <w:rFonts w:ascii="宋体" w:hAnsi="宋体" w:cs="宋体" w:eastAsia="宋体" w:hint="default"/>
                <w:sz w:val="18"/>
                <w:szCs w:val="18"/>
              </w:rPr>
            </w:pPr>
            <w:r>
              <w:rPr>
                <w:rFonts w:ascii="宋体" w:hAnsi="宋体" w:cs="宋体" w:eastAsia="宋体" w:hint="default"/>
                <w:sz w:val="18"/>
                <w:szCs w:val="18"/>
              </w:rPr>
              <w:t>①未依照公认会计准则选择和应用会 计政策；</w:t>
            </w:r>
          </w:p>
          <w:p>
            <w:pPr>
              <w:pStyle w:val="TableParagraph"/>
              <w:spacing w:line="240" w:lineRule="auto" w:before="19"/>
              <w:ind w:left="383" w:right="0"/>
              <w:jc w:val="left"/>
              <w:rPr>
                <w:rFonts w:ascii="宋体" w:hAnsi="宋体" w:cs="宋体" w:eastAsia="宋体" w:hint="default"/>
                <w:sz w:val="18"/>
                <w:szCs w:val="18"/>
              </w:rPr>
            </w:pPr>
            <w:r>
              <w:rPr>
                <w:rFonts w:ascii="宋体" w:hAnsi="宋体" w:cs="宋体" w:eastAsia="宋体" w:hint="default"/>
                <w:sz w:val="18"/>
                <w:szCs w:val="18"/>
              </w:rPr>
              <w:t>②未建立反舞弊程序和控制措施；</w:t>
            </w:r>
          </w:p>
          <w:p>
            <w:pPr>
              <w:pStyle w:val="TableParagraph"/>
              <w:spacing w:line="319" w:lineRule="auto" w:before="76"/>
              <w:ind w:left="23" w:right="46" w:firstLine="360"/>
              <w:jc w:val="both"/>
              <w:rPr>
                <w:rFonts w:ascii="宋体" w:hAnsi="宋体" w:cs="宋体" w:eastAsia="宋体" w:hint="default"/>
                <w:sz w:val="18"/>
                <w:szCs w:val="18"/>
              </w:rPr>
            </w:pPr>
            <w:r>
              <w:rPr>
                <w:rFonts w:ascii="宋体" w:hAnsi="宋体" w:cs="宋体" w:eastAsia="宋体" w:hint="default"/>
                <w:sz w:val="18"/>
                <w:szCs w:val="18"/>
              </w:rPr>
              <w:t>③对于非常规或特殊交易的账务处理 没有建立相应的控制机制或没有实施且没 有相应的补偿性控制；</w:t>
            </w:r>
          </w:p>
          <w:p>
            <w:pPr>
              <w:pStyle w:val="TableParagraph"/>
              <w:spacing w:line="316" w:lineRule="auto" w:before="17"/>
              <w:ind w:left="23" w:right="46" w:firstLine="360"/>
              <w:jc w:val="both"/>
              <w:rPr>
                <w:rFonts w:ascii="宋体" w:hAnsi="宋体" w:cs="宋体" w:eastAsia="宋体" w:hint="default"/>
                <w:sz w:val="18"/>
                <w:szCs w:val="18"/>
              </w:rPr>
            </w:pPr>
            <w:r>
              <w:rPr>
                <w:rFonts w:ascii="宋体" w:hAnsi="宋体" w:cs="宋体" w:eastAsia="宋体" w:hint="default"/>
                <w:sz w:val="18"/>
                <w:szCs w:val="18"/>
              </w:rPr>
              <w:t>④对于期末财务报告过程的控制存在 一项或多项缺陷且不能合理保证编制的财 务报表达到真实、完整的目标。</w:t>
            </w:r>
          </w:p>
          <w:p>
            <w:pPr>
              <w:pStyle w:val="TableParagraph"/>
              <w:spacing w:line="316" w:lineRule="auto" w:before="19"/>
              <w:ind w:left="23" w:right="46" w:firstLine="360"/>
              <w:jc w:val="left"/>
              <w:rPr>
                <w:rFonts w:ascii="宋体" w:hAnsi="宋体" w:cs="宋体" w:eastAsia="宋体" w:hint="default"/>
                <w:sz w:val="18"/>
                <w:szCs w:val="18"/>
              </w:rPr>
            </w:pPr>
            <w:r>
              <w:rPr>
                <w:rFonts w:ascii="宋体" w:hAnsi="宋体" w:cs="宋体" w:eastAsia="宋体" w:hint="default"/>
                <w:sz w:val="18"/>
                <w:szCs w:val="18"/>
              </w:rPr>
              <w:t>一般缺陷是指除上述重大缺陷、重要 缺陷之外的其他控制缺陷。</w:t>
            </w:r>
          </w:p>
        </w:tc>
        <w:tc>
          <w:tcPr>
            <w:tcW w:w="34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9" w:lineRule="auto"/>
              <w:ind w:left="26" w:right="20" w:firstLine="360"/>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务流程有效性的影响程度、发生的可能性作</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判定。</w:t>
            </w:r>
          </w:p>
          <w:p>
            <w:pPr>
              <w:pStyle w:val="TableParagraph"/>
              <w:spacing w:line="316" w:lineRule="auto" w:before="17"/>
              <w:ind w:left="26" w:right="-48" w:firstLine="360"/>
              <w:jc w:val="left"/>
              <w:rPr>
                <w:rFonts w:ascii="宋体" w:hAnsi="宋体" w:cs="宋体" w:eastAsia="宋体" w:hint="default"/>
                <w:sz w:val="18"/>
                <w:szCs w:val="18"/>
              </w:rPr>
            </w:pPr>
            <w:r>
              <w:rPr>
                <w:rFonts w:ascii="宋体" w:hAnsi="宋体" w:cs="宋体" w:eastAsia="宋体" w:hint="default"/>
                <w:spacing w:val="-5"/>
                <w:sz w:val="18"/>
                <w:szCs w:val="18"/>
              </w:rPr>
              <w:t>①如果缺陷发生的可能性较小，会降低</w:t>
            </w:r>
            <w:r>
              <w:rPr>
                <w:rFonts w:ascii="宋体" w:hAnsi="宋体" w:cs="宋体" w:eastAsia="宋体" w:hint="default"/>
                <w:sz w:val="18"/>
                <w:szCs w:val="18"/>
              </w:rPr>
              <w:t> 工作效率或效果、或加大效果的不确定性、 或使之偏离预期目标为一般缺陷；</w:t>
            </w:r>
          </w:p>
          <w:p>
            <w:pPr>
              <w:pStyle w:val="TableParagraph"/>
              <w:spacing w:line="316" w:lineRule="auto" w:before="19"/>
              <w:ind w:left="26" w:right="20" w:firstLine="360"/>
              <w:jc w:val="both"/>
              <w:rPr>
                <w:rFonts w:ascii="宋体" w:hAnsi="宋体" w:cs="宋体" w:eastAsia="宋体" w:hint="default"/>
                <w:sz w:val="18"/>
                <w:szCs w:val="18"/>
              </w:rPr>
            </w:pPr>
            <w:r>
              <w:rPr>
                <w:rFonts w:ascii="宋体" w:hAnsi="宋体" w:cs="宋体" w:eastAsia="宋体" w:hint="default"/>
                <w:spacing w:val="-5"/>
                <w:sz w:val="18"/>
                <w:szCs w:val="18"/>
              </w:rPr>
              <w:t>②如果缺陷发生的可能性较高，会显著</w:t>
            </w:r>
            <w:r>
              <w:rPr>
                <w:rFonts w:ascii="宋体" w:hAnsi="宋体" w:cs="宋体" w:eastAsia="宋体" w:hint="default"/>
                <w:sz w:val="18"/>
                <w:szCs w:val="18"/>
              </w:rPr>
              <w:t> </w:t>
            </w:r>
            <w:r>
              <w:rPr>
                <w:rFonts w:ascii="宋体" w:hAnsi="宋体" w:cs="宋体" w:eastAsia="宋体" w:hint="default"/>
                <w:spacing w:val="-4"/>
                <w:sz w:val="18"/>
                <w:szCs w:val="18"/>
              </w:rPr>
              <w:t>降低工作效率或效果、或显著加大效果的不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确定性、或使之显著偏离预期目标为重要缺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陷；</w:t>
            </w:r>
          </w:p>
          <w:p>
            <w:pPr>
              <w:pStyle w:val="TableParagraph"/>
              <w:spacing w:line="319" w:lineRule="auto" w:before="19"/>
              <w:ind w:left="26" w:right="20" w:firstLine="360"/>
              <w:jc w:val="left"/>
              <w:rPr>
                <w:rFonts w:ascii="宋体" w:hAnsi="宋体" w:cs="宋体" w:eastAsia="宋体" w:hint="default"/>
                <w:sz w:val="18"/>
                <w:szCs w:val="18"/>
              </w:rPr>
            </w:pPr>
            <w:r>
              <w:rPr>
                <w:rFonts w:ascii="宋体" w:hAnsi="宋体" w:cs="宋体" w:eastAsia="宋体" w:hint="default"/>
                <w:spacing w:val="-5"/>
                <w:sz w:val="18"/>
                <w:szCs w:val="18"/>
              </w:rPr>
              <w:t>③如果缺陷发生的可能性高，会严重降</w:t>
            </w:r>
            <w:r>
              <w:rPr>
                <w:rFonts w:ascii="宋体" w:hAnsi="宋体" w:cs="宋体" w:eastAsia="宋体" w:hint="default"/>
                <w:sz w:val="18"/>
                <w:szCs w:val="18"/>
              </w:rPr>
              <w:t> </w:t>
            </w:r>
            <w:r>
              <w:rPr>
                <w:rFonts w:ascii="宋体" w:hAnsi="宋体" w:cs="宋体" w:eastAsia="宋体" w:hint="default"/>
                <w:spacing w:val="-4"/>
                <w:sz w:val="18"/>
                <w:szCs w:val="18"/>
              </w:rPr>
              <w:t>低工作效率或效果、或严重加大效果的不确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定性、或使之严重偏离预期目标为重大缺 陷。</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9" w:space="0" w:color="D2D2D2"/>
              <w:right w:val="single" w:sz="4" w:space="0" w:color="000000"/>
            </w:tcBorders>
          </w:tcPr>
          <w:p>
            <w:pPr/>
          </w:p>
        </w:tc>
        <w:tc>
          <w:tcPr>
            <w:tcW w:w="3409" w:type="dxa"/>
            <w:vMerge/>
            <w:tcBorders>
              <w:left w:val="single" w:sz="4" w:space="0" w:color="000000"/>
              <w:right w:val="single" w:sz="4" w:space="0" w:color="000000"/>
            </w:tcBorders>
          </w:tcPr>
          <w:p>
            <w:pPr/>
          </w:p>
        </w:tc>
      </w:tr>
      <w:tr>
        <w:trPr>
          <w:trHeight w:val="3084"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409" w:type="dxa"/>
            <w:vMerge/>
            <w:tcBorders>
              <w:left w:val="single" w:sz="4" w:space="0" w:color="000000"/>
              <w:bottom w:val="single" w:sz="4" w:space="0" w:color="000000"/>
              <w:right w:val="single" w:sz="4" w:space="0" w:color="000000"/>
            </w:tcBorders>
          </w:tcPr>
          <w:p>
            <w:pPr/>
          </w:p>
        </w:tc>
      </w:tr>
      <w:tr>
        <w:trPr>
          <w:trHeight w:val="2463"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14" w:space="0" w:color="FFFFFF"/>
            </w:tcBorders>
          </w:tcPr>
          <w:p>
            <w:pPr>
              <w:pStyle w:val="TableParagraph"/>
              <w:spacing w:line="316" w:lineRule="auto" w:before="10"/>
              <w:ind w:left="23" w:right="33" w:firstLine="360"/>
              <w:jc w:val="both"/>
              <w:rPr>
                <w:rFonts w:ascii="宋体" w:hAnsi="宋体" w:cs="宋体" w:eastAsia="宋体" w:hint="default"/>
                <w:sz w:val="18"/>
                <w:szCs w:val="18"/>
              </w:rPr>
            </w:pPr>
            <w:r>
              <w:rPr>
                <w:rFonts w:ascii="宋体" w:hAnsi="宋体" w:cs="宋体" w:eastAsia="宋体" w:hint="default"/>
                <w:sz w:val="18"/>
                <w:szCs w:val="18"/>
              </w:rPr>
              <w:t>定量标准以营业收入、资产总额作为 衡量指标。</w:t>
            </w:r>
          </w:p>
          <w:p>
            <w:pPr>
              <w:pStyle w:val="TableParagraph"/>
              <w:spacing w:line="316" w:lineRule="auto" w:before="19"/>
              <w:ind w:left="23" w:right="33" w:firstLine="360"/>
              <w:jc w:val="both"/>
              <w:rPr>
                <w:rFonts w:ascii="宋体" w:hAnsi="宋体" w:cs="宋体" w:eastAsia="宋体" w:hint="default"/>
                <w:sz w:val="18"/>
                <w:szCs w:val="18"/>
              </w:rPr>
            </w:pPr>
            <w:r>
              <w:rPr>
                <w:rFonts w:ascii="宋体" w:hAnsi="宋体" w:cs="宋体" w:eastAsia="宋体" w:hint="default"/>
                <w:sz w:val="18"/>
                <w:szCs w:val="18"/>
              </w:rPr>
              <w:t>内部控制缺陷可能导致或导致的损失 与利润表相关的，以营业收入指标衡量。</w:t>
            </w:r>
          </w:p>
          <w:p>
            <w:pPr>
              <w:pStyle w:val="TableParagraph"/>
              <w:spacing w:line="319" w:lineRule="auto" w:before="19"/>
              <w:ind w:left="23" w:right="33" w:firstLine="360"/>
              <w:jc w:val="both"/>
              <w:rPr>
                <w:rFonts w:ascii="宋体" w:hAnsi="宋体" w:cs="宋体" w:eastAsia="宋体" w:hint="default"/>
                <w:sz w:val="18"/>
                <w:szCs w:val="18"/>
              </w:rPr>
            </w:pPr>
            <w:r>
              <w:rPr>
                <w:rFonts w:ascii="宋体" w:hAnsi="宋体" w:cs="宋体" w:eastAsia="宋体" w:hint="default"/>
                <w:sz w:val="18"/>
                <w:szCs w:val="18"/>
              </w:rPr>
              <w:t>①如果该缺陷单独或连同其他缺陷可 能导致的财务报告错报金额小于营业收入 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w:t>
            </w:r>
          </w:p>
          <w:p>
            <w:pPr>
              <w:pStyle w:val="TableParagraph"/>
              <w:spacing w:line="300" w:lineRule="auto"/>
              <w:ind w:left="23" w:right="107" w:firstLine="360"/>
              <w:jc w:val="both"/>
              <w:rPr>
                <w:rFonts w:ascii="宋体" w:hAnsi="宋体" w:cs="宋体" w:eastAsia="宋体" w:hint="default"/>
                <w:sz w:val="18"/>
                <w:szCs w:val="18"/>
              </w:rPr>
            </w:pPr>
            <w:r>
              <w:rPr>
                <w:rFonts w:ascii="宋体" w:hAnsi="宋体" w:cs="宋体" w:eastAsia="宋体" w:hint="default"/>
                <w:sz w:val="18"/>
                <w:szCs w:val="18"/>
              </w:rPr>
              <w:t>②如果超过营业收入的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，则认定为重要缺陷；</w:t>
            </w:r>
          </w:p>
          <w:p>
            <w:pPr>
              <w:pStyle w:val="TableParagraph"/>
              <w:spacing w:line="300" w:lineRule="auto" w:before="13"/>
              <w:ind w:left="23" w:right="6" w:firstLine="360"/>
              <w:jc w:val="both"/>
              <w:rPr>
                <w:rFonts w:ascii="宋体" w:hAnsi="宋体" w:cs="宋体" w:eastAsia="宋体" w:hint="default"/>
                <w:sz w:val="18"/>
                <w:szCs w:val="18"/>
              </w:rPr>
            </w:pPr>
            <w:r>
              <w:rPr>
                <w:rFonts w:ascii="宋体" w:hAnsi="宋体" w:cs="宋体" w:eastAsia="宋体" w:hint="default"/>
                <w:sz w:val="18"/>
                <w:szCs w:val="18"/>
              </w:rPr>
              <w:t>③如果超过营业收入的</w:t>
            </w:r>
            <w:r>
              <w:rPr>
                <w:rFonts w:ascii="宋体" w:hAnsi="宋体" w:cs="宋体" w:eastAsia="宋体" w:hint="default"/>
                <w:spacing w:val="-43"/>
                <w:sz w:val="18"/>
                <w:szCs w:val="18"/>
              </w:rPr>
              <w:t> </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，则认定为</w:t>
            </w:r>
            <w:r>
              <w:rPr>
                <w:rFonts w:ascii="宋体" w:hAnsi="宋体" w:cs="宋体" w:eastAsia="宋体" w:hint="default"/>
                <w:sz w:val="18"/>
                <w:szCs w:val="18"/>
              </w:rPr>
              <w:t> 重大缺陷。</w:t>
            </w:r>
          </w:p>
          <w:p>
            <w:pPr>
              <w:pStyle w:val="TableParagraph"/>
              <w:spacing w:line="316" w:lineRule="auto" w:before="31"/>
              <w:ind w:left="23" w:right="-50" w:firstLine="360"/>
              <w:jc w:val="both"/>
              <w:rPr>
                <w:rFonts w:ascii="宋体" w:hAnsi="宋体" w:cs="宋体" w:eastAsia="宋体" w:hint="default"/>
                <w:sz w:val="18"/>
                <w:szCs w:val="18"/>
              </w:rPr>
            </w:pPr>
            <w:r>
              <w:rPr>
                <w:rFonts w:ascii="宋体" w:hAnsi="宋体" w:cs="宋体" w:eastAsia="宋体" w:hint="default"/>
                <w:sz w:val="18"/>
                <w:szCs w:val="18"/>
              </w:rPr>
              <w:t>内部控制缺陷可能导致或导致的损失 </w:t>
            </w:r>
            <w:r>
              <w:rPr>
                <w:rFonts w:ascii="宋体" w:hAnsi="宋体" w:cs="宋体" w:eastAsia="宋体" w:hint="default"/>
                <w:spacing w:val="-6"/>
                <w:sz w:val="18"/>
                <w:szCs w:val="18"/>
              </w:rPr>
              <w:t>与资产管理相关的，以资产总额指标衡量。</w:t>
            </w:r>
            <w:r>
              <w:rPr>
                <w:rFonts w:ascii="宋体" w:hAnsi="宋体" w:cs="宋体" w:eastAsia="宋体" w:hint="default"/>
                <w:sz w:val="18"/>
                <w:szCs w:val="18"/>
              </w:rPr>
            </w:r>
          </w:p>
          <w:p>
            <w:pPr>
              <w:pStyle w:val="TableParagraph"/>
              <w:spacing w:line="319" w:lineRule="auto" w:before="19"/>
              <w:ind w:left="23" w:right="33" w:firstLine="360"/>
              <w:jc w:val="both"/>
              <w:rPr>
                <w:rFonts w:ascii="宋体" w:hAnsi="宋体" w:cs="宋体" w:eastAsia="宋体" w:hint="default"/>
                <w:sz w:val="18"/>
                <w:szCs w:val="18"/>
              </w:rPr>
            </w:pPr>
            <w:r>
              <w:rPr>
                <w:rFonts w:ascii="宋体" w:hAnsi="宋体" w:cs="宋体" w:eastAsia="宋体" w:hint="default"/>
                <w:sz w:val="18"/>
                <w:szCs w:val="18"/>
              </w:rPr>
              <w:t>①如果该缺陷单独或连同其他缺陷可 能导致的财务报告错报金额小于资产总额 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w:t>
            </w:r>
          </w:p>
          <w:p>
            <w:pPr>
              <w:pStyle w:val="TableParagraph"/>
              <w:spacing w:line="246" w:lineRule="exact"/>
              <w:ind w:left="383" w:right="0"/>
              <w:jc w:val="left"/>
              <w:rPr>
                <w:rFonts w:ascii="宋体" w:hAnsi="宋体" w:cs="宋体" w:eastAsia="宋体" w:hint="default"/>
                <w:sz w:val="18"/>
                <w:szCs w:val="18"/>
              </w:rPr>
            </w:pPr>
            <w:r>
              <w:rPr>
                <w:rFonts w:ascii="宋体" w:hAnsi="宋体" w:cs="宋体" w:eastAsia="宋体" w:hint="default"/>
                <w:sz w:val="18"/>
                <w:szCs w:val="18"/>
              </w:rPr>
              <w:t>②如果超过资产总额的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p>
        </w:tc>
        <w:tc>
          <w:tcPr>
            <w:tcW w:w="3409" w:type="dxa"/>
            <w:vMerge w:val="restart"/>
            <w:tcBorders>
              <w:top w:val="single" w:sz="4" w:space="0" w:color="000000"/>
              <w:left w:val="single" w:sz="14" w:space="0" w:color="FFFFFF"/>
              <w:right w:val="single" w:sz="4" w:space="0" w:color="000000"/>
            </w:tcBorders>
          </w:tcPr>
          <w:p>
            <w:pPr>
              <w:pStyle w:val="TableParagraph"/>
              <w:spacing w:line="316" w:lineRule="auto" w:before="10"/>
              <w:ind w:left="13" w:right="20" w:firstLine="360"/>
              <w:jc w:val="left"/>
              <w:rPr>
                <w:rFonts w:ascii="宋体" w:hAnsi="宋体" w:cs="宋体" w:eastAsia="宋体" w:hint="default"/>
                <w:sz w:val="18"/>
                <w:szCs w:val="18"/>
              </w:rPr>
            </w:pPr>
            <w:r>
              <w:rPr>
                <w:rFonts w:ascii="宋体" w:hAnsi="宋体" w:cs="宋体" w:eastAsia="宋体" w:hint="default"/>
                <w:spacing w:val="-5"/>
                <w:sz w:val="18"/>
                <w:szCs w:val="18"/>
              </w:rPr>
              <w:t>定量标准以营业收入、资产总额作为衡</w:t>
            </w:r>
            <w:r>
              <w:rPr>
                <w:rFonts w:ascii="宋体" w:hAnsi="宋体" w:cs="宋体" w:eastAsia="宋体" w:hint="default"/>
                <w:sz w:val="18"/>
                <w:szCs w:val="18"/>
              </w:rPr>
              <w:t> 量指标。</w:t>
            </w:r>
          </w:p>
          <w:p>
            <w:pPr>
              <w:pStyle w:val="TableParagraph"/>
              <w:spacing w:line="316" w:lineRule="auto" w:before="19"/>
              <w:ind w:left="13" w:right="-48" w:firstLine="360"/>
              <w:jc w:val="left"/>
              <w:rPr>
                <w:rFonts w:ascii="宋体" w:hAnsi="宋体" w:cs="宋体" w:eastAsia="宋体" w:hint="default"/>
                <w:sz w:val="18"/>
                <w:szCs w:val="18"/>
              </w:rPr>
            </w:pPr>
            <w:r>
              <w:rPr>
                <w:rFonts w:ascii="宋体" w:hAnsi="宋体" w:cs="宋体" w:eastAsia="宋体" w:hint="default"/>
                <w:sz w:val="18"/>
                <w:szCs w:val="18"/>
              </w:rPr>
              <w:t>内部控制缺陷可能导致或导致的损失 与利润报表相关的，以营业收入指标衡量。</w:t>
            </w:r>
          </w:p>
          <w:p>
            <w:pPr>
              <w:pStyle w:val="TableParagraph"/>
              <w:spacing w:line="319" w:lineRule="auto" w:before="19"/>
              <w:ind w:left="13" w:right="130" w:firstLine="360"/>
              <w:jc w:val="both"/>
              <w:rPr>
                <w:rFonts w:ascii="宋体" w:hAnsi="宋体" w:cs="宋体" w:eastAsia="宋体" w:hint="default"/>
                <w:sz w:val="18"/>
                <w:szCs w:val="18"/>
              </w:rPr>
            </w:pPr>
            <w:r>
              <w:rPr>
                <w:rFonts w:ascii="宋体" w:hAnsi="宋体" w:cs="宋体" w:eastAsia="宋体" w:hint="default"/>
                <w:sz w:val="18"/>
                <w:szCs w:val="18"/>
              </w:rPr>
              <w:t>①如果该缺陷单独或连同其他缺陷可 能导致的财务报告错报金额小于营业收入 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w:t>
            </w:r>
          </w:p>
          <w:p>
            <w:pPr>
              <w:pStyle w:val="TableParagraph"/>
              <w:spacing w:line="300" w:lineRule="auto"/>
              <w:ind w:left="13" w:right="249" w:firstLine="360"/>
              <w:jc w:val="left"/>
              <w:rPr>
                <w:rFonts w:ascii="宋体" w:hAnsi="宋体" w:cs="宋体" w:eastAsia="宋体" w:hint="default"/>
                <w:sz w:val="18"/>
                <w:szCs w:val="18"/>
              </w:rPr>
            </w:pPr>
            <w:r>
              <w:rPr>
                <w:rFonts w:ascii="宋体" w:hAnsi="宋体" w:cs="宋体" w:eastAsia="宋体" w:hint="default"/>
                <w:sz w:val="18"/>
                <w:szCs w:val="18"/>
              </w:rPr>
              <w:t>②如果超过营业收入的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，则认定为重要缺陷；</w:t>
            </w:r>
          </w:p>
          <w:p>
            <w:pPr>
              <w:pStyle w:val="TableParagraph"/>
              <w:spacing w:line="300" w:lineRule="auto" w:before="13"/>
              <w:ind w:left="13" w:right="19" w:firstLine="360"/>
              <w:jc w:val="left"/>
              <w:rPr>
                <w:rFonts w:ascii="宋体" w:hAnsi="宋体" w:cs="宋体" w:eastAsia="宋体" w:hint="default"/>
                <w:sz w:val="18"/>
                <w:szCs w:val="18"/>
              </w:rPr>
            </w:pPr>
            <w:r>
              <w:rPr>
                <w:rFonts w:ascii="宋体" w:hAnsi="宋体" w:cs="宋体" w:eastAsia="宋体" w:hint="default"/>
                <w:sz w:val="18"/>
                <w:szCs w:val="18"/>
              </w:rPr>
              <w:t>③如果超过营业收入的</w:t>
            </w:r>
            <w:r>
              <w:rPr>
                <w:rFonts w:ascii="宋体" w:hAnsi="宋体" w:cs="宋体" w:eastAsia="宋体" w:hint="default"/>
                <w:spacing w:val="1"/>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，则认定为</w:t>
            </w:r>
            <w:r>
              <w:rPr>
                <w:rFonts w:ascii="宋体" w:hAnsi="宋体" w:cs="宋体" w:eastAsia="宋体" w:hint="default"/>
                <w:sz w:val="18"/>
                <w:szCs w:val="18"/>
              </w:rPr>
              <w:t> 重大缺陷。</w:t>
            </w:r>
          </w:p>
          <w:p>
            <w:pPr>
              <w:pStyle w:val="TableParagraph"/>
              <w:spacing w:line="316" w:lineRule="auto" w:before="31"/>
              <w:ind w:left="13" w:right="-48" w:firstLine="360"/>
              <w:jc w:val="left"/>
              <w:rPr>
                <w:rFonts w:ascii="宋体" w:hAnsi="宋体" w:cs="宋体" w:eastAsia="宋体" w:hint="default"/>
                <w:sz w:val="18"/>
                <w:szCs w:val="18"/>
              </w:rPr>
            </w:pPr>
            <w:r>
              <w:rPr>
                <w:rFonts w:ascii="宋体" w:hAnsi="宋体" w:cs="宋体" w:eastAsia="宋体" w:hint="default"/>
                <w:sz w:val="18"/>
                <w:szCs w:val="18"/>
              </w:rPr>
              <w:t>内部控制缺陷可能导致或导致的损失 与资产管理相关的，以资产总额指标衡量。</w:t>
            </w:r>
          </w:p>
          <w:p>
            <w:pPr>
              <w:pStyle w:val="TableParagraph"/>
              <w:spacing w:line="319" w:lineRule="auto" w:before="19"/>
              <w:ind w:left="13" w:right="130" w:firstLine="360"/>
              <w:jc w:val="both"/>
              <w:rPr>
                <w:rFonts w:ascii="宋体" w:hAnsi="宋体" w:cs="宋体" w:eastAsia="宋体" w:hint="default"/>
                <w:sz w:val="18"/>
                <w:szCs w:val="18"/>
              </w:rPr>
            </w:pPr>
            <w:r>
              <w:rPr>
                <w:rFonts w:ascii="宋体" w:hAnsi="宋体" w:cs="宋体" w:eastAsia="宋体" w:hint="default"/>
                <w:sz w:val="18"/>
                <w:szCs w:val="18"/>
              </w:rPr>
              <w:t>①如果该缺陷单独或连同其他缺陷可 能导致的财务报告错报金额小于资产总额 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w:t>
            </w:r>
          </w:p>
          <w:p>
            <w:pPr>
              <w:pStyle w:val="TableParagraph"/>
              <w:spacing w:line="246" w:lineRule="exact"/>
              <w:ind w:left="373" w:right="-34"/>
              <w:jc w:val="left"/>
              <w:rPr>
                <w:rFonts w:ascii="宋体" w:hAnsi="宋体" w:cs="宋体" w:eastAsia="宋体" w:hint="default"/>
                <w:sz w:val="18"/>
                <w:szCs w:val="18"/>
              </w:rPr>
            </w:pPr>
            <w:r>
              <w:rPr>
                <w:rFonts w:ascii="宋体" w:hAnsi="宋体" w:cs="宋体" w:eastAsia="宋体" w:hint="default"/>
                <w:sz w:val="18"/>
                <w:szCs w:val="18"/>
              </w:rPr>
              <w:t>②如果超过资产总额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vMerge/>
            <w:tcBorders>
              <w:left w:val="single" w:sz="9" w:space="0" w:color="D2D2D2"/>
              <w:right w:val="single" w:sz="14" w:space="0" w:color="FFFFFF"/>
            </w:tcBorders>
          </w:tcPr>
          <w:p>
            <w:pPr/>
          </w:p>
        </w:tc>
        <w:tc>
          <w:tcPr>
            <w:tcW w:w="3409" w:type="dxa"/>
            <w:vMerge/>
            <w:tcBorders>
              <w:left w:val="single" w:sz="14" w:space="0" w:color="FFFFFF"/>
              <w:right w:val="single" w:sz="4" w:space="0" w:color="000000"/>
            </w:tcBorders>
          </w:tcPr>
          <w:p>
            <w:pPr/>
          </w:p>
        </w:tc>
      </w:tr>
      <w:tr>
        <w:trPr>
          <w:trHeight w:val="2463"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14" w:space="0" w:color="FFFFFF"/>
            </w:tcBorders>
          </w:tcPr>
          <w:p>
            <w:pPr/>
          </w:p>
        </w:tc>
        <w:tc>
          <w:tcPr>
            <w:tcW w:w="3409" w:type="dxa"/>
            <w:vMerge/>
            <w:tcBorders>
              <w:left w:val="single" w:sz="14" w:space="0" w:color="FFFFFF"/>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194"/>
        <w:gridCol w:w="3322"/>
        <w:gridCol w:w="3409"/>
      </w:tblGrid>
      <w:tr>
        <w:trPr>
          <w:trHeight w:val="94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，则认定为重要缺陷；</w:t>
            </w:r>
          </w:p>
          <w:p>
            <w:pPr>
              <w:pStyle w:val="TableParagraph"/>
              <w:spacing w:line="300" w:lineRule="auto" w:before="63"/>
              <w:ind w:left="24" w:right="19" w:firstLine="360"/>
              <w:jc w:val="left"/>
              <w:rPr>
                <w:rFonts w:ascii="宋体" w:hAnsi="宋体" w:cs="宋体" w:eastAsia="宋体" w:hint="default"/>
                <w:sz w:val="18"/>
                <w:szCs w:val="18"/>
              </w:rPr>
            </w:pPr>
            <w:r>
              <w:rPr>
                <w:rFonts w:ascii="宋体" w:hAnsi="宋体" w:cs="宋体" w:eastAsia="宋体" w:hint="default"/>
                <w:sz w:val="18"/>
                <w:szCs w:val="18"/>
              </w:rPr>
              <w:t>③如果超过资产总额</w:t>
            </w:r>
            <w:r>
              <w:rPr>
                <w:rFonts w:ascii="宋体" w:hAnsi="宋体" w:cs="宋体" w:eastAsia="宋体" w:hint="default"/>
                <w:spacing w:val="-39"/>
                <w:sz w:val="18"/>
                <w:szCs w:val="18"/>
              </w:rPr>
              <w:t> </w:t>
            </w: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，则认定为重</w:t>
            </w:r>
            <w:r>
              <w:rPr>
                <w:rFonts w:ascii="宋体" w:hAnsi="宋体" w:cs="宋体" w:eastAsia="宋体" w:hint="default"/>
                <w:sz w:val="18"/>
                <w:szCs w:val="18"/>
              </w:rPr>
              <w:t> 大缺陷。</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则认定为重要缺陷；</w:t>
            </w:r>
          </w:p>
          <w:p>
            <w:pPr>
              <w:pStyle w:val="TableParagraph"/>
              <w:spacing w:line="300" w:lineRule="auto" w:before="76"/>
              <w:ind w:left="26" w:right="24" w:firstLine="360"/>
              <w:jc w:val="left"/>
              <w:rPr>
                <w:rFonts w:ascii="宋体" w:hAnsi="宋体" w:cs="宋体" w:eastAsia="宋体" w:hint="default"/>
                <w:sz w:val="18"/>
                <w:szCs w:val="18"/>
              </w:rPr>
            </w:pPr>
            <w:r>
              <w:rPr>
                <w:rFonts w:ascii="宋体" w:hAnsi="宋体" w:cs="宋体" w:eastAsia="宋体" w:hint="default"/>
                <w:sz w:val="18"/>
                <w:szCs w:val="18"/>
              </w:rPr>
              <w:t>③如果超过资产总额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 大缺陷。</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1034"/>
        <w:jc w:val="left"/>
        <w:rPr>
          <w:b w:val="0"/>
          <w:bCs w:val="0"/>
        </w:rPr>
      </w:pP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4"/>
        <w:jc w:val="left"/>
      </w:pPr>
      <w:r>
        <w:rPr/>
        <w:t>内部控制鉴证报告</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5"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79"/>
              <w:jc w:val="left"/>
              <w:rPr>
                <w:rFonts w:ascii="宋体" w:hAnsi="宋体" w:cs="宋体" w:eastAsia="宋体" w:hint="default"/>
                <w:sz w:val="18"/>
                <w:szCs w:val="18"/>
              </w:rPr>
            </w:pPr>
            <w:r>
              <w:rPr>
                <w:rFonts w:ascii="宋体" w:hAnsi="宋体" w:cs="宋体" w:eastAsia="宋体" w:hint="default"/>
                <w:sz w:val="18"/>
                <w:szCs w:val="18"/>
              </w:rPr>
              <w:t>我们认为，贵公司按照财政部等五部委颁发的《企业内部控制基本规范》及相关规定于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 面保持了与财务报表相关的有效的内部控制。</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刊登在巨潮资讯网</w:t>
            </w:r>
            <w:r>
              <w:rPr>
                <w:rFonts w:ascii="宋体" w:hAnsi="宋体" w:cs="宋体" w:eastAsia="宋体" w:hint="default"/>
                <w:spacing w:val="-50"/>
                <w:sz w:val="18"/>
                <w:szCs w:val="18"/>
              </w:rPr>
              <w:t> </w:t>
            </w:r>
            <w:hyperlink r:id="rId10">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上的《内部控制鉴证报告》</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034"/>
        <w:jc w:val="left"/>
      </w:pPr>
      <w:r>
        <w:rPr/>
        <w:t>会计师事务所是否出具非标准意见的内部控制鉴证报告</w:t>
      </w:r>
    </w:p>
    <w:p>
      <w:pPr>
        <w:pStyle w:val="BodyText"/>
        <w:spacing w:line="338" w:lineRule="auto" w:before="117"/>
        <w:ind w:right="4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43"/>
        <w:ind w:right="10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125" w:right="1034"/>
        <w:jc w:val="left"/>
        <w:rPr>
          <w:b w:val="0"/>
          <w:bCs w:val="0"/>
        </w:rPr>
      </w:pPr>
      <w:bookmarkStart w:name="_bookmark9" w:id="10"/>
      <w:bookmarkEnd w:id="10"/>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1"/>
        <w:spacing w:line="240" w:lineRule="auto"/>
        <w:ind w:left="3069" w:right="366"/>
        <w:jc w:val="left"/>
        <w:rPr>
          <w:b w:val="0"/>
          <w:bCs w:val="0"/>
        </w:rPr>
      </w:pPr>
      <w:bookmarkStart w:name="_bookmark10" w:id="11"/>
      <w:bookmarkEnd w:id="11"/>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8"/>
          <w:szCs w:val="28"/>
        </w:rPr>
      </w:pPr>
    </w:p>
    <w:p>
      <w:pPr>
        <w:pStyle w:val="Heading2"/>
        <w:spacing w:line="240" w:lineRule="auto" w:before="26"/>
        <w:ind w:left="278" w:right="366"/>
        <w:jc w:val="left"/>
        <w:rPr>
          <w:b w:val="0"/>
          <w:bCs w:val="0"/>
        </w:rPr>
      </w:pP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284" w:type="dxa"/>
        <w:tblLayout w:type="fixed"/>
        <w:tblCellMar>
          <w:top w:w="0" w:type="dxa"/>
          <w:left w:w="0" w:type="dxa"/>
          <w:bottom w:w="0" w:type="dxa"/>
          <w:right w:w="0" w:type="dxa"/>
        </w:tblCellMar>
        <w:tblLook w:val="01E0"/>
      </w:tblPr>
      <w:tblGrid>
        <w:gridCol w:w="4089"/>
        <w:gridCol w:w="4124"/>
      </w:tblGrid>
      <w:tr>
        <w:trPr>
          <w:trHeight w:val="324"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1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324"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1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323"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1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323"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1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left="21"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宋体" w:hAnsi="宋体" w:cs="宋体" w:eastAsia="宋体" w:hint="default"/>
                <w:sz w:val="18"/>
                <w:szCs w:val="18"/>
              </w:rPr>
              <w:t>[2019]</w:t>
            </w:r>
            <w:r>
              <w:rPr>
                <w:rFonts w:ascii="宋体" w:hAnsi="宋体" w:cs="宋体" w:eastAsia="宋体" w:hint="default"/>
                <w:sz w:val="18"/>
                <w:szCs w:val="18"/>
              </w:rPr>
              <w:t>第</w:t>
            </w:r>
            <w:r>
              <w:rPr>
                <w:rFonts w:ascii="宋体" w:hAnsi="宋体" w:cs="宋体" w:eastAsia="宋体" w:hint="default"/>
                <w:sz w:val="18"/>
                <w:szCs w:val="18"/>
              </w:rPr>
              <w:t>ZC10311</w:t>
            </w:r>
            <w:r>
              <w:rPr>
                <w:rFonts w:ascii="宋体" w:hAnsi="宋体" w:cs="宋体" w:eastAsia="宋体" w:hint="default"/>
                <w:sz w:val="18"/>
                <w:szCs w:val="18"/>
              </w:rPr>
              <w:t>号</w:t>
            </w:r>
          </w:p>
        </w:tc>
      </w:tr>
      <w:tr>
        <w:trPr>
          <w:trHeight w:val="324"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1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王建民、滕海军</w:t>
            </w:r>
          </w:p>
        </w:tc>
      </w:tr>
    </w:tbl>
    <w:p>
      <w:pPr>
        <w:spacing w:line="240" w:lineRule="auto" w:before="1"/>
        <w:rPr>
          <w:rFonts w:ascii="宋体" w:hAnsi="宋体" w:cs="宋体" w:eastAsia="宋体" w:hint="default"/>
          <w:b/>
          <w:bCs/>
          <w:sz w:val="12"/>
          <w:szCs w:val="12"/>
        </w:rPr>
      </w:pPr>
    </w:p>
    <w:p>
      <w:pPr>
        <w:pStyle w:val="Heading5"/>
        <w:spacing w:line="240" w:lineRule="auto" w:before="44"/>
        <w:ind w:left="4053" w:right="5569"/>
        <w:jc w:val="center"/>
        <w:rPr>
          <w:b w:val="0"/>
          <w:bCs w:val="0"/>
        </w:rPr>
      </w:pPr>
      <w:r>
        <w:rPr/>
        <w:t>审计报告</w:t>
      </w:r>
      <w:r>
        <w:rPr>
          <w:b w:val="0"/>
          <w:bCs w:val="0"/>
        </w:rPr>
      </w:r>
    </w:p>
    <w:p>
      <w:pPr>
        <w:spacing w:line="240" w:lineRule="auto" w:before="10"/>
        <w:rPr>
          <w:rFonts w:ascii="宋体" w:hAnsi="宋体" w:cs="宋体" w:eastAsia="宋体" w:hint="default"/>
          <w:b/>
          <w:bCs/>
          <w:sz w:val="15"/>
          <w:szCs w:val="15"/>
        </w:rPr>
      </w:pPr>
    </w:p>
    <w:p>
      <w:pPr>
        <w:pStyle w:val="Heading5"/>
        <w:spacing w:line="360" w:lineRule="auto"/>
        <w:ind w:left="638" w:right="6293" w:hanging="360"/>
        <w:jc w:val="left"/>
        <w:rPr>
          <w:b w:val="0"/>
          <w:bCs w:val="0"/>
        </w:rPr>
      </w:pPr>
      <w:r>
        <w:rPr/>
        <w:t>广州广电运通金融电子股份有限公司全体股东：</w:t>
      </w:r>
      <w:r>
        <w:rPr>
          <w:w w:val="99"/>
        </w:rPr>
        <w:t> </w:t>
      </w:r>
      <w:r>
        <w:rPr/>
        <w:t>一、审计意见</w:t>
      </w:r>
      <w:r>
        <w:rPr>
          <w:b w:val="0"/>
          <w:bCs w:val="0"/>
        </w:rPr>
      </w:r>
    </w:p>
    <w:p>
      <w:pPr>
        <w:pStyle w:val="BodyText"/>
        <w:spacing w:line="237" w:lineRule="auto" w:before="29"/>
        <w:ind w:left="278" w:right="1788" w:firstLine="362"/>
        <w:jc w:val="both"/>
      </w:pPr>
      <w:r>
        <w:rPr/>
        <w:t>我们审计了广州广电运通金融电子股份有限公司（以下简称广电运通）财务报表，包括</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rFonts w:ascii="宋体" w:hAnsi="宋体" w:cs="宋体" w:eastAsia="宋体" w:hint="default"/>
          <w:spacing w:val="1"/>
        </w:rPr>
        <w:t> </w:t>
      </w:r>
      <w:r>
        <w:rPr/>
        <w:t>日的合并及母公司资产负债表，</w:t>
      </w:r>
      <w:r>
        <w:rPr>
          <w:rFonts w:ascii="宋体" w:hAnsi="宋体" w:cs="宋体" w:eastAsia="宋体" w:hint="default"/>
        </w:rPr>
        <w:t>2018</w:t>
      </w:r>
      <w:r>
        <w:rPr/>
        <w:t>年度的合并及母公司利润表、合并及母公司现金流量表、合并及母公</w:t>
      </w:r>
      <w:r>
        <w:rPr>
          <w:spacing w:val="-64"/>
        </w:rPr>
        <w:t> </w:t>
      </w:r>
      <w:r>
        <w:rPr>
          <w:spacing w:val="-64"/>
        </w:rPr>
      </w:r>
      <w:r>
        <w:rPr/>
        <w:t>司股东权益变动表以及相关财务报表附注。</w:t>
      </w:r>
    </w:p>
    <w:p>
      <w:pPr>
        <w:pStyle w:val="BodyText"/>
        <w:spacing w:line="240" w:lineRule="auto" w:before="117"/>
        <w:ind w:left="278" w:right="1791" w:firstLine="359"/>
        <w:jc w:val="both"/>
      </w:pPr>
      <w:r>
        <w:rPr/>
        <w:t>我们认为，后附的财务报表在所有重大方面按照企业会计准则的规定编制，公允反映了广电运通</w:t>
      </w:r>
      <w:r>
        <w:rPr>
          <w:rFonts w:ascii="宋体" w:hAnsi="宋体" w:cs="宋体" w:eastAsia="宋体" w:hint="default"/>
        </w:rPr>
        <w:t>2018</w:t>
      </w:r>
      <w:r>
        <w:rPr>
          <w:rFonts w:ascii="宋体" w:hAnsi="宋体" w:cs="宋体" w:eastAsia="宋体" w:hint="default"/>
          <w:spacing w:val="1"/>
        </w:rPr>
        <w:t> </w:t>
      </w:r>
      <w:r>
        <w:rPr/>
        <w:t>年</w:t>
      </w:r>
      <w:r>
        <w:rPr>
          <w:rFonts w:ascii="宋体" w:hAnsi="宋体" w:cs="宋体" w:eastAsia="宋体" w:hint="default"/>
        </w:rPr>
        <w:t>12</w:t>
      </w:r>
      <w:r>
        <w:rPr/>
        <w:t>月</w:t>
      </w:r>
      <w:r>
        <w:rPr>
          <w:rFonts w:ascii="宋体" w:hAnsi="宋体" w:cs="宋体" w:eastAsia="宋体" w:hint="default"/>
        </w:rPr>
        <w:t>31</w:t>
      </w:r>
      <w:r>
        <w:rPr/>
        <w:t>日的合并及母公司财务状况以及</w:t>
      </w:r>
      <w:r>
        <w:rPr>
          <w:rFonts w:ascii="宋体" w:hAnsi="宋体" w:cs="宋体" w:eastAsia="宋体" w:hint="default"/>
        </w:rPr>
        <w:t>2018</w:t>
      </w:r>
      <w:r>
        <w:rPr/>
        <w:t>年度的合并及母公司经营成果和现金流量。</w:t>
      </w:r>
    </w:p>
    <w:p>
      <w:pPr>
        <w:spacing w:line="350" w:lineRule="atLeast" w:before="3"/>
        <w:ind w:left="640" w:right="366" w:hanging="3"/>
        <w:jc w:val="left"/>
        <w:rPr>
          <w:rFonts w:ascii="宋体" w:hAnsi="宋体" w:cs="宋体" w:eastAsia="宋体" w:hint="default"/>
          <w:sz w:val="18"/>
          <w:szCs w:val="18"/>
        </w:rPr>
      </w:pPr>
      <w:r>
        <w:rPr>
          <w:rFonts w:ascii="宋体" w:hAnsi="宋体" w:cs="宋体" w:eastAsia="宋体" w:hint="default"/>
          <w:b/>
          <w:bCs/>
          <w:sz w:val="18"/>
          <w:szCs w:val="18"/>
        </w:rPr>
        <w:t>二、形成审计意见的基础</w:t>
      </w:r>
      <w:r>
        <w:rPr>
          <w:rFonts w:ascii="宋体" w:hAnsi="宋体" w:cs="宋体" w:eastAsia="宋体" w:hint="default"/>
          <w:b/>
          <w:bCs/>
          <w:w w:val="99"/>
          <w:sz w:val="18"/>
          <w:szCs w:val="18"/>
        </w:rPr>
        <w:t> </w:t>
      </w:r>
      <w:r>
        <w:rPr>
          <w:rFonts w:ascii="宋体" w:hAnsi="宋体" w:cs="宋体" w:eastAsia="宋体" w:hint="default"/>
          <w:sz w:val="18"/>
          <w:szCs w:val="18"/>
        </w:rPr>
        <w:t>我们按照中国注册会计师审计准则的规定执行了审计工作。审计报告的“注册会计师对财务报表审计</w:t>
      </w:r>
    </w:p>
    <w:p>
      <w:pPr>
        <w:pStyle w:val="BodyText"/>
        <w:spacing w:line="237" w:lineRule="auto"/>
        <w:ind w:left="278" w:right="1798"/>
        <w:jc w:val="both"/>
      </w:pPr>
      <w:r>
        <w:rPr/>
        <w:t>的责任”部分进一步阐述了我们在这些准则下的责任。按照中国注册会计师职业道德守则，我们独立于广</w:t>
      </w:r>
      <w:r>
        <w:rPr>
          <w:spacing w:val="-65"/>
        </w:rPr>
        <w:t> </w:t>
      </w:r>
      <w:r>
        <w:rPr>
          <w:spacing w:val="-65"/>
        </w:rPr>
      </w:r>
      <w:r>
        <w:rPr/>
        <w:t>电运通，并履行了职业道德方面的其他责任。我们相信，我们获取的审计证据是充分、适当的，为发表审</w:t>
      </w:r>
      <w:r>
        <w:rPr>
          <w:spacing w:val="-65"/>
        </w:rPr>
        <w:t> </w:t>
      </w:r>
      <w:r>
        <w:rPr>
          <w:spacing w:val="-65"/>
        </w:rPr>
      </w:r>
      <w:r>
        <w:rPr/>
        <w:t>计意见提供了基础。</w:t>
      </w:r>
    </w:p>
    <w:p>
      <w:pPr>
        <w:pStyle w:val="BodyText"/>
        <w:spacing w:line="350" w:lineRule="atLeast" w:before="3"/>
        <w:ind w:left="551" w:right="366" w:firstLine="33"/>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w:t>
      </w:r>
    </w:p>
    <w:p>
      <w:pPr>
        <w:pStyle w:val="BodyText"/>
        <w:spacing w:line="232" w:lineRule="exact" w:before="24"/>
        <w:ind w:left="278" w:right="1798"/>
        <w:jc w:val="both"/>
      </w:pPr>
      <w:r>
        <w:rPr/>
        <w:t>务报表整体进行审计并形成审计意见为背景，我们不对这些事项单独发表意见。我们确定下列事项是需要</w:t>
      </w:r>
      <w:r>
        <w:rPr>
          <w:spacing w:val="-65"/>
        </w:rPr>
        <w:t> </w:t>
      </w:r>
      <w:r>
        <w:rPr>
          <w:spacing w:val="-65"/>
        </w:rPr>
      </w:r>
      <w:r>
        <w:rPr/>
        <w:t>在审计报告中沟通的关键审计事项。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before="44"/>
        <w:ind w:left="0" w:right="1545"/>
        <w:jc w:val="right"/>
      </w:pPr>
      <w:r>
        <w:rPr/>
        <w:pict>
          <v:shape style="position:absolute;margin-left:81.143997pt;margin-top:-94.478256pt;width:433.55pt;height:208.05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13"/>
                    <w:gridCol w:w="4935"/>
                  </w:tblGrid>
                  <w:tr>
                    <w:trPr>
                      <w:trHeight w:val="269" w:hRule="exact"/>
                    </w:trPr>
                    <w:tc>
                      <w:tcPr>
                        <w:tcW w:w="3713"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935"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1284"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269" w:hRule="exact"/>
                    </w:trPr>
                    <w:tc>
                      <w:tcPr>
                        <w:tcW w:w="8649" w:type="dxa"/>
                        <w:gridSpan w:val="2"/>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2" w:right="0"/>
                          <w:jc w:val="left"/>
                          <w:rPr>
                            <w:rFonts w:ascii="宋体" w:hAnsi="宋体" w:cs="宋体" w:eastAsia="宋体" w:hint="default"/>
                            <w:sz w:val="18"/>
                            <w:szCs w:val="18"/>
                          </w:rPr>
                        </w:pPr>
                        <w:r>
                          <w:rPr>
                            <w:rFonts w:ascii="宋体" w:hAnsi="宋体" w:cs="宋体" w:eastAsia="宋体" w:hint="default"/>
                            <w:sz w:val="18"/>
                            <w:szCs w:val="18"/>
                          </w:rPr>
                          <w:t>（一）应收账款的可收回性</w:t>
                        </w:r>
                      </w:p>
                    </w:tc>
                  </w:tr>
                  <w:tr>
                    <w:trPr>
                      <w:trHeight w:val="1904" w:hRule="exact"/>
                    </w:trPr>
                    <w:tc>
                      <w:tcPr>
                        <w:tcW w:w="3713"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2" w:right="0"/>
                          <w:jc w:val="left"/>
                          <w:rPr>
                            <w:rFonts w:ascii="宋体" w:hAnsi="宋体" w:cs="宋体" w:eastAsia="宋体" w:hint="default"/>
                            <w:sz w:val="18"/>
                            <w:szCs w:val="18"/>
                          </w:rPr>
                        </w:pPr>
                        <w:r>
                          <w:rPr>
                            <w:rFonts w:ascii="宋体" w:hAnsi="宋体" w:cs="宋体" w:eastAsia="宋体" w:hint="default"/>
                            <w:sz w:val="18"/>
                            <w:szCs w:val="18"/>
                          </w:rPr>
                          <w:t>请参阅财务报表附注“重要会计政策及会计估</w:t>
                        </w:r>
                      </w:p>
                      <w:p>
                        <w:pPr>
                          <w:pStyle w:val="TableParagraph"/>
                          <w:spacing w:line="237" w:lineRule="auto" w:before="2"/>
                          <w:ind w:left="2" w:right="0"/>
                          <w:jc w:val="left"/>
                          <w:rPr>
                            <w:rFonts w:ascii="宋体" w:hAnsi="宋体" w:cs="宋体" w:eastAsia="宋体" w:hint="default"/>
                            <w:sz w:val="18"/>
                            <w:szCs w:val="18"/>
                          </w:rPr>
                        </w:pPr>
                        <w:r>
                          <w:rPr>
                            <w:rFonts w:ascii="宋体" w:hAnsi="宋体" w:cs="宋体" w:eastAsia="宋体" w:hint="default"/>
                            <w:spacing w:val="-5"/>
                            <w:sz w:val="18"/>
                            <w:szCs w:val="18"/>
                          </w:rPr>
                          <w:t>计”所述的会计政策及“五、合并财务报表主要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项目注释”。截至</w:t>
                        </w:r>
                        <w:r>
                          <w:rPr>
                            <w:rFonts w:ascii="宋体" w:hAnsi="宋体" w:cs="宋体" w:eastAsia="宋体" w:hint="default"/>
                            <w:spacing w:val="-4"/>
                            <w:sz w:val="18"/>
                            <w:szCs w:val="18"/>
                          </w:rPr>
                          <w:t>2018</w:t>
                        </w:r>
                        <w:r>
                          <w:rPr>
                            <w:rFonts w:ascii="宋体" w:hAnsi="宋体" w:cs="宋体" w:eastAsia="宋体" w:hint="default"/>
                            <w:spacing w:val="-4"/>
                            <w:sz w:val="18"/>
                            <w:szCs w:val="18"/>
                          </w:rPr>
                          <w:t>年</w:t>
                        </w:r>
                        <w:r>
                          <w:rPr>
                            <w:rFonts w:ascii="宋体" w:hAnsi="宋体" w:cs="宋体" w:eastAsia="宋体" w:hint="default"/>
                            <w:spacing w:val="-4"/>
                            <w:sz w:val="18"/>
                            <w:szCs w:val="18"/>
                          </w:rPr>
                          <w:t>12</w:t>
                        </w:r>
                        <w:r>
                          <w:rPr>
                            <w:rFonts w:ascii="宋体" w:hAnsi="宋体" w:cs="宋体" w:eastAsia="宋体" w:hint="default"/>
                            <w:spacing w:val="-4"/>
                            <w:sz w:val="18"/>
                            <w:szCs w:val="18"/>
                          </w:rPr>
                          <w:t>月</w:t>
                        </w:r>
                        <w:r>
                          <w:rPr>
                            <w:rFonts w:ascii="宋体" w:hAnsi="宋体" w:cs="宋体" w:eastAsia="宋体" w:hint="default"/>
                            <w:spacing w:val="-4"/>
                            <w:sz w:val="18"/>
                            <w:szCs w:val="18"/>
                          </w:rPr>
                          <w:t>31</w:t>
                        </w:r>
                        <w:r>
                          <w:rPr>
                            <w:rFonts w:ascii="宋体" w:hAnsi="宋体" w:cs="宋体" w:eastAsia="宋体" w:hint="default"/>
                            <w:spacing w:val="-4"/>
                            <w:sz w:val="18"/>
                            <w:szCs w:val="18"/>
                          </w:rPr>
                          <w:t>日，广电运通应</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收账款余额</w:t>
                        </w:r>
                        <w:r>
                          <w:rPr>
                            <w:rFonts w:ascii="宋体" w:hAnsi="宋体" w:cs="宋体" w:eastAsia="宋体" w:hint="default"/>
                            <w:sz w:val="18"/>
                            <w:szCs w:val="18"/>
                          </w:rPr>
                          <w:t>139,665.98</w:t>
                        </w:r>
                        <w:r>
                          <w:rPr>
                            <w:rFonts w:ascii="宋体" w:hAnsi="宋体" w:cs="宋体" w:eastAsia="宋体" w:hint="default"/>
                            <w:sz w:val="18"/>
                            <w:szCs w:val="18"/>
                          </w:rPr>
                          <w:t>万元，坏账准备余额 </w:t>
                        </w:r>
                        <w:r>
                          <w:rPr>
                            <w:rFonts w:ascii="宋体" w:hAnsi="宋体" w:cs="宋体" w:eastAsia="宋体" w:hint="default"/>
                            <w:spacing w:val="-4"/>
                            <w:sz w:val="18"/>
                            <w:szCs w:val="18"/>
                          </w:rPr>
                          <w:t>8,511.38</w:t>
                        </w:r>
                        <w:r>
                          <w:rPr>
                            <w:rFonts w:ascii="宋体" w:hAnsi="宋体" w:cs="宋体" w:eastAsia="宋体" w:hint="default"/>
                            <w:spacing w:val="-4"/>
                            <w:sz w:val="18"/>
                            <w:szCs w:val="18"/>
                          </w:rPr>
                          <w:t>万元。由于应收账款余额重大且坏账准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5"/>
                            <w:sz w:val="18"/>
                            <w:szCs w:val="18"/>
                          </w:rPr>
                          <w:t>备的评估涉及管理层的重大判断，因此我们将应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收账款减值作为关键事项。</w:t>
                        </w:r>
                      </w:p>
                    </w:tc>
                    <w:tc>
                      <w:tcPr>
                        <w:tcW w:w="4935"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before="1"/>
                          <w:ind w:left="2" w:right="1"/>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1</w:t>
                        </w:r>
                        <w:r>
                          <w:rPr>
                            <w:rFonts w:ascii="宋体" w:hAnsi="宋体" w:cs="宋体" w:eastAsia="宋体" w:hint="default"/>
                            <w:spacing w:val="-2"/>
                            <w:sz w:val="18"/>
                            <w:szCs w:val="18"/>
                          </w:rPr>
                          <w:t>）、复核管理层有关应收账款坏账准备计提会计政策的合理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性及一致性。</w:t>
                        </w:r>
                      </w:p>
                      <w:p>
                        <w:pPr>
                          <w:pStyle w:val="TableParagraph"/>
                          <w:spacing w:line="210" w:lineRule="exact"/>
                          <w:ind w:left="2"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2</w:t>
                        </w:r>
                        <w:r>
                          <w:rPr>
                            <w:rFonts w:ascii="宋体" w:hAnsi="宋体" w:cs="宋体" w:eastAsia="宋体" w:hint="default"/>
                            <w:spacing w:val="-2"/>
                            <w:sz w:val="18"/>
                            <w:szCs w:val="18"/>
                          </w:rPr>
                          <w:t>）、获取坏账准备计提表，分析检查应收账款账龄划分及坏</w:t>
                        </w:r>
                      </w:p>
                      <w:p>
                        <w:pPr>
                          <w:pStyle w:val="TableParagraph"/>
                          <w:spacing w:line="233" w:lineRule="exact"/>
                          <w:ind w:left="2" w:right="0"/>
                          <w:jc w:val="left"/>
                          <w:rPr>
                            <w:rFonts w:ascii="宋体" w:hAnsi="宋体" w:cs="宋体" w:eastAsia="宋体" w:hint="default"/>
                            <w:sz w:val="18"/>
                            <w:szCs w:val="18"/>
                          </w:rPr>
                        </w:pPr>
                        <w:r>
                          <w:rPr>
                            <w:rFonts w:ascii="宋体" w:hAnsi="宋体" w:cs="宋体" w:eastAsia="宋体" w:hint="default"/>
                            <w:sz w:val="18"/>
                            <w:szCs w:val="18"/>
                          </w:rPr>
                          <w:t>账计提的合理性及准确性。</w:t>
                        </w:r>
                      </w:p>
                      <w:p>
                        <w:pPr>
                          <w:pStyle w:val="TableParagraph"/>
                          <w:spacing w:line="240" w:lineRule="auto"/>
                          <w:ind w:left="2" w:right="1"/>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3</w:t>
                        </w:r>
                        <w:r>
                          <w:rPr>
                            <w:rFonts w:ascii="宋体" w:hAnsi="宋体" w:cs="宋体" w:eastAsia="宋体" w:hint="default"/>
                            <w:spacing w:val="-2"/>
                            <w:sz w:val="18"/>
                            <w:szCs w:val="18"/>
                          </w:rPr>
                          <w:t>）、选取样本对金额重大的应收账款余额实施函证程序，并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将函证结果与公司账面记录的金额进行核对。</w:t>
                        </w:r>
                      </w:p>
                      <w:p>
                        <w:pPr>
                          <w:pStyle w:val="TableParagraph"/>
                          <w:spacing w:line="232" w:lineRule="exact" w:before="22"/>
                          <w:ind w:left="2" w:right="9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4</w:t>
                        </w:r>
                        <w:r>
                          <w:rPr>
                            <w:rFonts w:ascii="宋体" w:hAnsi="宋体" w:cs="宋体" w:eastAsia="宋体" w:hint="default"/>
                            <w:spacing w:val="-5"/>
                            <w:sz w:val="18"/>
                            <w:szCs w:val="18"/>
                          </w:rPr>
                          <w:t>）、对于账龄时间长的应收账款，我们与管理层进行了沟通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了解账龄时间长的原因以及管理层对于其可回收性的评估。</w:t>
                        </w:r>
                      </w:p>
                    </w:tc>
                  </w:tr>
                  <w:tr>
                    <w:trPr>
                      <w:trHeight w:val="266" w:hRule="exact"/>
                    </w:trPr>
                    <w:tc>
                      <w:tcPr>
                        <w:tcW w:w="8649" w:type="dxa"/>
                        <w:gridSpan w:val="2"/>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2" w:right="0"/>
                          <w:jc w:val="left"/>
                          <w:rPr>
                            <w:rFonts w:ascii="宋体" w:hAnsi="宋体" w:cs="宋体" w:eastAsia="宋体" w:hint="default"/>
                            <w:sz w:val="18"/>
                            <w:szCs w:val="18"/>
                          </w:rPr>
                        </w:pPr>
                        <w:r>
                          <w:rPr>
                            <w:rFonts w:ascii="宋体" w:hAnsi="宋体" w:cs="宋体" w:eastAsia="宋体" w:hint="default"/>
                            <w:sz w:val="18"/>
                            <w:szCs w:val="18"/>
                          </w:rPr>
                          <w:t>（二）商誉减值</w:t>
                        </w:r>
                      </w:p>
                    </w:tc>
                  </w:tr>
                  <w:tr>
                    <w:trPr>
                      <w:trHeight w:val="1438" w:hRule="exact"/>
                    </w:trPr>
                    <w:tc>
                      <w:tcPr>
                        <w:tcW w:w="371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6"/>
                          <w:ind w:left="2" w:right="-17"/>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日，广电运通商誉余额 </w:t>
                        </w:r>
                        <w:r>
                          <w:rPr>
                            <w:rFonts w:ascii="宋体" w:hAnsi="宋体" w:cs="宋体" w:eastAsia="宋体" w:hint="default"/>
                            <w:spacing w:val="-3"/>
                            <w:sz w:val="18"/>
                            <w:szCs w:val="18"/>
                          </w:rPr>
                          <w:t>109,060.44</w:t>
                        </w:r>
                        <w:r>
                          <w:rPr>
                            <w:rFonts w:ascii="宋体" w:hAnsi="宋体" w:cs="宋体" w:eastAsia="宋体" w:hint="default"/>
                            <w:spacing w:val="-3"/>
                            <w:sz w:val="18"/>
                            <w:szCs w:val="18"/>
                          </w:rPr>
                          <w:t>万元，减值准备余额</w:t>
                        </w:r>
                        <w:r>
                          <w:rPr>
                            <w:rFonts w:ascii="宋体" w:hAnsi="宋体" w:cs="宋体" w:eastAsia="宋体" w:hint="default"/>
                            <w:spacing w:val="-3"/>
                            <w:sz w:val="18"/>
                            <w:szCs w:val="18"/>
                          </w:rPr>
                          <w:t>7,617.69</w:t>
                        </w:r>
                        <w:r>
                          <w:rPr>
                            <w:rFonts w:ascii="宋体" w:hAnsi="宋体" w:cs="宋体" w:eastAsia="宋体" w:hint="default"/>
                            <w:spacing w:val="-3"/>
                            <w:sz w:val="18"/>
                            <w:szCs w:val="18"/>
                          </w:rPr>
                          <w:t>万元。</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5"/>
                            <w:sz w:val="18"/>
                            <w:szCs w:val="18"/>
                          </w:rPr>
                          <w:t>由于商誉余额较大，且原始金额是基于标的公司</w:t>
                        </w:r>
                      </w:p>
                      <w:p>
                        <w:pPr>
                          <w:pStyle w:val="TableParagraph"/>
                          <w:spacing w:line="232" w:lineRule="exact" w:before="3"/>
                          <w:ind w:left="2" w:right="3"/>
                          <w:jc w:val="left"/>
                          <w:rPr>
                            <w:rFonts w:ascii="宋体" w:hAnsi="宋体" w:cs="宋体" w:eastAsia="宋体" w:hint="default"/>
                            <w:sz w:val="18"/>
                            <w:szCs w:val="18"/>
                          </w:rPr>
                        </w:pPr>
                        <w:r>
                          <w:rPr>
                            <w:rFonts w:ascii="宋体" w:hAnsi="宋体" w:cs="宋体" w:eastAsia="宋体" w:hint="default"/>
                            <w:sz w:val="18"/>
                            <w:szCs w:val="18"/>
                          </w:rPr>
                          <w:t>未来盈利能力评估确定的</w:t>
                        </w:r>
                        <w:r>
                          <w:rPr>
                            <w:rFonts w:ascii="宋体" w:hAnsi="宋体" w:cs="宋体" w:eastAsia="宋体" w:hint="default"/>
                            <w:spacing w:val="-89"/>
                            <w:sz w:val="18"/>
                            <w:szCs w:val="18"/>
                          </w:rPr>
                          <w:t>，</w:t>
                        </w:r>
                        <w:r>
                          <w:rPr>
                            <w:rFonts w:ascii="宋体" w:hAnsi="宋体" w:cs="宋体" w:eastAsia="宋体" w:hint="default"/>
                            <w:sz w:val="18"/>
                            <w:szCs w:val="18"/>
                          </w:rPr>
                          <w:t>标的公司盈利能力的</w:t>
                        </w:r>
                        <w:r>
                          <w:rPr>
                            <w:rFonts w:ascii="宋体" w:hAnsi="宋体" w:cs="宋体" w:eastAsia="宋体" w:hint="default"/>
                            <w:sz w:val="18"/>
                            <w:szCs w:val="18"/>
                          </w:rPr>
                          <w:t> 评估涉及管理层的重大判断</w:t>
                        </w:r>
                        <w:r>
                          <w:rPr>
                            <w:rFonts w:ascii="宋体" w:hAnsi="宋体" w:cs="宋体" w:eastAsia="宋体" w:hint="default"/>
                            <w:spacing w:val="-89"/>
                            <w:sz w:val="18"/>
                            <w:szCs w:val="18"/>
                          </w:rPr>
                          <w:t>，</w:t>
                        </w:r>
                        <w:r>
                          <w:rPr>
                            <w:rFonts w:ascii="宋体" w:hAnsi="宋体" w:cs="宋体" w:eastAsia="宋体" w:hint="default"/>
                            <w:sz w:val="18"/>
                            <w:szCs w:val="18"/>
                          </w:rPr>
                          <w:t>因此我们将商誉减</w:t>
                        </w:r>
                      </w:p>
                      <w:p>
                        <w:pPr>
                          <w:pStyle w:val="TableParagraph"/>
                          <w:spacing w:line="212" w:lineRule="exact"/>
                          <w:ind w:left="2" w:right="0"/>
                          <w:jc w:val="left"/>
                          <w:rPr>
                            <w:rFonts w:ascii="宋体" w:hAnsi="宋体" w:cs="宋体" w:eastAsia="宋体" w:hint="default"/>
                            <w:sz w:val="18"/>
                            <w:szCs w:val="18"/>
                          </w:rPr>
                        </w:pPr>
                        <w:r>
                          <w:rPr>
                            <w:rFonts w:ascii="宋体" w:hAnsi="宋体" w:cs="宋体" w:eastAsia="宋体" w:hint="default"/>
                            <w:sz w:val="18"/>
                            <w:szCs w:val="18"/>
                          </w:rPr>
                          <w:t>值作为关键事项。</w:t>
                        </w:r>
                      </w:p>
                    </w:tc>
                    <w:tc>
                      <w:tcPr>
                        <w:tcW w:w="493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6"/>
                          <w:ind w:left="2" w:right="1"/>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1</w:t>
                        </w:r>
                        <w:r>
                          <w:rPr>
                            <w:rFonts w:ascii="宋体" w:hAnsi="宋体" w:cs="宋体" w:eastAsia="宋体" w:hint="default"/>
                            <w:spacing w:val="-2"/>
                            <w:sz w:val="18"/>
                            <w:szCs w:val="18"/>
                          </w:rPr>
                          <w:t>）、分析管理层对商誉所属资产组认定和进行商誉减值测试</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时采用的关键假设和方法，检查相关的假设和方法的合理性。</w:t>
                        </w:r>
                      </w:p>
                      <w:p>
                        <w:pPr>
                          <w:pStyle w:val="TableParagraph"/>
                          <w:spacing w:line="212" w:lineRule="exact"/>
                          <w:ind w:left="2" w:right="-33"/>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）、复核管理层编制的商誉所属资产组可收回余额计算表。</w:t>
                        </w:r>
                      </w:p>
                      <w:p>
                        <w:pPr>
                          <w:pStyle w:val="TableParagraph"/>
                          <w:spacing w:line="232" w:lineRule="exact" w:before="24"/>
                          <w:ind w:left="2" w:right="-33"/>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）、比较商誉所属资产组的账面价值与可收回金额的差异， 确认是否存在商誉减值的情况。</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5"/>
        <w:spacing w:line="240" w:lineRule="auto" w:before="44"/>
        <w:ind w:left="638" w:right="366"/>
        <w:jc w:val="left"/>
        <w:rPr>
          <w:b w:val="0"/>
          <w:bCs w:val="0"/>
        </w:rPr>
      </w:pPr>
      <w:r>
        <w:rPr/>
        <w:t>四、其他信息</w:t>
      </w:r>
      <w:r>
        <w:rPr>
          <w:b w:val="0"/>
          <w:bCs w:val="0"/>
        </w:rPr>
      </w:r>
    </w:p>
    <w:p>
      <w:pPr>
        <w:spacing w:after="0" w:line="240" w:lineRule="auto"/>
        <w:jc w:val="left"/>
        <w:sectPr>
          <w:headerReference w:type="default" r:id="rId38"/>
          <w:footerReference w:type="default" r:id="rId39"/>
          <w:pgSz w:w="11910" w:h="16840"/>
          <w:pgMar w:header="733" w:footer="977" w:top="960" w:bottom="1160" w:left="1520" w:right="0"/>
          <w:pgNumType w:start="94"/>
        </w:sectPr>
      </w:pPr>
    </w:p>
    <w:p>
      <w:pPr>
        <w:spacing w:line="240" w:lineRule="auto" w:before="9"/>
        <w:rPr>
          <w:rFonts w:ascii="宋体" w:hAnsi="宋体" w:cs="宋体" w:eastAsia="宋体" w:hint="default"/>
          <w:b/>
          <w:bCs/>
          <w:sz w:val="29"/>
          <w:szCs w:val="29"/>
        </w:rPr>
      </w:pPr>
    </w:p>
    <w:p>
      <w:pPr>
        <w:pStyle w:val="BodyText"/>
        <w:spacing w:line="234" w:lineRule="exact" w:before="67"/>
        <w:ind w:left="138" w:right="1796" w:firstLine="359"/>
        <w:jc w:val="both"/>
      </w:pPr>
      <w:r>
        <w:rPr/>
        <w:t>广电运通管理层（以下简称管理层）对其他信息负责。其他信息包括广电运通</w:t>
      </w:r>
      <w:r>
        <w:rPr>
          <w:rFonts w:ascii="宋体" w:hAnsi="宋体" w:cs="宋体" w:eastAsia="宋体" w:hint="default"/>
        </w:rPr>
        <w:t>2018</w:t>
      </w:r>
      <w:r>
        <w:rPr/>
        <w:t>年年度报告中涵盖 的信息，但不包括财务报表和我们的审计报告。</w:t>
      </w:r>
    </w:p>
    <w:p>
      <w:pPr>
        <w:pStyle w:val="BodyText"/>
        <w:spacing w:line="352" w:lineRule="exact" w:before="27"/>
        <w:ind w:left="498" w:right="1683"/>
        <w:jc w:val="left"/>
      </w:pPr>
      <w:r>
        <w:rPr/>
        <w:t>我们对财务报表发表的审计意见不涵盖其他信息，我们也不对其他信息发表任何形式的鉴证结论。 结合我们对财务报表的审计，我们的责任是阅读其他信息，在此过程中，考虑其他信息是否与财务报</w:t>
      </w:r>
    </w:p>
    <w:p>
      <w:pPr>
        <w:pStyle w:val="BodyText"/>
        <w:spacing w:line="188" w:lineRule="exact"/>
        <w:ind w:left="138" w:right="1683"/>
        <w:jc w:val="left"/>
      </w:pPr>
      <w:r>
        <w:rPr/>
        <w:t>表或我们在审计过程中了解到的情况存在重大不一致或者似乎存在重大错报。</w:t>
      </w:r>
    </w:p>
    <w:p>
      <w:pPr>
        <w:pStyle w:val="BodyText"/>
        <w:spacing w:line="240" w:lineRule="auto" w:before="117"/>
        <w:ind w:left="138" w:right="1800" w:firstLine="359"/>
        <w:jc w:val="both"/>
      </w:pPr>
      <w:r>
        <w:rPr/>
        <w:t>基于我们已执行的工作，如果我们确定其他信息存在重大错报，我们应当报告该事实。在这方面，我 们无任何事项需要报告。</w:t>
      </w:r>
    </w:p>
    <w:p>
      <w:pPr>
        <w:spacing w:line="350" w:lineRule="atLeast" w:before="3"/>
        <w:ind w:left="500" w:right="1683" w:firstLine="100"/>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管理层负责按照企业会计准则的规定编制财务报表，使其实现公允反映，并设计、执行和维护必要的</w:t>
      </w:r>
    </w:p>
    <w:p>
      <w:pPr>
        <w:pStyle w:val="BodyText"/>
        <w:spacing w:line="233" w:lineRule="exact"/>
        <w:ind w:left="138" w:right="1683"/>
        <w:jc w:val="left"/>
      </w:pPr>
      <w:r>
        <w:rPr/>
        <w:t>内部控制，以使财务报表不存在由于舞弊或错误导致的重大错报。</w:t>
      </w:r>
    </w:p>
    <w:p>
      <w:pPr>
        <w:pStyle w:val="BodyText"/>
        <w:spacing w:line="234" w:lineRule="exact" w:before="142"/>
        <w:ind w:left="138" w:right="1792" w:firstLine="359"/>
        <w:jc w:val="both"/>
      </w:pPr>
      <w:r>
        <w:rPr>
          <w:spacing w:val="-8"/>
        </w:rPr>
        <w:t>在编制财务报表时，管理层负责评估广电运通的持续经营能力，披露与持续经营相关的事项（如适用），</w:t>
      </w:r>
      <w:r>
        <w:rPr/>
        <w:t> 并运用持续经营假设，除非计划进行清算、终止运营或别无其他现实的选择。</w:t>
      </w:r>
    </w:p>
    <w:p>
      <w:pPr>
        <w:spacing w:line="360" w:lineRule="auto" w:before="95"/>
        <w:ind w:left="445" w:right="6309" w:firstLine="52"/>
        <w:jc w:val="left"/>
        <w:rPr>
          <w:rFonts w:ascii="宋体" w:hAnsi="宋体" w:cs="宋体" w:eastAsia="宋体" w:hint="default"/>
          <w:sz w:val="18"/>
          <w:szCs w:val="18"/>
        </w:rPr>
      </w:pPr>
      <w:r>
        <w:rPr>
          <w:rFonts w:ascii="宋体" w:hAnsi="宋体" w:cs="宋体" w:eastAsia="宋体" w:hint="default"/>
          <w:sz w:val="18"/>
          <w:szCs w:val="18"/>
        </w:rPr>
        <w:t>治理层负责监督广电运通的财务报告过程。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237" w:lineRule="auto" w:before="31"/>
        <w:ind w:left="138" w:right="1794" w:firstLine="362"/>
        <w:jc w:val="both"/>
      </w:pPr>
      <w:r>
        <w:rPr/>
        <w:t>我们的目标是对财务报表整体是否不存在由于舞弊或错误导致的重大错报获取合理保证，并出具包含 审计意见的审计报告。合理保证是高水平的保证，但并不能保证按照审计准则执行的审计在某一重大错报</w:t>
      </w:r>
      <w:r>
        <w:rPr>
          <w:spacing w:val="-65"/>
        </w:rPr>
        <w:t> </w:t>
      </w:r>
      <w:r>
        <w:rPr>
          <w:spacing w:val="-65"/>
        </w:rPr>
      </w:r>
      <w:r>
        <w:rPr/>
        <w:t>存在时总能发现。错报可能由于舞弊或错误导致，如果合理预期错报单独或汇总起来可能影响财务报表使</w:t>
      </w:r>
      <w:r>
        <w:rPr>
          <w:spacing w:val="-62"/>
        </w:rPr>
        <w:t> </w:t>
      </w:r>
      <w:r>
        <w:rPr>
          <w:spacing w:val="-62"/>
        </w:rPr>
      </w:r>
      <w:r>
        <w:rPr/>
        <w:t>用者依据财务报表作出的经济决策，则通常认为错报是重大的。</w:t>
      </w:r>
    </w:p>
    <w:p>
      <w:pPr>
        <w:pStyle w:val="BodyText"/>
        <w:spacing w:line="232" w:lineRule="exact" w:before="142"/>
        <w:ind w:left="138" w:right="1800" w:firstLine="359"/>
        <w:jc w:val="both"/>
      </w:pPr>
      <w:r>
        <w:rPr/>
        <w:t>在按照审计准则执行审计工作的过程中，我们运用职业判断，并保持职业怀疑。同时，我们也执行以 下工作：</w:t>
      </w:r>
    </w:p>
    <w:p>
      <w:pPr>
        <w:pStyle w:val="BodyText"/>
        <w:spacing w:line="237" w:lineRule="auto" w:before="98"/>
        <w:ind w:left="138" w:right="1683" w:firstLine="359"/>
        <w:jc w:val="left"/>
      </w:pPr>
      <w:r>
        <w:rPr>
          <w:spacing w:val="-4"/>
        </w:rPr>
        <w:t>（</w:t>
      </w:r>
      <w:r>
        <w:rPr>
          <w:rFonts w:ascii="宋体" w:hAnsi="宋体" w:cs="宋体" w:eastAsia="宋体" w:hint="default"/>
          <w:spacing w:val="-4"/>
        </w:rPr>
        <w:t>1</w:t>
      </w:r>
      <w:r>
        <w:rPr>
          <w:spacing w:val="-4"/>
        </w:rPr>
        <w:t>）识别和评估由于舞弊或错误导致的财务报表重大错报风险，设计和实施审计程序以应对这些风险，</w:t>
      </w:r>
      <w:r>
        <w:rPr/>
        <w:t> 并获取充分、适当的审计证据，作为发表审计意见的基础。由于舞弊可能涉及串通、伪造、故意遗漏、虚</w:t>
      </w:r>
      <w:r>
        <w:rPr>
          <w:spacing w:val="-65"/>
        </w:rPr>
        <w:t> </w:t>
      </w:r>
      <w:r>
        <w:rPr>
          <w:spacing w:val="-65"/>
        </w:rPr>
      </w:r>
      <w:r>
        <w:rPr/>
        <w:t>假陈述或凌驾于内部控制之上，未能发现由于舞弊导致的重大错报的风险高于未能发现由于错误导致的重</w:t>
      </w:r>
      <w:r>
        <w:rPr>
          <w:spacing w:val="-65"/>
        </w:rPr>
        <w:t> </w:t>
      </w:r>
      <w:r>
        <w:rPr>
          <w:spacing w:val="-65"/>
        </w:rPr>
      </w:r>
      <w:r>
        <w:rPr/>
        <w:t>大错报的风险。</w:t>
      </w:r>
    </w:p>
    <w:p>
      <w:pPr>
        <w:pStyle w:val="BodyText"/>
        <w:spacing w:line="240" w:lineRule="auto" w:before="117"/>
        <w:ind w:left="498" w:right="1683"/>
        <w:jc w:val="left"/>
      </w:pPr>
      <w:r>
        <w:rPr/>
        <w:t>（</w:t>
      </w:r>
      <w:r>
        <w:rPr>
          <w:rFonts w:ascii="宋体" w:hAnsi="宋体" w:cs="宋体" w:eastAsia="宋体" w:hint="default"/>
          <w:spacing w:val="1"/>
        </w:rPr>
        <w:t>2</w:t>
      </w:r>
      <w:r>
        <w:rPr>
          <w:spacing w:val="-80"/>
        </w:rPr>
        <w:t>）</w:t>
      </w:r>
      <w:r>
        <w:rPr/>
        <w:t>了解与审计相关的内部控制</w:t>
      </w:r>
      <w:r>
        <w:rPr>
          <w:spacing w:val="-80"/>
        </w:rPr>
        <w:t>，</w:t>
      </w:r>
      <w:r>
        <w:rPr/>
        <w:t>以设计恰当的审计</w:t>
      </w:r>
      <w:r>
        <w:rPr>
          <w:spacing w:val="1"/>
        </w:rPr>
        <w:t>程</w:t>
      </w:r>
      <w:r>
        <w:rPr/>
        <w:t>序</w:t>
      </w:r>
      <w:r>
        <w:rPr>
          <w:spacing w:val="-80"/>
        </w:rPr>
        <w:t>，</w:t>
      </w:r>
      <w:r>
        <w:rPr/>
        <w:t>但目的并非对内部控制的有效性发表意见。</w:t>
      </w:r>
    </w:p>
    <w:p>
      <w:pPr>
        <w:pStyle w:val="BodyText"/>
        <w:spacing w:line="240" w:lineRule="auto" w:before="119"/>
        <w:ind w:left="498" w:right="1683"/>
        <w:jc w:val="left"/>
      </w:pPr>
      <w:r>
        <w:rPr/>
        <w:t>（</w:t>
      </w:r>
      <w:r>
        <w:rPr>
          <w:rFonts w:ascii="宋体" w:hAnsi="宋体" w:cs="宋体" w:eastAsia="宋体" w:hint="default"/>
        </w:rPr>
        <w:t>3</w:t>
      </w:r>
      <w:r>
        <w:rPr/>
        <w:t>）评价管理层选用会计政策的恰当性和作出会计估计及相关披露的合理性。</w:t>
      </w:r>
    </w:p>
    <w:p>
      <w:pPr>
        <w:pStyle w:val="BodyText"/>
        <w:spacing w:line="237" w:lineRule="auto" w:before="119"/>
        <w:ind w:left="138" w:right="1792" w:firstLine="359"/>
        <w:jc w:val="both"/>
      </w:pPr>
      <w:r>
        <w:rPr>
          <w:spacing w:val="-2"/>
        </w:rPr>
        <w:t>（</w:t>
      </w:r>
      <w:r>
        <w:rPr>
          <w:rFonts w:ascii="宋体" w:hAnsi="宋体" w:cs="宋体" w:eastAsia="宋体" w:hint="default"/>
          <w:spacing w:val="-2"/>
        </w:rPr>
        <w:t>4</w:t>
      </w:r>
      <w:r>
        <w:rPr>
          <w:spacing w:val="-2"/>
        </w:rPr>
        <w:t>）对管理层使用持续经营假设的恰当性得出结论。同时，根据获取的审计证据，就可能导致对广电</w:t>
      </w:r>
      <w:r>
        <w:rPr/>
        <w:t> 运通持续经营能力产生重大疑虑的事项或情况是否存在重大不确定性得出结论。如果我们得出结论认为存</w:t>
      </w:r>
      <w:r>
        <w:rPr>
          <w:spacing w:val="-65"/>
        </w:rPr>
        <w:t> </w:t>
      </w:r>
      <w:r>
        <w:rPr>
          <w:spacing w:val="-65"/>
        </w:rPr>
      </w:r>
      <w:r>
        <w:rPr/>
        <w:t>在重大不确定性，审计准则要求我们在审计报告中提请报表使用者注意财务报表中的相关披露；如果披露</w:t>
      </w:r>
      <w:r>
        <w:rPr>
          <w:spacing w:val="-65"/>
        </w:rPr>
        <w:t> </w:t>
      </w:r>
      <w:r>
        <w:rPr>
          <w:spacing w:val="-65"/>
        </w:rPr>
      </w:r>
      <w:r>
        <w:rPr/>
        <w:t>不充分，我们应当发表非无保留意见。我们的结论基于截至审计报告日可获得的信息。然而，未来的事项</w:t>
      </w:r>
      <w:r>
        <w:rPr>
          <w:spacing w:val="-65"/>
        </w:rPr>
        <w:t> </w:t>
      </w:r>
      <w:r>
        <w:rPr>
          <w:spacing w:val="-65"/>
        </w:rPr>
      </w:r>
      <w:r>
        <w:rPr/>
        <w:t>或情况可能导致广电运通不能持续经营。</w:t>
      </w:r>
    </w:p>
    <w:p>
      <w:pPr>
        <w:pStyle w:val="BodyText"/>
        <w:spacing w:line="240" w:lineRule="auto" w:before="117"/>
        <w:ind w:left="138" w:right="1792" w:firstLine="359"/>
        <w:jc w:val="both"/>
      </w:pPr>
      <w:r>
        <w:rPr>
          <w:spacing w:val="-2"/>
        </w:rPr>
        <w:t>（</w:t>
      </w:r>
      <w:r>
        <w:rPr>
          <w:rFonts w:ascii="宋体" w:hAnsi="宋体" w:cs="宋体" w:eastAsia="宋体" w:hint="default"/>
          <w:spacing w:val="-2"/>
        </w:rPr>
        <w:t>5</w:t>
      </w:r>
      <w:r>
        <w:rPr>
          <w:spacing w:val="-2"/>
        </w:rPr>
        <w:t>）评价财务报表的总体列报、结构和内容（包括披露），并评价财务报表是否公允反映相关交易和</w:t>
      </w:r>
      <w:r>
        <w:rPr/>
        <w:t> 事项。</w:t>
      </w:r>
    </w:p>
    <w:p>
      <w:pPr>
        <w:pStyle w:val="BodyText"/>
        <w:spacing w:line="234" w:lineRule="exact" w:before="140"/>
        <w:ind w:left="138" w:right="1792" w:firstLine="359"/>
        <w:jc w:val="both"/>
      </w:pPr>
      <w:r>
        <w:rPr>
          <w:spacing w:val="-2"/>
        </w:rPr>
        <w:t>（</w:t>
      </w:r>
      <w:r>
        <w:rPr>
          <w:rFonts w:ascii="宋体" w:hAnsi="宋体" w:cs="宋体" w:eastAsia="宋体" w:hint="default"/>
          <w:spacing w:val="-2"/>
        </w:rPr>
        <w:t>6</w:t>
      </w:r>
      <w:r>
        <w:rPr>
          <w:spacing w:val="-2"/>
        </w:rPr>
        <w:t>）就广电运通中实体或业务活动的财务信息获取充分、适当的审计证据，以对财务报表发表审计意</w:t>
      </w:r>
      <w:r>
        <w:rPr/>
        <w:t> 见。我们负责指导、监督和执行集团审计，并对审计意见承担全部责任。</w:t>
      </w:r>
    </w:p>
    <w:p>
      <w:pPr>
        <w:pStyle w:val="BodyText"/>
        <w:spacing w:line="240" w:lineRule="auto" w:before="95"/>
        <w:ind w:left="138" w:right="1800" w:firstLine="359"/>
        <w:jc w:val="both"/>
      </w:pPr>
      <w:r>
        <w:rPr/>
        <w:t>我们与治理层就计划的审计范围、时间安排和重大审计发现等事项进行沟通，包括沟通我们在审计中 识别出的值得关注的内部控制缺陷。</w:t>
      </w:r>
    </w:p>
    <w:p>
      <w:pPr>
        <w:pStyle w:val="BodyText"/>
        <w:spacing w:line="232" w:lineRule="exact" w:before="142"/>
        <w:ind w:left="138" w:right="1800" w:firstLine="359"/>
        <w:jc w:val="both"/>
      </w:pPr>
      <w:r>
        <w:rPr/>
        <w:t>我们还就已遵守与独立性相关的职业道德要求向治理层提供声明，并与治理层沟通可能被合理认为影 响我们独立性的所有关系和其他事项，以及相关的防范措施（如适用）。</w:t>
      </w:r>
    </w:p>
    <w:p>
      <w:pPr>
        <w:pStyle w:val="BodyText"/>
        <w:spacing w:line="237" w:lineRule="auto" w:before="98"/>
        <w:ind w:left="138" w:right="1798" w:firstLine="359"/>
        <w:jc w:val="both"/>
      </w:pPr>
      <w:r>
        <w:rPr/>
        <w:t>从与治理层沟通过的事项中，我们确定哪些事项对本期财务报表审计最为重要，因而构成关键审计事 项。我们在审计报告中描述这些事项，除非法律法规禁止公开披露这些事项，或在极少数情形下，如果合</w:t>
      </w:r>
      <w:r>
        <w:rPr>
          <w:spacing w:val="-65"/>
        </w:rPr>
        <w:t> </w:t>
      </w:r>
      <w:r>
        <w:rPr>
          <w:spacing w:val="-65"/>
        </w:rPr>
      </w:r>
      <w:r>
        <w:rPr/>
        <w:t>理预期在审计报告中沟通某事项造成的负面后果超过在公众利益方面产生的益处，我们确定不应在审计报</w:t>
      </w:r>
      <w:r>
        <w:rPr>
          <w:spacing w:val="-65"/>
        </w:rPr>
        <w:t> </w:t>
      </w:r>
      <w:r>
        <w:rPr>
          <w:spacing w:val="-65"/>
        </w:rPr>
      </w:r>
      <w:r>
        <w:rPr/>
        <w:t>告中沟通该事项。</w:t>
      </w:r>
    </w:p>
    <w:p>
      <w:pPr>
        <w:spacing w:line="240" w:lineRule="auto" w:before="12"/>
        <w:rPr>
          <w:rFonts w:ascii="宋体" w:hAnsi="宋体" w:cs="宋体" w:eastAsia="宋体" w:hint="default"/>
          <w:sz w:val="24"/>
          <w:szCs w:val="24"/>
        </w:rPr>
      </w:pPr>
    </w:p>
    <w:p>
      <w:pPr>
        <w:pStyle w:val="Heading5"/>
        <w:tabs>
          <w:tab w:pos="5267" w:val="left" w:leader="none"/>
        </w:tabs>
        <w:spacing w:line="234" w:lineRule="exact"/>
        <w:ind w:left="589" w:right="1683"/>
        <w:jc w:val="left"/>
        <w:rPr>
          <w:b w:val="0"/>
          <w:bCs w:val="0"/>
        </w:rPr>
      </w:pPr>
      <w:r>
        <w:rPr>
          <w:w w:val="95"/>
        </w:rPr>
        <w:t>立信会计师事务所</w:t>
        <w:tab/>
      </w:r>
      <w:r>
        <w:rPr/>
        <w:t>中国注册会计师：王建民（项目合伙人）</w:t>
      </w:r>
      <w:r>
        <w:rPr>
          <w:b w:val="0"/>
          <w:bCs w:val="0"/>
        </w:rPr>
      </w:r>
    </w:p>
    <w:p>
      <w:pPr>
        <w:pStyle w:val="Heading5"/>
        <w:spacing w:line="234" w:lineRule="exact"/>
        <w:ind w:left="411" w:right="1683"/>
        <w:jc w:val="left"/>
        <w:rPr>
          <w:b w:val="0"/>
          <w:bCs w:val="0"/>
        </w:rPr>
      </w:pPr>
      <w:r>
        <w:rPr/>
        <w:t>（特殊普通合伙）</w:t>
      </w:r>
      <w:r>
        <w:rPr>
          <w:b w:val="0"/>
          <w:bCs w:val="0"/>
        </w:rPr>
      </w:r>
    </w:p>
    <w:p>
      <w:pPr>
        <w:pStyle w:val="Heading5"/>
        <w:spacing w:line="233" w:lineRule="exact"/>
        <w:ind w:left="5289" w:right="1683"/>
        <w:jc w:val="left"/>
        <w:rPr>
          <w:b w:val="0"/>
          <w:bCs w:val="0"/>
        </w:rPr>
      </w:pPr>
      <w:r>
        <w:rPr/>
        <w:t>中国注册会计师：滕海军</w:t>
      </w:r>
      <w:r>
        <w:rPr>
          <w:b w:val="0"/>
          <w:bCs w:val="0"/>
        </w:rPr>
      </w:r>
    </w:p>
    <w:p>
      <w:pPr>
        <w:spacing w:line="240" w:lineRule="auto" w:before="10"/>
        <w:rPr>
          <w:rFonts w:ascii="宋体" w:hAnsi="宋体" w:cs="宋体" w:eastAsia="宋体" w:hint="default"/>
          <w:b/>
          <w:bCs/>
          <w:sz w:val="17"/>
          <w:szCs w:val="17"/>
        </w:rPr>
      </w:pPr>
    </w:p>
    <w:p>
      <w:pPr>
        <w:pStyle w:val="Heading5"/>
        <w:tabs>
          <w:tab w:pos="6609" w:val="left" w:leader="none"/>
        </w:tabs>
        <w:spacing w:line="240" w:lineRule="auto"/>
        <w:ind w:left="680" w:right="1683"/>
        <w:jc w:val="left"/>
        <w:rPr>
          <w:b w:val="0"/>
          <w:bCs w:val="0"/>
        </w:rPr>
      </w:pPr>
      <w:r>
        <w:rPr>
          <w:w w:val="95"/>
        </w:rPr>
        <w:t>中国</w:t>
      </w:r>
      <w:r>
        <w:rPr>
          <w:rFonts w:ascii="Times New Roman" w:hAnsi="Times New Roman" w:cs="Times New Roman" w:eastAsia="Times New Roman" w:hint="default"/>
          <w:w w:val="95"/>
        </w:rPr>
        <w:t>•</w:t>
      </w:r>
      <w:r>
        <w:rPr>
          <w:w w:val="95"/>
        </w:rPr>
        <w:t>上海</w:t>
        <w:tab/>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w:t>
      </w:r>
      <w:r>
        <w:rPr>
          <w:b w:val="0"/>
          <w:bCs w:val="0"/>
        </w:rPr>
      </w:r>
    </w:p>
    <w:p>
      <w:pPr>
        <w:spacing w:after="0" w:line="240" w:lineRule="auto"/>
        <w:jc w:val="left"/>
        <w:sectPr>
          <w:pgSz w:w="11910" w:h="16840"/>
          <w:pgMar w:header="733" w:footer="977" w:top="960" w:bottom="1160" w:left="1660" w:right="0"/>
        </w:sectPr>
      </w:pPr>
    </w:p>
    <w:p>
      <w:pPr>
        <w:spacing w:line="240" w:lineRule="auto" w:before="0"/>
        <w:rPr>
          <w:rFonts w:ascii="宋体" w:hAnsi="宋体" w:cs="宋体" w:eastAsia="宋体" w:hint="default"/>
          <w:b/>
          <w:bCs/>
          <w:sz w:val="20"/>
          <w:szCs w:val="20"/>
        </w:rPr>
      </w:pPr>
    </w:p>
    <w:p>
      <w:pPr>
        <w:pStyle w:val="Heading2"/>
        <w:spacing w:line="240" w:lineRule="auto" w:before="161"/>
        <w:ind w:left="138" w:right="1683"/>
        <w:jc w:val="left"/>
        <w:rPr>
          <w:b w:val="0"/>
          <w:bCs w:val="0"/>
        </w:rPr>
      </w:pPr>
      <w:r>
        <w:rPr/>
        <w:t>二、财务报表</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left="138" w:right="1683"/>
        <w:jc w:val="left"/>
      </w:pPr>
      <w:r>
        <w:rPr/>
        <w:t>财务附注中报表的单位为：人民币元</w:t>
      </w:r>
    </w:p>
    <w:p>
      <w:pPr>
        <w:spacing w:line="240" w:lineRule="auto" w:before="10"/>
        <w:rPr>
          <w:rFonts w:ascii="宋体" w:hAnsi="宋体" w:cs="宋体" w:eastAsia="宋体" w:hint="default"/>
          <w:sz w:val="22"/>
          <w:szCs w:val="22"/>
        </w:rPr>
      </w:pPr>
    </w:p>
    <w:p>
      <w:pPr>
        <w:pStyle w:val="Heading4"/>
        <w:spacing w:line="240" w:lineRule="auto"/>
        <w:ind w:left="138" w:right="168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733" w:footer="977" w:top="960" w:bottom="1160" w:left="1660" w:right="0"/>
        </w:sectPr>
      </w:pPr>
    </w:p>
    <w:p>
      <w:pPr>
        <w:pStyle w:val="BodyText"/>
        <w:spacing w:line="240" w:lineRule="auto" w:before="44"/>
        <w:ind w:left="138" w:right="0"/>
        <w:jc w:val="left"/>
      </w:pPr>
      <w:r>
        <w:rPr/>
        <w:t>编制单位：广州广电运通金融电子股份有限公司</w:t>
      </w:r>
    </w:p>
    <w:p>
      <w:pPr>
        <w:pStyle w:val="BodyText"/>
        <w:spacing w:line="240" w:lineRule="auto" w:before="38"/>
        <w:ind w:left="0" w:right="0"/>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spacing w:line="240" w:lineRule="auto" w:before="120"/>
        <w:ind w:left="138" w:right="0"/>
        <w:jc w:val="left"/>
      </w:pPr>
      <w:r>
        <w:rPr/>
        <w:t>单位：元</w:t>
      </w:r>
    </w:p>
    <w:p>
      <w:pPr>
        <w:spacing w:after="0" w:line="240" w:lineRule="auto"/>
        <w:jc w:val="left"/>
        <w:sectPr>
          <w:type w:val="continuous"/>
          <w:pgSz w:w="11910" w:h="16840"/>
          <w:pgMar w:top="1100" w:bottom="1160" w:left="1660" w:right="0"/>
          <w:cols w:num="2" w:equalWidth="0">
            <w:col w:w="5040" w:space="2555"/>
            <w:col w:w="2655"/>
          </w:cols>
        </w:sectPr>
      </w:pPr>
    </w:p>
    <w:p>
      <w:pPr>
        <w:spacing w:line="240" w:lineRule="auto" w:before="5"/>
        <w:rPr>
          <w:rFonts w:ascii="宋体" w:hAnsi="宋体" w:cs="宋体" w:eastAsia="宋体" w:hint="default"/>
          <w:sz w:val="5"/>
          <w:szCs w:val="5"/>
        </w:rPr>
      </w:pPr>
    </w:p>
    <w:tbl>
      <w:tblPr>
        <w:tblW w:w="0" w:type="auto"/>
        <w:jc w:val="left"/>
        <w:tblInd w:w="144" w:type="dxa"/>
        <w:tblLayout w:type="fixed"/>
        <w:tblCellMar>
          <w:top w:w="0" w:type="dxa"/>
          <w:left w:w="0" w:type="dxa"/>
          <w:bottom w:w="0" w:type="dxa"/>
          <w:right w:w="0" w:type="dxa"/>
        </w:tblCellMar>
        <w:tblLook w:val="01E0"/>
      </w:tblPr>
      <w:tblGrid>
        <w:gridCol w:w="3172"/>
        <w:gridCol w:w="2772"/>
        <w:gridCol w:w="2552"/>
      </w:tblGrid>
      <w:tr>
        <w:trPr>
          <w:trHeight w:val="330"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1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10"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7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772" w:type="dxa"/>
            <w:tcBorders>
              <w:top w:val="single" w:sz="9" w:space="0" w:color="D2D2D2"/>
              <w:left w:val="single" w:sz="10" w:space="0" w:color="D2D2D2"/>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4,249,788,473.33</w:t>
            </w:r>
          </w:p>
        </w:tc>
        <w:tc>
          <w:tcPr>
            <w:tcW w:w="2552"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3,701,348,844.63</w:t>
            </w: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772" w:type="dxa"/>
            <w:tcBorders>
              <w:top w:val="single" w:sz="4" w:space="0" w:color="000000"/>
              <w:left w:val="single" w:sz="10"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772" w:type="dxa"/>
            <w:tcBorders>
              <w:top w:val="single" w:sz="4" w:space="0" w:color="000000"/>
              <w:left w:val="single" w:sz="10"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0" w:right="89" w:firstLine="359"/>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2772" w:type="dxa"/>
            <w:tcBorders>
              <w:top w:val="single" w:sz="4" w:space="0" w:color="000000"/>
              <w:left w:val="single" w:sz="10"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772" w:type="dxa"/>
            <w:tcBorders>
              <w:top w:val="single" w:sz="4" w:space="0" w:color="000000"/>
              <w:left w:val="single" w:sz="10"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70"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7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1,353,428,162.81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812,890,632.88</w:t>
            </w: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0"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27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41,882,197.77</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12,628,058.00</w:t>
            </w: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59"/>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7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1,311,545,965.04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800,262,574.88</w:t>
            </w: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7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68,507,879.62</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16,769,749.29</w:t>
            </w:r>
          </w:p>
        </w:tc>
      </w:tr>
      <w:tr>
        <w:trPr>
          <w:trHeight w:val="322"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772" w:type="dxa"/>
            <w:tcBorders>
              <w:top w:val="single" w:sz="4" w:space="0" w:color="000000"/>
              <w:left w:val="single" w:sz="10"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772" w:type="dxa"/>
            <w:tcBorders>
              <w:top w:val="single" w:sz="4" w:space="0" w:color="000000"/>
              <w:left w:val="single" w:sz="10"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772" w:type="dxa"/>
            <w:tcBorders>
              <w:top w:val="single" w:sz="4" w:space="0" w:color="000000"/>
              <w:left w:val="single" w:sz="10"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109,691,755.92</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95,552,618.54</w:t>
            </w:r>
          </w:p>
        </w:tc>
      </w:tr>
      <w:tr>
        <w:trPr>
          <w:trHeight w:val="322"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0"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772" w:type="dxa"/>
            <w:tcBorders>
              <w:top w:val="single" w:sz="4" w:space="0" w:color="000000"/>
              <w:left w:val="single" w:sz="10"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59"/>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2772" w:type="dxa"/>
            <w:tcBorders>
              <w:top w:val="single" w:sz="4" w:space="0" w:color="000000"/>
              <w:left w:val="single" w:sz="10"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772" w:type="dxa"/>
            <w:tcBorders>
              <w:top w:val="single" w:sz="4" w:space="0" w:color="000000"/>
              <w:left w:val="single" w:sz="10"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7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1,864,961,109.68</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1,934,947,764.68</w:t>
            </w:r>
          </w:p>
        </w:tc>
      </w:tr>
      <w:tr>
        <w:trPr>
          <w:trHeight w:val="32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7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54,932,269.00</w:t>
            </w: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70"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772" w:type="dxa"/>
            <w:tcBorders>
              <w:top w:val="single" w:sz="4" w:space="0" w:color="000000"/>
              <w:left w:val="single" w:sz="10"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7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1,649,187,547.95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2,407,598,407.00</w:t>
            </w:r>
          </w:p>
        </w:tc>
      </w:tr>
      <w:tr>
        <w:trPr>
          <w:trHeight w:val="33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772" w:type="dxa"/>
            <w:tcBorders>
              <w:top w:val="single" w:sz="4" w:space="0" w:color="000000"/>
              <w:left w:val="single" w:sz="10" w:space="0" w:color="D2D2D2"/>
              <w:bottom w:val="single" w:sz="5" w:space="0" w:color="D2D2D2"/>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9,350,497,198.31</w:t>
            </w:r>
          </w:p>
        </w:tc>
        <w:tc>
          <w:tcPr>
            <w:tcW w:w="2552"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8,969,108,017.02</w:t>
            </w:r>
          </w:p>
        </w:tc>
      </w:tr>
      <w:tr>
        <w:trPr>
          <w:trHeight w:val="31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10"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70"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772" w:type="dxa"/>
            <w:tcBorders>
              <w:top w:val="single" w:sz="9" w:space="0" w:color="D2D2D2"/>
              <w:left w:val="single" w:sz="10" w:space="0" w:color="D2D2D2"/>
              <w:bottom w:val="single" w:sz="4" w:space="0" w:color="000000"/>
              <w:right w:val="single" w:sz="4" w:space="0" w:color="000000"/>
            </w:tcBorders>
          </w:tcPr>
          <w:p>
            <w:pPr/>
          </w:p>
        </w:tc>
        <w:tc>
          <w:tcPr>
            <w:tcW w:w="2552" w:type="dxa"/>
            <w:tcBorders>
              <w:top w:val="single" w:sz="9" w:space="0" w:color="D2D2D2"/>
              <w:left w:val="single" w:sz="4" w:space="0" w:color="000000"/>
              <w:bottom w:val="single" w:sz="4" w:space="0" w:color="000000"/>
              <w:right w:val="single" w:sz="4" w:space="0" w:color="000000"/>
            </w:tcBorders>
          </w:tcPr>
          <w:p>
            <w:pP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7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906,570,668.31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1,133,532,039.09</w:t>
            </w: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772" w:type="dxa"/>
            <w:tcBorders>
              <w:top w:val="single" w:sz="4" w:space="0" w:color="000000"/>
              <w:left w:val="single" w:sz="10"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772" w:type="dxa"/>
            <w:tcBorders>
              <w:top w:val="single" w:sz="4" w:space="0" w:color="000000"/>
              <w:left w:val="single" w:sz="10"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7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626,464,621.74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686,770,039.84</w:t>
            </w: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7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52,892,220.34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50,979,540.02</w:t>
            </w: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7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1,089,049,675.78</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966,316,457.46</w:t>
            </w: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7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48,288,502.94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57,356,821.81</w:t>
            </w:r>
          </w:p>
        </w:tc>
      </w:tr>
      <w:tr>
        <w:trPr>
          <w:trHeight w:val="322"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772" w:type="dxa"/>
            <w:tcBorders>
              <w:top w:val="single" w:sz="4" w:space="0" w:color="000000"/>
              <w:left w:val="single" w:sz="10"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0"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772" w:type="dxa"/>
            <w:tcBorders>
              <w:top w:val="single" w:sz="4" w:space="0" w:color="000000"/>
              <w:left w:val="single" w:sz="10"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16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tbl>
      <w:tblPr>
        <w:tblW w:w="0" w:type="auto"/>
        <w:jc w:val="left"/>
        <w:tblInd w:w="144" w:type="dxa"/>
        <w:tblLayout w:type="fixed"/>
        <w:tblCellMar>
          <w:top w:w="0" w:type="dxa"/>
          <w:left w:w="0" w:type="dxa"/>
          <w:bottom w:w="0" w:type="dxa"/>
          <w:right w:w="0" w:type="dxa"/>
        </w:tblCellMar>
        <w:tblLook w:val="01E0"/>
      </w:tblPr>
      <w:tblGrid>
        <w:gridCol w:w="3172"/>
        <w:gridCol w:w="2772"/>
        <w:gridCol w:w="2552"/>
      </w:tblGrid>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7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151,800,738.04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145,695,740.23</w:t>
            </w: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772" w:type="dxa"/>
            <w:tcBorders>
              <w:top w:val="single" w:sz="4" w:space="0" w:color="000000"/>
              <w:left w:val="single" w:sz="10"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7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1,014,427,563.83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530,623,513.21</w:t>
            </w: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7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18,563,655.95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19,294,062.77</w:t>
            </w: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7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163,572,370.81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98,128,201.26</w:t>
            </w: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7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18,091,297.30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33,415,580.45</w:t>
            </w:r>
          </w:p>
        </w:tc>
      </w:tr>
      <w:tr>
        <w:trPr>
          <w:trHeight w:val="32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7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4,089,721,315.04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3,722,111,996.14</w:t>
            </w:r>
          </w:p>
        </w:tc>
      </w:tr>
      <w:tr>
        <w:trPr>
          <w:trHeight w:val="330"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772" w:type="dxa"/>
            <w:tcBorders>
              <w:top w:val="single" w:sz="4" w:space="0" w:color="000000"/>
              <w:left w:val="single" w:sz="10" w:space="0" w:color="D2D2D2"/>
              <w:bottom w:val="single" w:sz="6" w:space="0" w:color="D2D2D2"/>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13,440,218,513.35</w:t>
            </w:r>
          </w:p>
        </w:tc>
        <w:tc>
          <w:tcPr>
            <w:tcW w:w="2552" w:type="dxa"/>
            <w:tcBorders>
              <w:top w:val="single" w:sz="4" w:space="0" w:color="000000"/>
              <w:left w:val="single" w:sz="4" w:space="0" w:color="000000"/>
              <w:bottom w:val="single" w:sz="6" w:space="0" w:color="D2D2D2"/>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12,691,220,013.16</w:t>
            </w:r>
          </w:p>
        </w:tc>
      </w:tr>
      <w:tr>
        <w:trPr>
          <w:trHeight w:val="310"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0"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7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772" w:type="dxa"/>
            <w:tcBorders>
              <w:top w:val="single" w:sz="10" w:space="0" w:color="D2D2D2"/>
              <w:left w:val="single" w:sz="10"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23,331,000.00</w:t>
            </w:r>
          </w:p>
        </w:tc>
        <w:tc>
          <w:tcPr>
            <w:tcW w:w="2552"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35,870,110.14</w:t>
            </w:r>
          </w:p>
        </w:tc>
      </w:tr>
      <w:tr>
        <w:trPr>
          <w:trHeight w:val="32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772" w:type="dxa"/>
            <w:tcBorders>
              <w:top w:val="single" w:sz="4" w:space="0" w:color="000000"/>
              <w:left w:val="single" w:sz="10"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70"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772" w:type="dxa"/>
            <w:tcBorders>
              <w:top w:val="single" w:sz="4" w:space="0" w:color="000000"/>
              <w:left w:val="single" w:sz="10"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772" w:type="dxa"/>
            <w:tcBorders>
              <w:top w:val="single" w:sz="4" w:space="0" w:color="000000"/>
              <w:left w:val="single" w:sz="10"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0" w:right="89" w:firstLine="359"/>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2772" w:type="dxa"/>
            <w:tcBorders>
              <w:top w:val="single" w:sz="4" w:space="0" w:color="000000"/>
              <w:left w:val="single" w:sz="10"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772" w:type="dxa"/>
            <w:tcBorders>
              <w:top w:val="single" w:sz="4" w:space="0" w:color="000000"/>
              <w:left w:val="single" w:sz="10"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7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930,236,555.57</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507,206,872.15</w:t>
            </w:r>
          </w:p>
        </w:tc>
      </w:tr>
      <w:tr>
        <w:trPr>
          <w:trHeight w:val="322"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7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1,811,160,432.05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1,724,794,733.66</w:t>
            </w: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772" w:type="dxa"/>
            <w:tcBorders>
              <w:top w:val="single" w:sz="4" w:space="0" w:color="000000"/>
              <w:left w:val="single" w:sz="10"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772" w:type="dxa"/>
            <w:tcBorders>
              <w:top w:val="single" w:sz="4" w:space="0" w:color="000000"/>
              <w:left w:val="single" w:sz="10"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7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520,546,957.11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430,545,663.44</w:t>
            </w:r>
          </w:p>
        </w:tc>
      </w:tr>
      <w:tr>
        <w:trPr>
          <w:trHeight w:val="32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7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178,719,517.19</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170,362,392.24</w:t>
            </w:r>
          </w:p>
        </w:tc>
      </w:tr>
      <w:tr>
        <w:trPr>
          <w:trHeight w:val="32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7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7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356,624,282.87</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221,218,415.40</w:t>
            </w: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0"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7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67,832.81</w:t>
            </w: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59"/>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27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14,815,400.00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908,067.08</w:t>
            </w:r>
          </w:p>
        </w:tc>
      </w:tr>
      <w:tr>
        <w:trPr>
          <w:trHeight w:val="32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772" w:type="dxa"/>
            <w:tcBorders>
              <w:top w:val="single" w:sz="4" w:space="0" w:color="000000"/>
              <w:left w:val="single" w:sz="10"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70"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772" w:type="dxa"/>
            <w:tcBorders>
              <w:top w:val="single" w:sz="4" w:space="0" w:color="000000"/>
              <w:left w:val="single" w:sz="10"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772" w:type="dxa"/>
            <w:tcBorders>
              <w:top w:val="single" w:sz="4" w:space="0" w:color="000000"/>
              <w:left w:val="single" w:sz="10"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772" w:type="dxa"/>
            <w:tcBorders>
              <w:top w:val="single" w:sz="4" w:space="0" w:color="000000"/>
              <w:left w:val="single" w:sz="10"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772" w:type="dxa"/>
            <w:tcBorders>
              <w:top w:val="single" w:sz="4" w:space="0" w:color="000000"/>
              <w:left w:val="single" w:sz="10"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7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772" w:type="dxa"/>
            <w:tcBorders>
              <w:top w:val="single" w:sz="4" w:space="0" w:color="000000"/>
              <w:left w:val="single" w:sz="10"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772" w:type="dxa"/>
            <w:tcBorders>
              <w:top w:val="single" w:sz="4" w:space="0" w:color="000000"/>
              <w:left w:val="single" w:sz="10"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772" w:type="dxa"/>
            <w:tcBorders>
              <w:top w:val="single" w:sz="4" w:space="0" w:color="000000"/>
              <w:left w:val="single" w:sz="10" w:space="0" w:color="D2D2D2"/>
              <w:bottom w:val="single" w:sz="9" w:space="0" w:color="D2D2D2"/>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3,820,618,744.79</w:t>
            </w:r>
          </w:p>
        </w:tc>
        <w:tc>
          <w:tcPr>
            <w:tcW w:w="2552"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3,089,998,187.03</w:t>
            </w:r>
          </w:p>
        </w:tc>
      </w:tr>
      <w:tr>
        <w:trPr>
          <w:trHeight w:val="31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10"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7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772" w:type="dxa"/>
            <w:tcBorders>
              <w:top w:val="single" w:sz="10" w:space="0" w:color="D2D2D2"/>
              <w:left w:val="single" w:sz="10" w:space="0" w:color="D2D2D2"/>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2552" w:type="dxa"/>
            <w:tcBorders>
              <w:top w:val="single" w:sz="10" w:space="0" w:color="D2D2D2"/>
              <w:left w:val="single" w:sz="4" w:space="0" w:color="000000"/>
              <w:bottom w:val="single" w:sz="4" w:space="0" w:color="000000"/>
              <w:right w:val="single" w:sz="4" w:space="0" w:color="000000"/>
            </w:tcBorders>
          </w:tcPr>
          <w:p>
            <w:pP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772" w:type="dxa"/>
            <w:tcBorders>
              <w:top w:val="single" w:sz="4" w:space="0" w:color="000000"/>
              <w:left w:val="single" w:sz="10"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0"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772" w:type="dxa"/>
            <w:tcBorders>
              <w:top w:val="single" w:sz="4" w:space="0" w:color="000000"/>
              <w:left w:val="single" w:sz="10"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3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2772" w:type="dxa"/>
            <w:tcBorders>
              <w:top w:val="single" w:sz="4" w:space="0" w:color="000000"/>
              <w:left w:val="single" w:sz="10"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772" w:type="dxa"/>
            <w:tcBorders>
              <w:top w:val="single" w:sz="4" w:space="0" w:color="000000"/>
              <w:left w:val="single" w:sz="10"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70"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772" w:type="dxa"/>
            <w:tcBorders>
              <w:top w:val="single" w:sz="4" w:space="0" w:color="000000"/>
              <w:left w:val="single" w:sz="10"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772" w:type="dxa"/>
            <w:tcBorders>
              <w:top w:val="single" w:sz="4" w:space="0" w:color="000000"/>
              <w:left w:val="single" w:sz="10"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7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71,082,333.29</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70,117,348.52</w:t>
            </w: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7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36,915,428.53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46,865,352.43</w:t>
            </w:r>
          </w:p>
        </w:tc>
      </w:tr>
    </w:tbl>
    <w:p>
      <w:pPr>
        <w:spacing w:after="0" w:line="240" w:lineRule="auto"/>
        <w:jc w:val="right"/>
        <w:rPr>
          <w:rFonts w:ascii="Times New Roman" w:hAnsi="Times New Roman" w:cs="Times New Roman" w:eastAsia="Times New Roman" w:hint="default"/>
          <w:sz w:val="18"/>
          <w:szCs w:val="18"/>
        </w:rPr>
        <w:sectPr>
          <w:pgSz w:w="11910" w:h="16840"/>
          <w:pgMar w:header="733" w:footer="977" w:top="960" w:bottom="116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tbl>
      <w:tblPr>
        <w:tblW w:w="0" w:type="auto"/>
        <w:jc w:val="left"/>
        <w:tblInd w:w="144" w:type="dxa"/>
        <w:tblLayout w:type="fixed"/>
        <w:tblCellMar>
          <w:top w:w="0" w:type="dxa"/>
          <w:left w:w="0" w:type="dxa"/>
          <w:bottom w:w="0" w:type="dxa"/>
          <w:right w:w="0" w:type="dxa"/>
        </w:tblCellMar>
        <w:tblLook w:val="01E0"/>
      </w:tblPr>
      <w:tblGrid>
        <w:gridCol w:w="3172"/>
        <w:gridCol w:w="2772"/>
        <w:gridCol w:w="2552"/>
      </w:tblGrid>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772" w:type="dxa"/>
            <w:tcBorders>
              <w:top w:val="single" w:sz="4" w:space="0" w:color="000000"/>
              <w:left w:val="single" w:sz="10"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7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109,997,761.82</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116,982,700.95</w:t>
            </w:r>
          </w:p>
        </w:tc>
      </w:tr>
      <w:tr>
        <w:trPr>
          <w:trHeight w:val="329"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772" w:type="dxa"/>
            <w:tcBorders>
              <w:top w:val="single" w:sz="4" w:space="0" w:color="000000"/>
              <w:left w:val="single" w:sz="10" w:space="0" w:color="D2D2D2"/>
              <w:bottom w:val="single" w:sz="10" w:space="0" w:color="D2D2D2"/>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3,930,616,506.61</w:t>
            </w:r>
          </w:p>
        </w:tc>
        <w:tc>
          <w:tcPr>
            <w:tcW w:w="2552"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3,206,980,887.98</w:t>
            </w:r>
          </w:p>
        </w:tc>
      </w:tr>
      <w:tr>
        <w:trPr>
          <w:trHeight w:val="31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0"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left="37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772" w:type="dxa"/>
            <w:tcBorders>
              <w:top w:val="single" w:sz="5" w:space="0" w:color="D2D2D2"/>
              <w:left w:val="single" w:sz="10" w:space="0" w:color="D2D2D2"/>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2,428,885,725.00</w:t>
            </w:r>
          </w:p>
        </w:tc>
        <w:tc>
          <w:tcPr>
            <w:tcW w:w="2552"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2,428,885,725.00</w:t>
            </w: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772" w:type="dxa"/>
            <w:tcBorders>
              <w:top w:val="single" w:sz="4" w:space="0" w:color="000000"/>
              <w:left w:val="single" w:sz="10"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0"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772" w:type="dxa"/>
            <w:tcBorders>
              <w:top w:val="single" w:sz="4" w:space="0" w:color="000000"/>
              <w:left w:val="single" w:sz="10"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43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2772" w:type="dxa"/>
            <w:tcBorders>
              <w:top w:val="single" w:sz="4" w:space="0" w:color="000000"/>
              <w:left w:val="single" w:sz="10"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7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2,298,125,819.56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2,298,125,819.56</w:t>
            </w: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7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113,006,514.72</w:t>
            </w: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7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-368,279,676.59</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-92,846,447.41</w:t>
            </w:r>
          </w:p>
        </w:tc>
      </w:tr>
      <w:tr>
        <w:trPr>
          <w:trHeight w:val="32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7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772" w:type="dxa"/>
            <w:tcBorders>
              <w:top w:val="single" w:sz="4" w:space="0" w:color="000000"/>
              <w:left w:val="single" w:sz="10"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7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628,593,583.41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615,079,483.51</w:t>
            </w: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772" w:type="dxa"/>
            <w:tcBorders>
              <w:top w:val="single" w:sz="4" w:space="0" w:color="000000"/>
              <w:left w:val="single" w:sz="10"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7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3,812,670,503.86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3,641,664,705.24</w:t>
            </w:r>
          </w:p>
        </w:tc>
      </w:tr>
      <w:tr>
        <w:trPr>
          <w:trHeight w:val="323"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7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8,686,989,440.52</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8,890,909,285.90</w:t>
            </w: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7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822,612,566.22</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593,329,839.28</w:t>
            </w: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7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9,509,602,006.74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9,484,239,125.18</w:t>
            </w:r>
          </w:p>
        </w:tc>
      </w:tr>
      <w:tr>
        <w:trPr>
          <w:trHeight w:val="324"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7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13,440,218,513.35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12,691,220,013.16</w:t>
            </w:r>
          </w:p>
        </w:tc>
      </w:tr>
    </w:tbl>
    <w:p>
      <w:pPr>
        <w:spacing w:line="240" w:lineRule="auto" w:before="4"/>
        <w:rPr>
          <w:rFonts w:ascii="Times New Roman" w:hAnsi="Times New Roman" w:cs="Times New Roman" w:eastAsia="Times New Roman" w:hint="default"/>
          <w:sz w:val="19"/>
          <w:szCs w:val="19"/>
        </w:rPr>
      </w:pPr>
    </w:p>
    <w:p>
      <w:pPr>
        <w:pStyle w:val="BodyText"/>
        <w:tabs>
          <w:tab w:pos="2954" w:val="left" w:leader="none"/>
          <w:tab w:pos="6356" w:val="left" w:leader="none"/>
        </w:tabs>
        <w:spacing w:line="240" w:lineRule="auto" w:before="44"/>
        <w:ind w:left="0" w:right="1791"/>
        <w:jc w:val="right"/>
      </w:pPr>
      <w:r>
        <w:rPr>
          <w:spacing w:val="-3"/>
        </w:rPr>
        <w:t>法定代表人：黄跃珍</w:t>
        <w:tab/>
      </w:r>
      <w:r>
        <w:rPr>
          <w:spacing w:val="-2"/>
        </w:rPr>
        <w:t>主管会计工作负责人：蒋春晨</w:t>
        <w:tab/>
      </w:r>
      <w:r>
        <w:rPr>
          <w:spacing w:val="-3"/>
        </w:rPr>
        <w:t>会计机构负责人：惠小绒</w:t>
      </w:r>
    </w:p>
    <w:p>
      <w:pPr>
        <w:spacing w:line="240" w:lineRule="auto" w:before="10"/>
        <w:rPr>
          <w:rFonts w:ascii="宋体" w:hAnsi="宋体" w:cs="宋体" w:eastAsia="宋体" w:hint="default"/>
          <w:sz w:val="22"/>
          <w:szCs w:val="22"/>
        </w:rPr>
      </w:pPr>
    </w:p>
    <w:p>
      <w:pPr>
        <w:pStyle w:val="Heading4"/>
        <w:spacing w:line="240" w:lineRule="auto"/>
        <w:ind w:left="138" w:right="168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9"/>
        <w:rPr>
          <w:rFonts w:ascii="宋体" w:hAnsi="宋体" w:cs="宋体" w:eastAsia="宋体" w:hint="default"/>
          <w:b/>
          <w:bCs/>
          <w:sz w:val="21"/>
          <w:szCs w:val="21"/>
        </w:rPr>
      </w:pPr>
    </w:p>
    <w:p>
      <w:pPr>
        <w:pStyle w:val="BodyText"/>
        <w:spacing w:line="240" w:lineRule="auto"/>
        <w:ind w:left="0" w:right="1791"/>
        <w:jc w:val="right"/>
      </w:pPr>
      <w:r>
        <w:rPr/>
        <w:t>单位：元</w:t>
      </w:r>
    </w:p>
    <w:p>
      <w:pPr>
        <w:spacing w:line="240" w:lineRule="auto" w:before="3"/>
        <w:rPr>
          <w:rFonts w:ascii="宋体" w:hAnsi="宋体" w:cs="宋体" w:eastAsia="宋体" w:hint="default"/>
          <w:sz w:val="5"/>
          <w:szCs w:val="5"/>
        </w:rPr>
      </w:pPr>
    </w:p>
    <w:tbl>
      <w:tblPr>
        <w:tblW w:w="0" w:type="auto"/>
        <w:jc w:val="left"/>
        <w:tblInd w:w="144" w:type="dxa"/>
        <w:tblLayout w:type="fixed"/>
        <w:tblCellMar>
          <w:top w:w="0" w:type="dxa"/>
          <w:left w:w="0" w:type="dxa"/>
          <w:bottom w:w="0" w:type="dxa"/>
          <w:right w:w="0" w:type="dxa"/>
        </w:tblCellMar>
        <w:tblLook w:val="01E0"/>
      </w:tblPr>
      <w:tblGrid>
        <w:gridCol w:w="3279"/>
        <w:gridCol w:w="2666"/>
        <w:gridCol w:w="2552"/>
      </w:tblGrid>
      <w:tr>
        <w:trPr>
          <w:trHeight w:val="331"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10"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0"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6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1"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7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666" w:type="dxa"/>
            <w:tcBorders>
              <w:top w:val="single" w:sz="6" w:space="0" w:color="D2D2D2"/>
              <w:left w:val="single" w:sz="9" w:space="0" w:color="D2D2D2"/>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1,705,942,946.26</w:t>
            </w:r>
          </w:p>
        </w:tc>
        <w:tc>
          <w:tcPr>
            <w:tcW w:w="2552"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1,980,103,849.94</w:t>
            </w:r>
          </w:p>
        </w:tc>
      </w:tr>
      <w:tr>
        <w:trPr>
          <w:trHeight w:val="557"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0" w:right="16" w:firstLine="359"/>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2666" w:type="dxa"/>
            <w:tcBorders>
              <w:top w:val="single" w:sz="4" w:space="0" w:color="000000"/>
              <w:left w:val="single" w:sz="9"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666" w:type="dxa"/>
            <w:tcBorders>
              <w:top w:val="single" w:sz="4" w:space="0" w:color="000000"/>
              <w:left w:val="single" w:sz="9"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6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518,694,977.29</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542,124,870.26</w:t>
            </w:r>
          </w:p>
        </w:tc>
      </w:tr>
      <w:tr>
        <w:trPr>
          <w:trHeight w:val="324"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0"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26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3,456,776.00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6,879,770.00</w:t>
            </w:r>
          </w:p>
        </w:tc>
      </w:tr>
      <w:tr>
        <w:trPr>
          <w:trHeight w:val="324"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65"/>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6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515,238,201.29</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535,245,100.26</w:t>
            </w:r>
          </w:p>
        </w:tc>
      </w:tr>
      <w:tr>
        <w:trPr>
          <w:trHeight w:val="324"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6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5,551,767.85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1,504,842.49</w:t>
            </w:r>
          </w:p>
        </w:tc>
      </w:tr>
      <w:tr>
        <w:trPr>
          <w:trHeight w:val="32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111,928,330.69</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100,884,240.05</w:t>
            </w:r>
          </w:p>
        </w:tc>
      </w:tr>
      <w:tr>
        <w:trPr>
          <w:trHeight w:val="32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550"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666" w:type="dxa"/>
            <w:tcBorders>
              <w:top w:val="single" w:sz="4" w:space="0" w:color="000000"/>
              <w:left w:val="single" w:sz="9"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65"/>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26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20,400,000.00</w:t>
            </w: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6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1,543,573,573.61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1,756,238,208.93</w:t>
            </w:r>
          </w:p>
        </w:tc>
      </w:tr>
      <w:tr>
        <w:trPr>
          <w:trHeight w:val="32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6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54,932,269.00</w:t>
            </w: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70"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666" w:type="dxa"/>
            <w:tcBorders>
              <w:top w:val="single" w:sz="4" w:space="0" w:color="000000"/>
              <w:left w:val="single" w:sz="9"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6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40,281,949.22</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510,213,811.60</w:t>
            </w:r>
          </w:p>
        </w:tc>
      </w:tr>
      <w:tr>
        <w:trPr>
          <w:trHeight w:val="330"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666" w:type="dxa"/>
            <w:tcBorders>
              <w:top w:val="single" w:sz="4" w:space="0" w:color="000000"/>
              <w:left w:val="single" w:sz="9" w:space="0" w:color="D2D2D2"/>
              <w:bottom w:val="single" w:sz="5" w:space="0" w:color="D2D2D2"/>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3,980,905,813.92</w:t>
            </w:r>
          </w:p>
        </w:tc>
        <w:tc>
          <w:tcPr>
            <w:tcW w:w="2552"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4,891,069,823.27</w:t>
            </w:r>
          </w:p>
        </w:tc>
      </w:tr>
      <w:tr>
        <w:trPr>
          <w:trHeight w:val="311"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10"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6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33" w:footer="977" w:top="960" w:bottom="116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tbl>
      <w:tblPr>
        <w:tblW w:w="0" w:type="auto"/>
        <w:jc w:val="left"/>
        <w:tblInd w:w="144" w:type="dxa"/>
        <w:tblLayout w:type="fixed"/>
        <w:tblCellMar>
          <w:top w:w="0" w:type="dxa"/>
          <w:left w:w="0" w:type="dxa"/>
          <w:bottom w:w="0" w:type="dxa"/>
          <w:right w:w="0" w:type="dxa"/>
        </w:tblCellMar>
        <w:tblLook w:val="01E0"/>
      </w:tblPr>
      <w:tblGrid>
        <w:gridCol w:w="3279"/>
        <w:gridCol w:w="2666"/>
        <w:gridCol w:w="2552"/>
      </w:tblGrid>
      <w:tr>
        <w:trPr>
          <w:trHeight w:val="324"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6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873,326,585.40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1,110,176,715.44</w:t>
            </w:r>
          </w:p>
        </w:tc>
      </w:tr>
      <w:tr>
        <w:trPr>
          <w:trHeight w:val="324"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666" w:type="dxa"/>
            <w:tcBorders>
              <w:top w:val="single" w:sz="4" w:space="0" w:color="000000"/>
              <w:left w:val="single" w:sz="9"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666" w:type="dxa"/>
            <w:tcBorders>
              <w:top w:val="single" w:sz="4" w:space="0" w:color="000000"/>
              <w:left w:val="single" w:sz="9"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6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4,615,185,421.81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4,376,197,375.91</w:t>
            </w:r>
          </w:p>
        </w:tc>
      </w:tr>
      <w:tr>
        <w:trPr>
          <w:trHeight w:val="324"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666" w:type="dxa"/>
            <w:tcBorders>
              <w:top w:val="single" w:sz="4" w:space="0" w:color="000000"/>
              <w:left w:val="single" w:sz="9"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6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327,825,942.41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334,539,832.03</w:t>
            </w:r>
          </w:p>
        </w:tc>
      </w:tr>
      <w:tr>
        <w:trPr>
          <w:trHeight w:val="32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6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8,760,115.81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22,036,839.62</w:t>
            </w:r>
          </w:p>
        </w:tc>
      </w:tr>
      <w:tr>
        <w:trPr>
          <w:trHeight w:val="32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70"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666" w:type="dxa"/>
            <w:tcBorders>
              <w:top w:val="single" w:sz="4" w:space="0" w:color="000000"/>
              <w:left w:val="single" w:sz="9"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666" w:type="dxa"/>
            <w:tcBorders>
              <w:top w:val="single" w:sz="4" w:space="0" w:color="000000"/>
              <w:left w:val="single" w:sz="9"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6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21,877,890.79</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21,192,818.24</w:t>
            </w:r>
          </w:p>
        </w:tc>
      </w:tr>
      <w:tr>
        <w:trPr>
          <w:trHeight w:val="32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666" w:type="dxa"/>
            <w:tcBorders>
              <w:top w:val="single" w:sz="4" w:space="0" w:color="000000"/>
              <w:left w:val="single" w:sz="9"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70"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666" w:type="dxa"/>
            <w:tcBorders>
              <w:top w:val="single" w:sz="4" w:space="0" w:color="000000"/>
              <w:left w:val="single" w:sz="9"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666" w:type="dxa"/>
            <w:tcBorders>
              <w:top w:val="single" w:sz="4" w:space="0" w:color="000000"/>
              <w:left w:val="single" w:sz="9"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6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110,458,379.26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50,248,456.78</w:t>
            </w:r>
          </w:p>
        </w:tc>
      </w:tr>
      <w:tr>
        <w:trPr>
          <w:trHeight w:val="32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666" w:type="dxa"/>
            <w:tcBorders>
              <w:top w:val="single" w:sz="4" w:space="0" w:color="000000"/>
              <w:left w:val="single" w:sz="9"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6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5,957,434,335.48</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5,914,392,038.02</w:t>
            </w:r>
          </w:p>
        </w:tc>
      </w:tr>
      <w:tr>
        <w:trPr>
          <w:trHeight w:val="331"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666" w:type="dxa"/>
            <w:tcBorders>
              <w:top w:val="single" w:sz="4" w:space="0" w:color="000000"/>
              <w:left w:val="single" w:sz="9" w:space="0" w:color="D2D2D2"/>
              <w:bottom w:val="single" w:sz="10" w:space="0" w:color="D2D2D2"/>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9,938,340,149.40</w:t>
            </w:r>
          </w:p>
        </w:tc>
        <w:tc>
          <w:tcPr>
            <w:tcW w:w="2552"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10,805,461,861.29</w:t>
            </w:r>
          </w:p>
        </w:tc>
      </w:tr>
      <w:tr>
        <w:trPr>
          <w:trHeight w:val="310"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0"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6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1"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7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666" w:type="dxa"/>
            <w:tcBorders>
              <w:top w:val="single" w:sz="6" w:space="0" w:color="D2D2D2"/>
              <w:left w:val="single" w:sz="9" w:space="0" w:color="D2D2D2"/>
              <w:bottom w:val="single" w:sz="4" w:space="0" w:color="000000"/>
              <w:right w:val="single" w:sz="4" w:space="0" w:color="000000"/>
            </w:tcBorders>
          </w:tcPr>
          <w:p>
            <w:pPr/>
          </w:p>
        </w:tc>
        <w:tc>
          <w:tcPr>
            <w:tcW w:w="2552" w:type="dxa"/>
            <w:tcBorders>
              <w:top w:val="single" w:sz="6" w:space="0" w:color="D2D2D2"/>
              <w:left w:val="single" w:sz="4" w:space="0" w:color="000000"/>
              <w:bottom w:val="single" w:sz="4" w:space="0" w:color="000000"/>
              <w:right w:val="single" w:sz="4" w:space="0" w:color="000000"/>
            </w:tcBorders>
          </w:tcPr>
          <w:p>
            <w:pPr/>
          </w:p>
        </w:tc>
      </w:tr>
      <w:tr>
        <w:trPr>
          <w:trHeight w:val="557"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0" w:right="16" w:firstLine="359"/>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2666" w:type="dxa"/>
            <w:tcBorders>
              <w:top w:val="single" w:sz="4" w:space="0" w:color="000000"/>
              <w:left w:val="single" w:sz="9"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666" w:type="dxa"/>
            <w:tcBorders>
              <w:top w:val="single" w:sz="4" w:space="0" w:color="000000"/>
              <w:left w:val="single" w:sz="9"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70"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6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673,167,055.74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662,439,379.11</w:t>
            </w:r>
          </w:p>
        </w:tc>
      </w:tr>
      <w:tr>
        <w:trPr>
          <w:trHeight w:val="324"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6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1,405,953,738.07</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1,519,044,607.69</w:t>
            </w:r>
          </w:p>
        </w:tc>
      </w:tr>
      <w:tr>
        <w:trPr>
          <w:trHeight w:val="324"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6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127,710,000.00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128,860,000.00</w:t>
            </w:r>
          </w:p>
        </w:tc>
      </w:tr>
      <w:tr>
        <w:trPr>
          <w:trHeight w:val="32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6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35,783,166.39</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76,465,231.24</w:t>
            </w:r>
          </w:p>
        </w:tc>
      </w:tr>
      <w:tr>
        <w:trPr>
          <w:trHeight w:val="32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7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6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130,345,412.24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95,757,747.98</w:t>
            </w:r>
          </w:p>
        </w:tc>
      </w:tr>
      <w:tr>
        <w:trPr>
          <w:trHeight w:val="324"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0"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666" w:type="dxa"/>
            <w:tcBorders>
              <w:top w:val="single" w:sz="4" w:space="0" w:color="000000"/>
              <w:left w:val="single" w:sz="9"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65"/>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2666" w:type="dxa"/>
            <w:tcBorders>
              <w:top w:val="single" w:sz="4" w:space="0" w:color="000000"/>
              <w:left w:val="single" w:sz="9"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666" w:type="dxa"/>
            <w:tcBorders>
              <w:top w:val="single" w:sz="4" w:space="0" w:color="000000"/>
              <w:left w:val="single" w:sz="9"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7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666" w:type="dxa"/>
            <w:tcBorders>
              <w:top w:val="single" w:sz="4" w:space="0" w:color="000000"/>
              <w:left w:val="single" w:sz="9"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666" w:type="dxa"/>
            <w:tcBorders>
              <w:top w:val="single" w:sz="4" w:space="0" w:color="000000"/>
              <w:left w:val="single" w:sz="9"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666" w:type="dxa"/>
            <w:tcBorders>
              <w:top w:val="single" w:sz="4" w:space="0" w:color="000000"/>
              <w:left w:val="single" w:sz="9" w:space="0" w:color="D2D2D2"/>
              <w:bottom w:val="single" w:sz="9" w:space="0" w:color="D2D2D2"/>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2,372,959,372.44</w:t>
            </w:r>
          </w:p>
        </w:tc>
        <w:tc>
          <w:tcPr>
            <w:tcW w:w="2552"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2,482,566,966.02</w:t>
            </w:r>
          </w:p>
        </w:tc>
      </w:tr>
      <w:tr>
        <w:trPr>
          <w:trHeight w:val="311"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10"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6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7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666" w:type="dxa"/>
            <w:tcBorders>
              <w:top w:val="single" w:sz="10" w:space="0" w:color="D2D2D2"/>
              <w:left w:val="single" w:sz="9" w:space="0" w:color="D2D2D2"/>
              <w:bottom w:val="single" w:sz="4" w:space="0" w:color="000000"/>
              <w:right w:val="single" w:sz="4" w:space="0" w:color="000000"/>
            </w:tcBorders>
          </w:tcPr>
          <w:p>
            <w:pPr/>
          </w:p>
        </w:tc>
        <w:tc>
          <w:tcPr>
            <w:tcW w:w="2552" w:type="dxa"/>
            <w:tcBorders>
              <w:top w:val="single" w:sz="10" w:space="0" w:color="D2D2D2"/>
              <w:left w:val="single" w:sz="4" w:space="0" w:color="000000"/>
              <w:bottom w:val="single" w:sz="4" w:space="0" w:color="000000"/>
              <w:right w:val="single" w:sz="4" w:space="0" w:color="000000"/>
            </w:tcBorders>
          </w:tcPr>
          <w:p>
            <w:pPr/>
          </w:p>
        </w:tc>
      </w:tr>
      <w:tr>
        <w:trPr>
          <w:trHeight w:val="324"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666" w:type="dxa"/>
            <w:tcBorders>
              <w:top w:val="single" w:sz="4" w:space="0" w:color="000000"/>
              <w:left w:val="single" w:sz="9"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0"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666" w:type="dxa"/>
            <w:tcBorders>
              <w:top w:val="single" w:sz="4" w:space="0" w:color="000000"/>
              <w:left w:val="single" w:sz="9"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545"/>
              <w:jc w:val="center"/>
              <w:rPr>
                <w:rFonts w:ascii="宋体" w:hAnsi="宋体" w:cs="宋体" w:eastAsia="宋体" w:hint="default"/>
                <w:sz w:val="18"/>
                <w:szCs w:val="18"/>
              </w:rPr>
            </w:pPr>
            <w:r>
              <w:rPr>
                <w:rFonts w:ascii="宋体" w:hAnsi="宋体" w:cs="宋体" w:eastAsia="宋体" w:hint="default"/>
                <w:sz w:val="18"/>
                <w:szCs w:val="18"/>
              </w:rPr>
              <w:t>永续债</w:t>
            </w:r>
          </w:p>
        </w:tc>
        <w:tc>
          <w:tcPr>
            <w:tcW w:w="2666" w:type="dxa"/>
            <w:tcBorders>
              <w:top w:val="single" w:sz="4" w:space="0" w:color="000000"/>
              <w:left w:val="single" w:sz="9"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666" w:type="dxa"/>
            <w:tcBorders>
              <w:top w:val="single" w:sz="4" w:space="0" w:color="000000"/>
              <w:left w:val="single" w:sz="9"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70"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666" w:type="dxa"/>
            <w:tcBorders>
              <w:top w:val="single" w:sz="4" w:space="0" w:color="000000"/>
              <w:left w:val="single" w:sz="9"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666" w:type="dxa"/>
            <w:tcBorders>
              <w:top w:val="single" w:sz="4" w:space="0" w:color="000000"/>
              <w:left w:val="single" w:sz="9"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6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41,342,074.26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44,321,995.82</w:t>
            </w:r>
          </w:p>
        </w:tc>
      </w:tr>
      <w:tr>
        <w:trPr>
          <w:trHeight w:val="324"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6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23,880,150.00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39,375,000.00</w:t>
            </w:r>
          </w:p>
        </w:tc>
      </w:tr>
    </w:tbl>
    <w:p>
      <w:pPr>
        <w:spacing w:after="0" w:line="240" w:lineRule="auto"/>
        <w:jc w:val="right"/>
        <w:rPr>
          <w:rFonts w:ascii="Times New Roman" w:hAnsi="Times New Roman" w:cs="Times New Roman" w:eastAsia="Times New Roman" w:hint="default"/>
          <w:sz w:val="18"/>
          <w:szCs w:val="18"/>
        </w:rPr>
        <w:sectPr>
          <w:pgSz w:w="11910" w:h="16840"/>
          <w:pgMar w:header="733" w:footer="977" w:top="960" w:bottom="116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tbl>
      <w:tblPr>
        <w:tblW w:w="0" w:type="auto"/>
        <w:jc w:val="left"/>
        <w:tblInd w:w="144" w:type="dxa"/>
        <w:tblLayout w:type="fixed"/>
        <w:tblCellMar>
          <w:top w:w="0" w:type="dxa"/>
          <w:left w:w="0" w:type="dxa"/>
          <w:bottom w:w="0" w:type="dxa"/>
          <w:right w:w="0" w:type="dxa"/>
        </w:tblCellMar>
        <w:tblLook w:val="01E0"/>
      </w:tblPr>
      <w:tblGrid>
        <w:gridCol w:w="3279"/>
        <w:gridCol w:w="2666"/>
        <w:gridCol w:w="2552"/>
      </w:tblGrid>
      <w:tr>
        <w:trPr>
          <w:trHeight w:val="324"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666" w:type="dxa"/>
            <w:tcBorders>
              <w:top w:val="single" w:sz="4" w:space="0" w:color="000000"/>
              <w:left w:val="single" w:sz="9"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6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65,222,224.26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83,696,995.82</w:t>
            </w:r>
          </w:p>
        </w:tc>
      </w:tr>
      <w:tr>
        <w:trPr>
          <w:trHeight w:val="329"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666" w:type="dxa"/>
            <w:tcBorders>
              <w:top w:val="single" w:sz="4" w:space="0" w:color="000000"/>
              <w:left w:val="single" w:sz="9" w:space="0" w:color="D2D2D2"/>
              <w:bottom w:val="single" w:sz="10" w:space="0" w:color="D2D2D2"/>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2,438,181,596.70</w:t>
            </w:r>
          </w:p>
        </w:tc>
        <w:tc>
          <w:tcPr>
            <w:tcW w:w="2552"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2,566,263,961.84</w:t>
            </w:r>
          </w:p>
        </w:tc>
      </w:tr>
      <w:tr>
        <w:trPr>
          <w:trHeight w:val="311"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0"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6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left="37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666" w:type="dxa"/>
            <w:tcBorders>
              <w:top w:val="single" w:sz="5" w:space="0" w:color="D2D2D2"/>
              <w:left w:val="single" w:sz="9" w:space="0" w:color="D2D2D2"/>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2,428,885,725.00</w:t>
            </w:r>
          </w:p>
        </w:tc>
        <w:tc>
          <w:tcPr>
            <w:tcW w:w="2552"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2,428,885,725.00</w:t>
            </w:r>
          </w:p>
        </w:tc>
      </w:tr>
      <w:tr>
        <w:trPr>
          <w:trHeight w:val="324"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666" w:type="dxa"/>
            <w:tcBorders>
              <w:top w:val="single" w:sz="4" w:space="0" w:color="000000"/>
              <w:left w:val="single" w:sz="9"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0"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666" w:type="dxa"/>
            <w:tcBorders>
              <w:top w:val="single" w:sz="4" w:space="0" w:color="000000"/>
              <w:left w:val="single" w:sz="9"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545"/>
              <w:jc w:val="center"/>
              <w:rPr>
                <w:rFonts w:ascii="宋体" w:hAnsi="宋体" w:cs="宋体" w:eastAsia="宋体" w:hint="default"/>
                <w:sz w:val="18"/>
                <w:szCs w:val="18"/>
              </w:rPr>
            </w:pPr>
            <w:r>
              <w:rPr>
                <w:rFonts w:ascii="宋体" w:hAnsi="宋体" w:cs="宋体" w:eastAsia="宋体" w:hint="default"/>
                <w:sz w:val="18"/>
                <w:szCs w:val="18"/>
              </w:rPr>
              <w:t>永续债</w:t>
            </w:r>
          </w:p>
        </w:tc>
        <w:tc>
          <w:tcPr>
            <w:tcW w:w="2666" w:type="dxa"/>
            <w:tcBorders>
              <w:top w:val="single" w:sz="4" w:space="0" w:color="000000"/>
              <w:left w:val="single" w:sz="9"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6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2,304,533,814.30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2,304,533,814.30</w:t>
            </w:r>
          </w:p>
        </w:tc>
      </w:tr>
      <w:tr>
        <w:trPr>
          <w:trHeight w:val="324"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6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113,006,514.72</w:t>
            </w: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6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-365,400,438.36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-90,003,752.37</w:t>
            </w:r>
          </w:p>
        </w:tc>
      </w:tr>
      <w:tr>
        <w:trPr>
          <w:trHeight w:val="32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7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666" w:type="dxa"/>
            <w:tcBorders>
              <w:top w:val="single" w:sz="4" w:space="0" w:color="000000"/>
              <w:left w:val="single" w:sz="9"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6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628,593,583.41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615,079,483.51</w:t>
            </w:r>
          </w:p>
        </w:tc>
      </w:tr>
      <w:tr>
        <w:trPr>
          <w:trHeight w:val="324"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6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2,616,552,383.07</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2,980,702,629.01</w:t>
            </w:r>
          </w:p>
        </w:tc>
      </w:tr>
      <w:tr>
        <w:trPr>
          <w:trHeight w:val="32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6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7,500,158,552.70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8,239,197,899.45</w:t>
            </w:r>
          </w:p>
        </w:tc>
      </w:tr>
      <w:tr>
        <w:trPr>
          <w:trHeight w:val="323"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66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9,938,340,149.40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10,805,461,861.29</w:t>
            </w:r>
          </w:p>
        </w:tc>
      </w:tr>
    </w:tbl>
    <w:p>
      <w:pPr>
        <w:spacing w:line="240" w:lineRule="auto" w:before="4"/>
        <w:rPr>
          <w:rFonts w:ascii="Times New Roman" w:hAnsi="Times New Roman" w:cs="Times New Roman" w:eastAsia="Times New Roman" w:hint="default"/>
          <w:sz w:val="19"/>
          <w:szCs w:val="19"/>
        </w:rPr>
      </w:pPr>
    </w:p>
    <w:p>
      <w:pPr>
        <w:pStyle w:val="BodyText"/>
        <w:tabs>
          <w:tab w:pos="2522" w:val="left" w:leader="none"/>
          <w:tab w:pos="6305" w:val="left" w:leader="none"/>
        </w:tabs>
        <w:spacing w:line="240" w:lineRule="auto" w:before="44"/>
        <w:ind w:left="0" w:right="1822"/>
        <w:jc w:val="right"/>
      </w:pPr>
      <w:r>
        <w:rPr/>
        <w:t>法定代表人：黄跃珍</w:t>
        <w:tab/>
        <w:t>主管会计工作负责人：蒋春晨</w:t>
        <w:tab/>
      </w:r>
      <w:r>
        <w:rPr>
          <w:spacing w:val="-1"/>
        </w:rPr>
        <w:t>会计机构负责人：惠小绒</w:t>
      </w:r>
    </w:p>
    <w:p>
      <w:pPr>
        <w:spacing w:line="240" w:lineRule="auto" w:before="10"/>
        <w:rPr>
          <w:rFonts w:ascii="宋体" w:hAnsi="宋体" w:cs="宋体" w:eastAsia="宋体" w:hint="default"/>
          <w:sz w:val="22"/>
          <w:szCs w:val="22"/>
        </w:rPr>
      </w:pPr>
    </w:p>
    <w:p>
      <w:pPr>
        <w:pStyle w:val="Heading4"/>
        <w:spacing w:line="240" w:lineRule="auto"/>
        <w:ind w:left="138" w:right="168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791"/>
        <w:jc w:val="right"/>
      </w:pPr>
      <w:r>
        <w:rPr/>
        <w:t>单位：元</w:t>
      </w:r>
    </w:p>
    <w:p>
      <w:pPr>
        <w:spacing w:line="240" w:lineRule="auto" w:before="5"/>
        <w:rPr>
          <w:rFonts w:ascii="宋体" w:hAnsi="宋体" w:cs="宋体" w:eastAsia="宋体" w:hint="default"/>
          <w:sz w:val="5"/>
          <w:szCs w:val="5"/>
        </w:rPr>
      </w:pPr>
    </w:p>
    <w:tbl>
      <w:tblPr>
        <w:tblW w:w="0" w:type="auto"/>
        <w:jc w:val="left"/>
        <w:tblInd w:w="144" w:type="dxa"/>
        <w:tblLayout w:type="fixed"/>
        <w:tblCellMar>
          <w:top w:w="0" w:type="dxa"/>
          <w:left w:w="0" w:type="dxa"/>
          <w:bottom w:w="0" w:type="dxa"/>
          <w:right w:w="0" w:type="dxa"/>
        </w:tblCellMar>
        <w:tblLook w:val="01E0"/>
      </w:tblPr>
      <w:tblGrid>
        <w:gridCol w:w="2944"/>
        <w:gridCol w:w="3000"/>
        <w:gridCol w:w="2552"/>
      </w:tblGrid>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1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5,458,981,768.73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4,383,577,016.09</w:t>
            </w: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5,458,981,768.73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4,383,577,016.09</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0"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0"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0"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4,804,282,307.08</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3,916,352,659.30</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0"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3,199,915,232.35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2,550,465,336.40</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0"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0"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0"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0"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0"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0"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0"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0"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44,793,467.22</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39,258,542.14</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714,652,647.71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627,834,007.98</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385,796,093.24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326,122,592.55</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0"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359,029,719.13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308,413,840.28</w:t>
            </w: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-57,408,791.20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-10,779,321.56</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90"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3,230,209.16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2,272,436.75</w:t>
            </w:r>
          </w:p>
        </w:tc>
      </w:tr>
    </w:tbl>
    <w:p>
      <w:pPr>
        <w:spacing w:after="0" w:line="240" w:lineRule="auto"/>
        <w:jc w:val="right"/>
        <w:rPr>
          <w:rFonts w:ascii="Times New Roman" w:hAnsi="Times New Roman" w:cs="Times New Roman" w:eastAsia="Times New Roman" w:hint="default"/>
          <w:sz w:val="18"/>
          <w:szCs w:val="18"/>
        </w:rPr>
        <w:sectPr>
          <w:footerReference w:type="default" r:id="rId40"/>
          <w:pgSz w:w="11910" w:h="16840"/>
          <w:pgMar w:footer="977" w:header="733" w:top="960" w:bottom="116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tbl>
      <w:tblPr>
        <w:tblW w:w="0" w:type="auto"/>
        <w:jc w:val="left"/>
        <w:tblInd w:w="144" w:type="dxa"/>
        <w:tblLayout w:type="fixed"/>
        <w:tblCellMar>
          <w:top w:w="0" w:type="dxa"/>
          <w:left w:w="0" w:type="dxa"/>
          <w:bottom w:w="0" w:type="dxa"/>
          <w:right w:w="0" w:type="dxa"/>
        </w:tblCellMar>
        <w:tblLook w:val="01E0"/>
      </w:tblPr>
      <w:tblGrid>
        <w:gridCol w:w="2944"/>
        <w:gridCol w:w="3000"/>
        <w:gridCol w:w="2552"/>
      </w:tblGrid>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630"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46,851,336.63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28,622,154.01</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157,503,938.63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75,037,661.51</w:t>
            </w: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147,504,231.81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151,339,485.14</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8"/>
              <w:ind w:left="730"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27" w:lineRule="exact"/>
              <w:ind w:left="10"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103,973,184.96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510,951,235.98</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0" w:right="41" w:firstLine="719"/>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14,230,072.81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15,680,637.10</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3" w:lineRule="exact" w:before="10"/>
              <w:ind w:left="730"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7"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10"/>
              <w:ind w:left="730"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26" w:lineRule="exact"/>
              <w:ind w:left="10"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10"/>
              <w:ind w:left="730"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28" w:lineRule="exact"/>
              <w:ind w:left="10"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826,749.98</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1,747,844.72</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907,003,628.40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1,131,262,922.63</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6,114,680.22</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3,192,685.53</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13,433,131.81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12,457,517.49</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0" w:right="6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899,685,176.81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1,121,998,090.67</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115,679,883.64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157,998,190.63</w:t>
            </w: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784,005,293.17</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963,999,900.04</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0" w:right="41" w:firstLine="359"/>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784,005,293.17</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963,999,900.04</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before="37"/>
              <w:ind w:left="10" w:right="41" w:firstLine="359"/>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0"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670,297,043.52</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899,485,037.43</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113,708,249.65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64,514,862.61</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-275,433,229.18</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-222,206,577.67</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0" w:right="41" w:firstLine="179"/>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-275,433,229.18</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-222,206,577.67</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0" w:right="41" w:firstLine="359"/>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8"/>
              <w:ind w:left="9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27" w:lineRule="exact"/>
              <w:ind w:left="10"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1"/>
              <w:ind w:left="10" w:right="87"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0" w:right="41" w:firstLine="359"/>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-275,433,229.18</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-222,206,577.67</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0" w:right="87"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0" w:right="87"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-275,396,685.99</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-214,227,795.92</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0" w:right="87"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8"/>
              <w:ind w:left="9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27" w:lineRule="exact"/>
              <w:ind w:left="10"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-36,543.19</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-7,978,781.75</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1"/>
          <w:pgSz w:w="11910" w:h="16840"/>
          <w:pgMar w:footer="977" w:header="733" w:top="960" w:bottom="1160" w:left="166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tbl>
      <w:tblPr>
        <w:tblW w:w="0" w:type="auto"/>
        <w:jc w:val="left"/>
        <w:tblInd w:w="144" w:type="dxa"/>
        <w:tblLayout w:type="fixed"/>
        <w:tblCellMar>
          <w:top w:w="0" w:type="dxa"/>
          <w:left w:w="0" w:type="dxa"/>
          <w:bottom w:w="0" w:type="dxa"/>
          <w:right w:w="0" w:type="dxa"/>
        </w:tblCellMar>
        <w:tblLook w:val="01E0"/>
      </w:tblPr>
      <w:tblGrid>
        <w:gridCol w:w="2944"/>
        <w:gridCol w:w="3000"/>
        <w:gridCol w:w="2552"/>
      </w:tblGrid>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0" w:right="41" w:firstLine="179"/>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508,572,063.99</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741,793,322.37</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0" w:right="41" w:firstLine="359"/>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394,863,814.34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677,278,459.76</w:t>
            </w:r>
          </w:p>
        </w:tc>
      </w:tr>
      <w:tr>
        <w:trPr>
          <w:trHeight w:val="330"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000" w:type="dxa"/>
            <w:tcBorders>
              <w:top w:val="single" w:sz="4" w:space="0" w:color="000000"/>
              <w:left w:val="single" w:sz="13" w:space="0" w:color="D2D2D2"/>
              <w:bottom w:val="single" w:sz="5" w:space="0" w:color="D2D2D2"/>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113,708,249.65</w:t>
            </w:r>
          </w:p>
        </w:tc>
        <w:tc>
          <w:tcPr>
            <w:tcW w:w="2552"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64,514,862.61</w:t>
            </w:r>
          </w:p>
        </w:tc>
      </w:tr>
      <w:tr>
        <w:trPr>
          <w:trHeight w:val="31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10"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0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70"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000"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0.28</w:t>
            </w:r>
          </w:p>
        </w:tc>
        <w:tc>
          <w:tcPr>
            <w:tcW w:w="2552"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0.37</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0.28</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0.37</w:t>
            </w:r>
          </w:p>
        </w:tc>
      </w:tr>
    </w:tbl>
    <w:p>
      <w:pPr>
        <w:pStyle w:val="BodyText"/>
        <w:spacing w:line="232" w:lineRule="exact" w:before="32"/>
        <w:ind w:left="138" w:right="1810"/>
        <w:jc w:val="left"/>
      </w:pPr>
      <w:r>
        <w:rPr/>
        <w:t>本期发生同一控制下企业合并的，被合并方在合并前实现的净利润为：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元，上期被合并方实现的净利 润为：</w:t>
      </w:r>
      <w:r>
        <w:rPr>
          <w:rFonts w:ascii="Times New Roman" w:hAnsi="Times New Roman" w:cs="Times New Roman" w:eastAsia="Times New Roman" w:hint="default"/>
        </w:rPr>
        <w:t>0.00 </w:t>
      </w:r>
      <w:r>
        <w:rPr/>
        <w:t>元。</w:t>
      </w:r>
    </w:p>
    <w:p>
      <w:pPr>
        <w:spacing w:line="240" w:lineRule="auto" w:before="4"/>
        <w:rPr>
          <w:rFonts w:ascii="宋体" w:hAnsi="宋体" w:cs="宋体" w:eastAsia="宋体" w:hint="default"/>
          <w:sz w:val="21"/>
          <w:szCs w:val="21"/>
        </w:rPr>
      </w:pPr>
    </w:p>
    <w:p>
      <w:pPr>
        <w:pStyle w:val="BodyText"/>
        <w:tabs>
          <w:tab w:pos="3004" w:val="left" w:leader="none"/>
          <w:tab w:pos="6496" w:val="left" w:leader="none"/>
        </w:tabs>
        <w:spacing w:line="240" w:lineRule="auto"/>
        <w:ind w:left="138" w:right="1683"/>
        <w:jc w:val="left"/>
      </w:pPr>
      <w:r>
        <w:rPr>
          <w:spacing w:val="-3"/>
        </w:rPr>
        <w:t>法定代表人：黄跃珍</w:t>
        <w:tab/>
      </w:r>
      <w:r>
        <w:rPr>
          <w:spacing w:val="-2"/>
        </w:rPr>
        <w:t>主管会计工作负责人：蒋春晨</w:t>
        <w:tab/>
      </w:r>
      <w:r>
        <w:rPr>
          <w:spacing w:val="-3"/>
        </w:rPr>
        <w:t>会计机构负责人：惠小绒</w:t>
      </w:r>
    </w:p>
    <w:p>
      <w:pPr>
        <w:spacing w:line="240" w:lineRule="auto" w:before="8"/>
        <w:rPr>
          <w:rFonts w:ascii="宋体" w:hAnsi="宋体" w:cs="宋体" w:eastAsia="宋体" w:hint="default"/>
          <w:sz w:val="22"/>
          <w:szCs w:val="22"/>
        </w:rPr>
      </w:pPr>
    </w:p>
    <w:p>
      <w:pPr>
        <w:pStyle w:val="Heading4"/>
        <w:spacing w:line="240" w:lineRule="auto"/>
        <w:ind w:left="138" w:right="1683"/>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1"/>
          <w:szCs w:val="21"/>
        </w:rPr>
      </w:pPr>
    </w:p>
    <w:p>
      <w:pPr>
        <w:pStyle w:val="BodyText"/>
        <w:spacing w:line="240" w:lineRule="auto"/>
        <w:ind w:left="0" w:right="1791"/>
        <w:jc w:val="right"/>
      </w:pPr>
      <w:r>
        <w:rPr/>
        <w:t>单位：元</w:t>
      </w:r>
    </w:p>
    <w:p>
      <w:pPr>
        <w:spacing w:line="240" w:lineRule="auto" w:before="5"/>
        <w:rPr>
          <w:rFonts w:ascii="宋体" w:hAnsi="宋体" w:cs="宋体" w:eastAsia="宋体" w:hint="default"/>
          <w:sz w:val="5"/>
          <w:szCs w:val="5"/>
        </w:rPr>
      </w:pPr>
    </w:p>
    <w:tbl>
      <w:tblPr>
        <w:tblW w:w="0" w:type="auto"/>
        <w:jc w:val="left"/>
        <w:tblInd w:w="144" w:type="dxa"/>
        <w:tblLayout w:type="fixed"/>
        <w:tblCellMar>
          <w:top w:w="0" w:type="dxa"/>
          <w:left w:w="0" w:type="dxa"/>
          <w:bottom w:w="0" w:type="dxa"/>
          <w:right w:w="0" w:type="dxa"/>
        </w:tblCellMar>
        <w:tblLook w:val="01E0"/>
      </w:tblPr>
      <w:tblGrid>
        <w:gridCol w:w="2944"/>
        <w:gridCol w:w="3000"/>
        <w:gridCol w:w="2552"/>
      </w:tblGrid>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1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2,079,527,076.22</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2,159,432,615.55</w:t>
            </w: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1,296,679,883.82</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1,309,587,282.48</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0"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13,088,424.56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15,352,036.00</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383,004,037.97</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441,929,159.89</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103,110,739.24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105,996,059.45</w:t>
            </w: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0"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214,010,486.57</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249,611,505.74</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-50,815,813.43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6,627,959.50</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0"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450"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18,860,490.02</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10,369,508.94</w:t>
            </w: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109,997,317.74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34,099,488.70</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0"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91,053,094.53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107,696,567.96</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8"/>
              <w:ind w:left="730"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27" w:lineRule="exact"/>
              <w:ind w:left="10"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35,911,149.46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704,953,180.64</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0" w:right="41" w:firstLine="719"/>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13,177,633.39</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20,319,644.69</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left="730"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8"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8"/>
              <w:ind w:left="730"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27" w:lineRule="exact"/>
              <w:ind w:left="10"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297,698.41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500,335.91</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137,713,942.15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809,379,208.30</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2,529,824.81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545,030.21</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8,895,463.60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8,600,716.59</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0" w:right="6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131,348,303.36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801,323,521.92</w:t>
            </w: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-3,792,695.60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39,364,253.38</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135,140,998.96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761,959,268.54</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0" w:right="41" w:firstLine="359"/>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135,140,998.96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761,959,268.54</w:t>
            </w:r>
          </w:p>
        </w:tc>
      </w:tr>
    </w:tbl>
    <w:p>
      <w:pPr>
        <w:spacing w:after="0" w:line="240" w:lineRule="auto"/>
        <w:jc w:val="right"/>
        <w:rPr>
          <w:rFonts w:ascii="Times New Roman" w:hAnsi="Times New Roman" w:cs="Times New Roman" w:eastAsia="Times New Roman" w:hint="default"/>
          <w:sz w:val="18"/>
          <w:szCs w:val="18"/>
        </w:rPr>
        <w:sectPr>
          <w:pgSz w:w="11910" w:h="16840"/>
          <w:pgMar w:header="733" w:footer="977" w:top="960" w:bottom="1160" w:left="166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tbl>
      <w:tblPr>
        <w:tblW w:w="0" w:type="auto"/>
        <w:jc w:val="left"/>
        <w:tblInd w:w="144" w:type="dxa"/>
        <w:tblLayout w:type="fixed"/>
        <w:tblCellMar>
          <w:top w:w="0" w:type="dxa"/>
          <w:left w:w="0" w:type="dxa"/>
          <w:bottom w:w="0" w:type="dxa"/>
          <w:right w:w="0" w:type="dxa"/>
        </w:tblCellMar>
        <w:tblLook w:val="01E0"/>
      </w:tblPr>
      <w:tblGrid>
        <w:gridCol w:w="2944"/>
        <w:gridCol w:w="3000"/>
        <w:gridCol w:w="2552"/>
      </w:tblGrid>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0" w:right="41" w:firstLine="359"/>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-275,396,685.99</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-214,227,795.92</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0" w:right="41" w:firstLine="359"/>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8"/>
              <w:ind w:left="9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27" w:lineRule="exact"/>
              <w:ind w:left="10"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0" w:right="87"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0" w:right="41" w:firstLine="359"/>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-275,396,685.99</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-214,227,795.92</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1"/>
              <w:ind w:left="10" w:right="87"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0" w:right="87"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-275,396,685.99</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-214,227,795.92</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0" w:right="87"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8"/>
              <w:ind w:left="9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27" w:lineRule="exact"/>
              <w:ind w:left="10"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000"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-140,255,687.03</w:t>
            </w:r>
          </w:p>
        </w:tc>
        <w:tc>
          <w:tcPr>
            <w:tcW w:w="2552"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547,731,472.62</w:t>
            </w:r>
          </w:p>
        </w:tc>
      </w:tr>
      <w:tr>
        <w:trPr>
          <w:trHeight w:val="31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0"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0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left="370"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000" w:type="dxa"/>
            <w:tcBorders>
              <w:top w:val="single" w:sz="5" w:space="0" w:color="D2D2D2"/>
              <w:left w:val="single" w:sz="13" w:space="0" w:color="D2D2D2"/>
              <w:bottom w:val="single" w:sz="4" w:space="0" w:color="000000"/>
              <w:right w:val="single" w:sz="4" w:space="0" w:color="000000"/>
            </w:tcBorders>
          </w:tcPr>
          <w:p>
            <w:pPr/>
          </w:p>
        </w:tc>
        <w:tc>
          <w:tcPr>
            <w:tcW w:w="2552" w:type="dxa"/>
            <w:tcBorders>
              <w:top w:val="single" w:sz="5" w:space="0" w:color="D2D2D2"/>
              <w:left w:val="single" w:sz="4" w:space="0" w:color="000000"/>
              <w:bottom w:val="single" w:sz="4" w:space="0" w:color="000000"/>
              <w:right w:val="single" w:sz="4" w:space="0" w:color="000000"/>
            </w:tcBorders>
          </w:tcPr>
          <w:p>
            <w:pP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17"/>
          <w:szCs w:val="17"/>
        </w:rPr>
      </w:pPr>
    </w:p>
    <w:p>
      <w:pPr>
        <w:pStyle w:val="BodyText"/>
        <w:tabs>
          <w:tab w:pos="3134" w:val="left" w:leader="none"/>
          <w:tab w:pos="6356" w:val="left" w:leader="none"/>
        </w:tabs>
        <w:spacing w:line="240" w:lineRule="auto" w:before="44"/>
        <w:ind w:left="0" w:right="1791"/>
        <w:jc w:val="right"/>
      </w:pPr>
      <w:r>
        <w:rPr>
          <w:spacing w:val="-3"/>
        </w:rPr>
        <w:t>法定代表人：黄跃珍</w:t>
        <w:tab/>
      </w:r>
      <w:r>
        <w:rPr>
          <w:spacing w:val="-2"/>
        </w:rPr>
        <w:t>主管会计工作负责人：蒋春晨</w:t>
        <w:tab/>
      </w:r>
      <w:r>
        <w:rPr>
          <w:spacing w:val="-3"/>
        </w:rPr>
        <w:t>会计机构负责人：惠小绒</w:t>
      </w:r>
    </w:p>
    <w:p>
      <w:pPr>
        <w:spacing w:line="240" w:lineRule="auto" w:before="10"/>
        <w:rPr>
          <w:rFonts w:ascii="宋体" w:hAnsi="宋体" w:cs="宋体" w:eastAsia="宋体" w:hint="default"/>
          <w:sz w:val="22"/>
          <w:szCs w:val="22"/>
        </w:rPr>
      </w:pPr>
    </w:p>
    <w:p>
      <w:pPr>
        <w:pStyle w:val="Heading4"/>
        <w:spacing w:line="240" w:lineRule="auto"/>
        <w:ind w:left="138" w:right="168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9"/>
        <w:rPr>
          <w:rFonts w:ascii="宋体" w:hAnsi="宋体" w:cs="宋体" w:eastAsia="宋体" w:hint="default"/>
          <w:b/>
          <w:bCs/>
          <w:sz w:val="21"/>
          <w:szCs w:val="21"/>
        </w:rPr>
      </w:pPr>
    </w:p>
    <w:p>
      <w:pPr>
        <w:pStyle w:val="BodyText"/>
        <w:spacing w:line="240" w:lineRule="auto"/>
        <w:ind w:left="0" w:right="1791"/>
        <w:jc w:val="right"/>
      </w:pPr>
      <w:r>
        <w:rPr/>
        <w:t>单位：元</w:t>
      </w:r>
    </w:p>
    <w:p>
      <w:pPr>
        <w:spacing w:line="240" w:lineRule="auto" w:before="5"/>
        <w:rPr>
          <w:rFonts w:ascii="宋体" w:hAnsi="宋体" w:cs="宋体" w:eastAsia="宋体" w:hint="default"/>
          <w:sz w:val="5"/>
          <w:szCs w:val="5"/>
        </w:rPr>
      </w:pPr>
    </w:p>
    <w:tbl>
      <w:tblPr>
        <w:tblW w:w="0" w:type="auto"/>
        <w:jc w:val="left"/>
        <w:tblInd w:w="144" w:type="dxa"/>
        <w:tblLayout w:type="fixed"/>
        <w:tblCellMar>
          <w:top w:w="0" w:type="dxa"/>
          <w:left w:w="0" w:type="dxa"/>
          <w:bottom w:w="0" w:type="dxa"/>
          <w:right w:w="0" w:type="dxa"/>
        </w:tblCellMar>
        <w:tblLook w:val="01E0"/>
      </w:tblPr>
      <w:tblGrid>
        <w:gridCol w:w="2944"/>
        <w:gridCol w:w="3000"/>
        <w:gridCol w:w="2552"/>
      </w:tblGrid>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1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1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0"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0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000"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8"/>
              <w:ind w:left="1694" w:right="0"/>
              <w:jc w:val="left"/>
              <w:rPr>
                <w:rFonts w:ascii="Times New Roman" w:hAnsi="Times New Roman" w:cs="Times New Roman" w:eastAsia="Times New Roman" w:hint="default"/>
                <w:sz w:val="18"/>
                <w:szCs w:val="18"/>
              </w:rPr>
            </w:pPr>
            <w:r>
              <w:rPr>
                <w:rFonts w:ascii="Times New Roman"/>
                <w:sz w:val="18"/>
              </w:rPr>
              <w:t>5,878,886,686.62</w:t>
            </w:r>
          </w:p>
        </w:tc>
        <w:tc>
          <w:tcPr>
            <w:tcW w:w="2552"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8"/>
              <w:ind w:left="1258" w:right="0"/>
              <w:jc w:val="left"/>
              <w:rPr>
                <w:rFonts w:ascii="Times New Roman" w:hAnsi="Times New Roman" w:cs="Times New Roman" w:eastAsia="Times New Roman" w:hint="default"/>
                <w:sz w:val="18"/>
                <w:szCs w:val="18"/>
              </w:rPr>
            </w:pPr>
            <w:r>
              <w:rPr>
                <w:rFonts w:ascii="Times New Roman"/>
                <w:sz w:val="18"/>
              </w:rPr>
              <w:t>4,991,616,768.90</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left="370"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34" w:lineRule="exact"/>
              <w:ind w:left="10"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left="370"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34" w:lineRule="exact"/>
              <w:ind w:left="10"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0"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0" w:right="41" w:firstLine="359"/>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33" w:footer="977" w:top="960" w:bottom="116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tbl>
      <w:tblPr>
        <w:tblW w:w="0" w:type="auto"/>
        <w:jc w:val="left"/>
        <w:tblInd w:w="144" w:type="dxa"/>
        <w:tblLayout w:type="fixed"/>
        <w:tblCellMar>
          <w:top w:w="0" w:type="dxa"/>
          <w:left w:w="0" w:type="dxa"/>
          <w:bottom w:w="0" w:type="dxa"/>
          <w:right w:w="0" w:type="dxa"/>
        </w:tblCellMar>
        <w:tblLook w:val="01E0"/>
      </w:tblPr>
      <w:tblGrid>
        <w:gridCol w:w="2944"/>
        <w:gridCol w:w="3000"/>
        <w:gridCol w:w="2552"/>
      </w:tblGrid>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112,512,986.41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109,933,345.09</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433,495,672.23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268,015,630.66</w:t>
            </w: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6,424,895,345.26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5,369,565,744.65</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2,059,301,600.48</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1,783,038,408.69</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left="370"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34" w:lineRule="exact"/>
              <w:ind w:left="10"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0"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left="370"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34" w:lineRule="exact"/>
              <w:ind w:left="10"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2,062,769,367.19</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1,758,097,418.84</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476,702,979.72</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461,990,330.00</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859,187,589.66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693,989,453.77</w:t>
            </w: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5,457,961,537.05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4,697,115,611.30</w:t>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00" w:type="dxa"/>
            <w:tcBorders>
              <w:top w:val="single" w:sz="4" w:space="0" w:color="000000"/>
              <w:left w:val="single" w:sz="13" w:space="0" w:color="D2D2D2"/>
              <w:bottom w:val="single" w:sz="6" w:space="0" w:color="D2D2D2"/>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966,933,808.21</w:t>
            </w:r>
          </w:p>
        </w:tc>
        <w:tc>
          <w:tcPr>
            <w:tcW w:w="2552" w:type="dxa"/>
            <w:tcBorders>
              <w:top w:val="single" w:sz="4" w:space="0" w:color="000000"/>
              <w:left w:val="single" w:sz="4" w:space="0" w:color="000000"/>
              <w:bottom w:val="single" w:sz="6" w:space="0" w:color="D2D2D2"/>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672,450,133.35</w:t>
            </w:r>
          </w:p>
        </w:tc>
      </w:tr>
      <w:tr>
        <w:trPr>
          <w:trHeight w:val="31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0"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0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left="370"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000"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9,301,001,107.80</w:t>
            </w:r>
          </w:p>
        </w:tc>
        <w:tc>
          <w:tcPr>
            <w:tcW w:w="2552"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9,695,939,505.01</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92,817,141.91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235,083,625.72</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0" w:right="41" w:firstLine="359"/>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469,635.30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8,449,551.54</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0" w:right="41" w:firstLine="359"/>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9,394,287,885.01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9,939,472,682.27</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0" w:right="41" w:firstLine="359"/>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145,091,199.71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175,668,915.67</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8,629,736,232.36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9,631,610,322.16</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0" w:right="41" w:firstLine="359"/>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518,122,855.26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128,106,522.49</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9,292,950,287.33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9,935,385,760.32</w:t>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000"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101,337,597.68</w:t>
            </w:r>
          </w:p>
        </w:tc>
        <w:tc>
          <w:tcPr>
            <w:tcW w:w="2552"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4,086,921.95</w:t>
            </w:r>
          </w:p>
        </w:tc>
      </w:tr>
      <w:tr>
        <w:trPr>
          <w:trHeight w:val="310"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0"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0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70"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000" w:type="dxa"/>
            <w:tcBorders>
              <w:top w:val="single" w:sz="6" w:space="0" w:color="D2D2D2"/>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37,840,000.00</w:t>
            </w:r>
          </w:p>
        </w:tc>
        <w:tc>
          <w:tcPr>
            <w:tcW w:w="2552"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24,970,000.00</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0" w:right="41" w:firstLine="359"/>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37,840,000.00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24,970,000.00</w:t>
            </w: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244,846,302.00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180,944,790.10</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0"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282,686,302.00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205,914,790.10</w:t>
            </w: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179,770,412.14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155,692,218.62</w:t>
            </w:r>
          </w:p>
        </w:tc>
      </w:tr>
      <w:tr>
        <w:trPr>
          <w:trHeight w:val="559"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0" w:right="41" w:firstLine="359"/>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537,466,133.14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214,303,443.42</w:t>
            </w:r>
          </w:p>
        </w:tc>
      </w:tr>
    </w:tbl>
    <w:p>
      <w:pPr>
        <w:spacing w:after="0" w:line="240" w:lineRule="auto"/>
        <w:jc w:val="right"/>
        <w:rPr>
          <w:rFonts w:ascii="Times New Roman" w:hAnsi="Times New Roman" w:cs="Times New Roman" w:eastAsia="Times New Roman" w:hint="default"/>
          <w:sz w:val="18"/>
          <w:szCs w:val="18"/>
        </w:rPr>
        <w:sectPr>
          <w:pgSz w:w="11910" w:h="16840"/>
          <w:pgMar w:header="733" w:footer="977" w:top="960" w:bottom="116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tbl>
      <w:tblPr>
        <w:tblW w:w="0" w:type="auto"/>
        <w:jc w:val="left"/>
        <w:tblInd w:w="144" w:type="dxa"/>
        <w:tblLayout w:type="fixed"/>
        <w:tblCellMar>
          <w:top w:w="0" w:type="dxa"/>
          <w:left w:w="0" w:type="dxa"/>
          <w:bottom w:w="0" w:type="dxa"/>
          <w:right w:w="0" w:type="dxa"/>
        </w:tblCellMar>
        <w:tblLook w:val="01E0"/>
      </w:tblPr>
      <w:tblGrid>
        <w:gridCol w:w="2944"/>
        <w:gridCol w:w="3000"/>
        <w:gridCol w:w="2552"/>
      </w:tblGrid>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0" w:right="41" w:firstLine="359"/>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49,180,393.98</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50,209,500.00</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113,006,514.72</w:t>
            </w: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830,243,060.00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369,995,662.04</w:t>
            </w: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-547,556,758.00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-164,080,871.94</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0"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12,166,772.22</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-16,395,835.43</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532,881,420.11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496,060,347.93</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3,701,187,691.11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3,205,127,343.18</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4,234,069,111.22</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3,701,187,691.11</w:t>
            </w:r>
          </w:p>
        </w:tc>
      </w:tr>
    </w:tbl>
    <w:p>
      <w:pPr>
        <w:spacing w:line="240" w:lineRule="auto" w:before="5"/>
        <w:rPr>
          <w:rFonts w:ascii="Times New Roman" w:hAnsi="Times New Roman" w:cs="Times New Roman" w:eastAsia="Times New Roman" w:hint="default"/>
          <w:sz w:val="19"/>
          <w:szCs w:val="19"/>
        </w:rPr>
      </w:pPr>
    </w:p>
    <w:p>
      <w:pPr>
        <w:pStyle w:val="BodyText"/>
        <w:tabs>
          <w:tab w:pos="2954" w:val="left" w:leader="none"/>
          <w:tab w:pos="6356" w:val="left" w:leader="none"/>
        </w:tabs>
        <w:spacing w:line="240" w:lineRule="auto" w:before="44"/>
        <w:ind w:left="0" w:right="1791"/>
        <w:jc w:val="right"/>
      </w:pPr>
      <w:r>
        <w:rPr>
          <w:spacing w:val="-3"/>
        </w:rPr>
        <w:t>法定代表人：黄跃珍</w:t>
        <w:tab/>
      </w:r>
      <w:r>
        <w:rPr>
          <w:spacing w:val="-2"/>
        </w:rPr>
        <w:t>主管会计工作负责人：蒋春晨</w:t>
        <w:tab/>
      </w:r>
      <w:r>
        <w:rPr>
          <w:spacing w:val="-3"/>
        </w:rPr>
        <w:t>会计机构负责人：惠小绒</w:t>
      </w:r>
    </w:p>
    <w:p>
      <w:pPr>
        <w:spacing w:line="240" w:lineRule="auto" w:before="10"/>
        <w:rPr>
          <w:rFonts w:ascii="宋体" w:hAnsi="宋体" w:cs="宋体" w:eastAsia="宋体" w:hint="default"/>
          <w:sz w:val="22"/>
          <w:szCs w:val="22"/>
        </w:rPr>
      </w:pPr>
    </w:p>
    <w:p>
      <w:pPr>
        <w:pStyle w:val="Heading4"/>
        <w:spacing w:line="240" w:lineRule="auto"/>
        <w:ind w:left="138" w:right="168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9"/>
        <w:rPr>
          <w:rFonts w:ascii="宋体" w:hAnsi="宋体" w:cs="宋体" w:eastAsia="宋体" w:hint="default"/>
          <w:b/>
          <w:bCs/>
          <w:sz w:val="21"/>
          <w:szCs w:val="21"/>
        </w:rPr>
      </w:pPr>
    </w:p>
    <w:p>
      <w:pPr>
        <w:pStyle w:val="BodyText"/>
        <w:spacing w:line="240" w:lineRule="auto"/>
        <w:ind w:left="0" w:right="1791"/>
        <w:jc w:val="right"/>
      </w:pPr>
      <w:r>
        <w:rPr/>
        <w:t>单位：元</w:t>
      </w:r>
    </w:p>
    <w:p>
      <w:pPr>
        <w:spacing w:line="240" w:lineRule="auto" w:before="5"/>
        <w:rPr>
          <w:rFonts w:ascii="宋体" w:hAnsi="宋体" w:cs="宋体" w:eastAsia="宋体" w:hint="default"/>
          <w:sz w:val="5"/>
          <w:szCs w:val="5"/>
        </w:rPr>
      </w:pPr>
    </w:p>
    <w:tbl>
      <w:tblPr>
        <w:tblW w:w="0" w:type="auto"/>
        <w:jc w:val="left"/>
        <w:tblInd w:w="144" w:type="dxa"/>
        <w:tblLayout w:type="fixed"/>
        <w:tblCellMar>
          <w:top w:w="0" w:type="dxa"/>
          <w:left w:w="0" w:type="dxa"/>
          <w:bottom w:w="0" w:type="dxa"/>
          <w:right w:w="0" w:type="dxa"/>
        </w:tblCellMar>
        <w:tblLook w:val="01E0"/>
      </w:tblPr>
      <w:tblGrid>
        <w:gridCol w:w="2944"/>
        <w:gridCol w:w="3000"/>
        <w:gridCol w:w="2552"/>
      </w:tblGrid>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1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1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0"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0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000"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2,033,536,178.74</w:t>
            </w:r>
          </w:p>
        </w:tc>
        <w:tc>
          <w:tcPr>
            <w:tcW w:w="2552"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2,583,195,388.59</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89,621,655.81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97,207,160.03</w:t>
            </w: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222,064,678.28</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211,560,174.32</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2,345,222,512.83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2,891,962,722.94</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1,277,209,109.89</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1,595,304,070.16</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left="370"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34" w:lineRule="exact"/>
              <w:ind w:left="10"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346,982,666.91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422,165,401.34</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140,431,131.98</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199,137,589.49</w:t>
            </w: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340,259,266.84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365,616,381.35</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2,104,882,175.62</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2,582,223,442.34</w:t>
            </w: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00"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240,340,337.21</w:t>
            </w:r>
          </w:p>
        </w:tc>
        <w:tc>
          <w:tcPr>
            <w:tcW w:w="2552"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309,739,280.60</w:t>
            </w:r>
          </w:p>
        </w:tc>
      </w:tr>
      <w:tr>
        <w:trPr>
          <w:trHeight w:val="310"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0"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0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70"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000" w:type="dxa"/>
            <w:tcBorders>
              <w:top w:val="single" w:sz="6" w:space="0" w:color="D2D2D2"/>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1,337,227,107.80</w:t>
            </w:r>
          </w:p>
        </w:tc>
        <w:tc>
          <w:tcPr>
            <w:tcW w:w="2552"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3,001,129,505.01</w:t>
            </w: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16,945,699.53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424,284,099.12</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0" w:right="41" w:firstLine="359"/>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184,896.35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2,990,375.99</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0" w:right="41" w:firstLine="359"/>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1,354,357,703.68</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3,428,403,980.12</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0" w:right="41" w:firstLine="359"/>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27,327,035.14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39,476,751.64</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1,274,619,047.48</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2,863,870,322.16</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0" w:right="41" w:firstLine="359"/>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1,301,946,082.62</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2,903,347,073.80</w:t>
            </w:r>
          </w:p>
        </w:tc>
      </w:tr>
    </w:tbl>
    <w:p>
      <w:pPr>
        <w:spacing w:after="0" w:line="240" w:lineRule="auto"/>
        <w:jc w:val="right"/>
        <w:rPr>
          <w:rFonts w:ascii="Times New Roman" w:hAnsi="Times New Roman" w:cs="Times New Roman" w:eastAsia="Times New Roman" w:hint="default"/>
          <w:sz w:val="18"/>
          <w:szCs w:val="18"/>
        </w:rPr>
        <w:sectPr>
          <w:pgSz w:w="11910" w:h="16840"/>
          <w:pgMar w:header="733" w:footer="977" w:top="960" w:bottom="1160" w:left="166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tbl>
      <w:tblPr>
        <w:tblW w:w="0" w:type="auto"/>
        <w:jc w:val="left"/>
        <w:tblInd w:w="144" w:type="dxa"/>
        <w:tblLayout w:type="fixed"/>
        <w:tblCellMar>
          <w:top w:w="0" w:type="dxa"/>
          <w:left w:w="0" w:type="dxa"/>
          <w:bottom w:w="0" w:type="dxa"/>
          <w:right w:w="0" w:type="dxa"/>
        </w:tblCellMar>
        <w:tblLook w:val="01E0"/>
      </w:tblPr>
      <w:tblGrid>
        <w:gridCol w:w="2944"/>
        <w:gridCol w:w="3000"/>
        <w:gridCol w:w="2552"/>
      </w:tblGrid>
      <w:tr>
        <w:trPr>
          <w:trHeight w:val="330"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000" w:type="dxa"/>
            <w:tcBorders>
              <w:top w:val="single" w:sz="4" w:space="0" w:color="000000"/>
              <w:left w:val="single" w:sz="13" w:space="0" w:color="D2D2D2"/>
              <w:bottom w:val="single" w:sz="9" w:space="0" w:color="D2D2D2"/>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52,411,621.06</w:t>
            </w:r>
          </w:p>
        </w:tc>
        <w:tc>
          <w:tcPr>
            <w:tcW w:w="2552"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525,056,906.32</w:t>
            </w:r>
          </w:p>
        </w:tc>
      </w:tr>
      <w:tr>
        <w:trPr>
          <w:trHeight w:val="31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10"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0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70"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000" w:type="dxa"/>
            <w:tcBorders>
              <w:top w:val="single" w:sz="10" w:space="0" w:color="D2D2D2"/>
              <w:left w:val="single" w:sz="13" w:space="0" w:color="D2D2D2"/>
              <w:bottom w:val="single" w:sz="4" w:space="0" w:color="000000"/>
              <w:right w:val="single" w:sz="4" w:space="0" w:color="000000"/>
            </w:tcBorders>
          </w:tcPr>
          <w:p>
            <w:pPr/>
          </w:p>
        </w:tc>
        <w:tc>
          <w:tcPr>
            <w:tcW w:w="2552" w:type="dxa"/>
            <w:tcBorders>
              <w:top w:val="single" w:sz="10" w:space="0" w:color="D2D2D2"/>
              <w:left w:val="single" w:sz="4" w:space="0" w:color="000000"/>
              <w:bottom w:val="single" w:sz="4" w:space="0" w:color="000000"/>
              <w:right w:val="single" w:sz="4" w:space="0" w:color="000000"/>
            </w:tcBorders>
          </w:tcPr>
          <w:p>
            <w:pP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0"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0"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000"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0" w:right="41" w:firstLine="359"/>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485,777,145.00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161,925,715.00</w:t>
            </w:r>
          </w:p>
        </w:tc>
      </w:tr>
      <w:tr>
        <w:trPr>
          <w:trHeight w:val="32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113,006,514.72</w:t>
            </w:r>
          </w:p>
        </w:tc>
        <w:tc>
          <w:tcPr>
            <w:tcW w:w="25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598,783,659.72</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161,925,715.00</w:t>
            </w:r>
          </w:p>
        </w:tc>
      </w:tr>
      <w:tr>
        <w:trPr>
          <w:trHeight w:val="32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-598,783,659.72</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-161,925,715.00</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0"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31,870,797.77</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-11,532,707.47</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-274,160,903.68</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661,337,764.45</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1,980,103,849.94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1,318,766,085.49</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0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1,705,942,946.26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1,980,103,849.94</w:t>
            </w:r>
          </w:p>
        </w:tc>
      </w:tr>
    </w:tbl>
    <w:p>
      <w:pPr>
        <w:spacing w:line="240" w:lineRule="auto" w:before="0"/>
        <w:rPr>
          <w:rFonts w:ascii="宋体" w:hAnsi="宋体" w:cs="宋体" w:eastAsia="宋体" w:hint="default"/>
          <w:sz w:val="17"/>
          <w:szCs w:val="17"/>
        </w:rPr>
      </w:pPr>
    </w:p>
    <w:p>
      <w:pPr>
        <w:pStyle w:val="BodyText"/>
        <w:tabs>
          <w:tab w:pos="3004" w:val="left" w:leader="none"/>
          <w:tab w:pos="6496" w:val="left" w:leader="none"/>
        </w:tabs>
        <w:spacing w:line="240" w:lineRule="auto" w:before="44"/>
        <w:ind w:left="138" w:right="1683"/>
        <w:jc w:val="left"/>
      </w:pPr>
      <w:r>
        <w:rPr>
          <w:spacing w:val="-3"/>
        </w:rPr>
        <w:t>法定代表人：黄跃珍</w:t>
        <w:tab/>
      </w:r>
      <w:r>
        <w:rPr>
          <w:spacing w:val="-2"/>
        </w:rPr>
        <w:t>主管会计工作负责人：蒋春晨</w:t>
        <w:tab/>
      </w:r>
      <w:r>
        <w:rPr>
          <w:spacing w:val="-3"/>
        </w:rPr>
        <w:t>会计机构负责人：惠小绒</w:t>
      </w:r>
    </w:p>
    <w:p>
      <w:pPr>
        <w:spacing w:line="240" w:lineRule="auto" w:before="10"/>
        <w:rPr>
          <w:rFonts w:ascii="宋体" w:hAnsi="宋体" w:cs="宋体" w:eastAsia="宋体" w:hint="default"/>
          <w:sz w:val="22"/>
          <w:szCs w:val="22"/>
        </w:rPr>
      </w:pPr>
    </w:p>
    <w:p>
      <w:pPr>
        <w:pStyle w:val="Heading4"/>
        <w:spacing w:line="240" w:lineRule="auto"/>
        <w:ind w:left="138" w:right="168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5"/>
        <w:rPr>
          <w:rFonts w:ascii="宋体" w:hAnsi="宋体" w:cs="宋体" w:eastAsia="宋体" w:hint="default"/>
          <w:b/>
          <w:bCs/>
          <w:sz w:val="18"/>
          <w:szCs w:val="18"/>
        </w:rPr>
      </w:pPr>
    </w:p>
    <w:p>
      <w:pPr>
        <w:pStyle w:val="BodyText"/>
        <w:spacing w:line="240" w:lineRule="auto" w:before="44"/>
        <w:ind w:left="138" w:right="1683"/>
        <w:jc w:val="left"/>
      </w:pPr>
      <w:r>
        <w:rPr/>
        <w:t>本期金额</w:t>
      </w:r>
    </w:p>
    <w:p>
      <w:pPr>
        <w:pStyle w:val="BodyText"/>
        <w:spacing w:line="240" w:lineRule="auto" w:before="38"/>
        <w:ind w:left="0" w:right="1791"/>
        <w:jc w:val="right"/>
      </w:pPr>
      <w:r>
        <w:rPr/>
        <w:pict>
          <v:group style="position:absolute;margin-left:89.424011pt;margin-top:16.971741pt;width:468.6pt;height:315.55pt;mso-position-horizontal-relative:page;mso-position-vertical-relative:paragraph;z-index:-1289248" coordorigin="1788,339" coordsize="9372,6311">
            <v:group style="position:absolute;left:1803;top:354;width:1428;height:603" coordorigin="1803,354" coordsize="1428,603">
              <v:shape style="position:absolute;left:1803;top:354;width:1428;height:603" coordorigin="1803,354" coordsize="1428,603" path="m1803,956l3231,956,3231,354,1803,354,1803,956xe" filled="true" fillcolor="#d2d2d2" stroked="false">
                <v:path arrowok="t"/>
                <v:fill type="solid"/>
              </v:shape>
            </v:group>
            <v:group style="position:absolute;left:1814;top:956;width:2;height:312" coordorigin="1814,956" coordsize="2,312">
              <v:shape style="position:absolute;left:1814;top:956;width:2;height:312" coordorigin="1814,956" coordsize="0,312" path="m1814,956l1814,1268e" filled="false" stroked="true" strokeweight="1.08pt" strokecolor="#d2d2d2">
                <v:path arrowok="t"/>
              </v:shape>
            </v:group>
            <v:group style="position:absolute;left:3219;top:956;width:2;height:312" coordorigin="3219,956" coordsize="2,312">
              <v:shape style="position:absolute;left:3219;top:956;width:2;height:312" coordorigin="3219,956" coordsize="0,312" path="m3219,956l3219,1268e" filled="false" stroked="true" strokeweight="1.2pt" strokecolor="#d2d2d2">
                <v:path arrowok="t"/>
              </v:shape>
            </v:group>
            <v:group style="position:absolute;left:1803;top:1268;width:1428;height:603" coordorigin="1803,1268" coordsize="1428,603">
              <v:shape style="position:absolute;left:1803;top:1268;width:1428;height:603" coordorigin="1803,1268" coordsize="1428,603" path="m1803,1871l3231,1871,3231,1268,1803,1268,1803,1871xe" filled="true" fillcolor="#d2d2d2" stroked="false">
                <v:path arrowok="t"/>
                <v:fill type="solid"/>
              </v:shape>
            </v:group>
            <v:group style="position:absolute;left:1824;top:956;width:1383;height:312" coordorigin="1824,956" coordsize="1383,312">
              <v:shape style="position:absolute;left:1824;top:956;width:1383;height:312" coordorigin="1824,956" coordsize="1383,312" path="m1824,1268l3207,1268,3207,956,1824,956,1824,1268xe" filled="true" fillcolor="#d2d2d2" stroked="false">
                <v:path arrowok="t"/>
                <v:fill type="solid"/>
              </v:shape>
            </v:group>
            <v:group style="position:absolute;left:3252;top:354;width:2;height:312" coordorigin="3252,354" coordsize="2,312">
              <v:shape style="position:absolute;left:3252;top:354;width:2;height:312" coordorigin="3252,354" coordsize="0,312" path="m3252,354l3252,666e" filled="false" stroked="true" strokeweight="1.2pt" strokecolor="#d2d2d2">
                <v:path arrowok="t"/>
              </v:shape>
            </v:group>
            <v:group style="position:absolute;left:11138;top:354;width:2;height:312" coordorigin="11138,354" coordsize="2,312">
              <v:shape style="position:absolute;left:11138;top:354;width:2;height:312" coordorigin="11138,354" coordsize="0,312" path="m11138,354l11138,666e" filled="false" stroked="true" strokeweight="1.2pt" strokecolor="#d2d2d2">
                <v:path arrowok="t"/>
              </v:shape>
            </v:group>
            <v:group style="position:absolute;left:3264;top:354;width:7862;height:312" coordorigin="3264,354" coordsize="7862,312">
              <v:shape style="position:absolute;left:3264;top:354;width:7862;height:312" coordorigin="3264,354" coordsize="7862,312" path="m3264,666l11126,666,11126,354,3264,354,3264,666xe" filled="true" fillcolor="#d2d2d2" stroked="false">
                <v:path arrowok="t"/>
                <v:fill type="solid"/>
              </v:shape>
            </v:group>
            <v:group style="position:absolute;left:1803;top:349;width:1428;height:2" coordorigin="1803,349" coordsize="1428,2">
              <v:shape style="position:absolute;left:1803;top:349;width:1428;height:2" coordorigin="1803,349" coordsize="1428,0" path="m1803,349l3231,349e" filled="false" stroked="true" strokeweight=".47998pt" strokecolor="#000000">
                <v:path arrowok="t"/>
              </v:shape>
            </v:group>
            <v:group style="position:absolute;left:3240;top:349;width:7910;height:2" coordorigin="3240,349" coordsize="7910,2">
              <v:shape style="position:absolute;left:3240;top:349;width:7910;height:2" coordorigin="3240,349" coordsize="7910,0" path="m3240,349l11150,349e" filled="false" stroked="true" strokeweight=".47998pt" strokecolor="#000000">
                <v:path arrowok="t"/>
              </v:shape>
            </v:group>
            <v:group style="position:absolute;left:3252;top:678;width:2;height:312" coordorigin="3252,678" coordsize="2,312">
              <v:shape style="position:absolute;left:3252;top:678;width:2;height:312" coordorigin="3252,678" coordsize="0,312" path="m3252,678l3252,990e" filled="false" stroked="true" strokeweight="1.2pt" strokecolor="#d2d2d2">
                <v:path arrowok="t"/>
              </v:shape>
            </v:group>
            <v:group style="position:absolute;left:9721;top:678;width:2;height:312" coordorigin="9721,678" coordsize="2,312">
              <v:shape style="position:absolute;left:9721;top:678;width:2;height:312" coordorigin="9721,678" coordsize="0,312" path="m9721,678l9721,990e" filled="false" stroked="true" strokeweight="1.08pt" strokecolor="#d2d2d2">
                <v:path arrowok="t"/>
              </v:shape>
            </v:group>
            <v:group style="position:absolute;left:3264;top:678;width:6446;height:312" coordorigin="3264,678" coordsize="6446,312">
              <v:shape style="position:absolute;left:3264;top:678;width:6446;height:312" coordorigin="3264,678" coordsize="6446,312" path="m3264,990l9710,990,9710,678,3264,678,3264,990xe" filled="true" fillcolor="#d2d2d2" stroked="false">
                <v:path arrowok="t"/>
                <v:fill type="solid"/>
              </v:shape>
            </v:group>
            <v:group style="position:absolute;left:9741;top:678;width:701;height:322" coordorigin="9741,678" coordsize="701,322">
              <v:shape style="position:absolute;left:9741;top:678;width:701;height:322" coordorigin="9741,678" coordsize="701,322" path="m9741,999l10442,999,10442,678,9741,678,9741,999xe" filled="true" fillcolor="#d2d2d2" stroked="false">
                <v:path arrowok="t"/>
                <v:fill type="solid"/>
              </v:shape>
            </v:group>
            <v:group style="position:absolute;left:9753;top:999;width:2;height:548" coordorigin="9753,999" coordsize="2,548">
              <v:shape style="position:absolute;left:9753;top:999;width:2;height:548" coordorigin="9753,999" coordsize="0,548" path="m9753,999l9753,1547e" filled="false" stroked="true" strokeweight="1.2pt" strokecolor="#d2d2d2">
                <v:path arrowok="t"/>
              </v:shape>
            </v:group>
            <v:group style="position:absolute;left:10430;top:999;width:2;height:548" coordorigin="10430,999" coordsize="2,548">
              <v:shape style="position:absolute;left:10430;top:999;width:2;height:548" coordorigin="10430,999" coordsize="0,548" path="m10430,999l10430,1547e" filled="false" stroked="true" strokeweight="1.2pt" strokecolor="#d2d2d2">
                <v:path arrowok="t"/>
              </v:shape>
            </v:group>
            <v:group style="position:absolute;left:9741;top:1547;width:701;height:324" coordorigin="9741,1547" coordsize="701,324">
              <v:shape style="position:absolute;left:9741;top:1547;width:701;height:324" coordorigin="9741,1547" coordsize="701,324" path="m9741,1871l10442,1871,10442,1547,9741,1547,9741,1871xe" filled="true" fillcolor="#d2d2d2" stroked="false">
                <v:path arrowok="t"/>
                <v:fill type="solid"/>
              </v:shape>
            </v:group>
            <v:group style="position:absolute;left:9765;top:999;width:653;height:274" coordorigin="9765,999" coordsize="653,274">
              <v:shape style="position:absolute;left:9765;top:999;width:653;height:274" coordorigin="9765,999" coordsize="653,274" path="m9765,1273l10418,1273,10418,999,9765,999,9765,1273xe" filled="true" fillcolor="#d2d2d2" stroked="false">
                <v:path arrowok="t"/>
                <v:fill type="solid"/>
              </v:shape>
            </v:group>
            <v:group style="position:absolute;left:9765;top:1273;width:653;height:274" coordorigin="9765,1273" coordsize="653,274">
              <v:shape style="position:absolute;left:9765;top:1273;width:653;height:274" coordorigin="9765,1273" coordsize="653,274" path="m9765,1547l10418,1547,10418,1273,9765,1273,9765,1547xe" filled="true" fillcolor="#d2d2d2" stroked="false">
                <v:path arrowok="t"/>
                <v:fill type="solid"/>
              </v:shape>
            </v:group>
            <v:group style="position:absolute;left:10452;top:678;width:699;height:207" coordorigin="10452,678" coordsize="699,207">
              <v:shape style="position:absolute;left:10452;top:678;width:699;height:207" coordorigin="10452,678" coordsize="699,207" path="m10452,884l11150,884,11150,678,10452,678,10452,884xe" filled="true" fillcolor="#d2d2d2" stroked="false">
                <v:path arrowok="t"/>
                <v:fill type="solid"/>
              </v:shape>
            </v:group>
            <v:group style="position:absolute;left:10462;top:884;width:2;height:780" coordorigin="10462,884" coordsize="2,780">
              <v:shape style="position:absolute;left:10462;top:884;width:2;height:780" coordorigin="10462,884" coordsize="0,780" path="m10462,884l10462,1664e" filled="false" stroked="true" strokeweight="1.08pt" strokecolor="#d2d2d2">
                <v:path arrowok="t"/>
              </v:shape>
            </v:group>
            <v:group style="position:absolute;left:11138;top:884;width:2;height:780" coordorigin="11138,884" coordsize="2,780">
              <v:shape style="position:absolute;left:11138;top:884;width:2;height:780" coordorigin="11138,884" coordsize="0,780" path="m11138,884l11138,1664e" filled="false" stroked="true" strokeweight="1.2pt" strokecolor="#d2d2d2">
                <v:path arrowok="t"/>
              </v:shape>
            </v:group>
            <v:group style="position:absolute;left:10452;top:1664;width:699;height:207" coordorigin="10452,1664" coordsize="699,207">
              <v:shape style="position:absolute;left:10452;top:1664;width:699;height:207" coordorigin="10452,1664" coordsize="699,207" path="m10452,1871l11150,1871,11150,1664,10452,1664,10452,1871xe" filled="true" fillcolor="#d2d2d2" stroked="false">
                <v:path arrowok="t"/>
                <v:fill type="solid"/>
              </v:shape>
            </v:group>
            <v:group style="position:absolute;left:10473;top:884;width:653;height:274" coordorigin="10473,884" coordsize="653,274">
              <v:shape style="position:absolute;left:10473;top:884;width:653;height:274" coordorigin="10473,884" coordsize="653,274" path="m10473,1158l11126,1158,11126,884,10473,884,10473,1158xe" filled="true" fillcolor="#d2d2d2" stroked="false">
                <v:path arrowok="t"/>
                <v:fill type="solid"/>
              </v:shape>
            </v:group>
            <v:group style="position:absolute;left:10473;top:1158;width:653;height:233" coordorigin="10473,1158" coordsize="653,233">
              <v:shape style="position:absolute;left:10473;top:1158;width:653;height:233" coordorigin="10473,1158" coordsize="653,233" path="m10473,1391l11126,1391,11126,1158,10473,1158,10473,1391xe" filled="true" fillcolor="#d2d2d2" stroked="false">
                <v:path arrowok="t"/>
                <v:fill type="solid"/>
              </v:shape>
            </v:group>
            <v:group style="position:absolute;left:10473;top:1391;width:653;height:274" coordorigin="10473,1391" coordsize="653,274">
              <v:shape style="position:absolute;left:10473;top:1391;width:653;height:274" coordorigin="10473,1391" coordsize="653,274" path="m10473,1664l11126,1664,11126,1391,10473,1391,10473,1664xe" filled="true" fillcolor="#d2d2d2" stroked="false">
                <v:path arrowok="t"/>
                <v:fill type="solid"/>
              </v:shape>
            </v:group>
            <v:group style="position:absolute;left:3240;top:671;width:6494;height:2" coordorigin="3240,671" coordsize="6494,2">
              <v:shape style="position:absolute;left:3240;top:671;width:6494;height:2" coordorigin="3240,671" coordsize="6494,0" path="m3240,671l9734,671e" filled="false" stroked="true" strokeweight=".48001pt" strokecolor="#000000">
                <v:path arrowok="t"/>
              </v:shape>
            </v:group>
            <v:group style="position:absolute;left:9744;top:671;width:699;height:2" coordorigin="9744,671" coordsize="699,2">
              <v:shape style="position:absolute;left:9744;top:671;width:699;height:2" coordorigin="9744,671" coordsize="699,0" path="m9744,671l10442,671e" filled="false" stroked="true" strokeweight=".48001pt" strokecolor="#000000">
                <v:path arrowok="t"/>
              </v:shape>
            </v:group>
            <v:group style="position:absolute;left:10452;top:671;width:699;height:2" coordorigin="10452,671" coordsize="699,2">
              <v:shape style="position:absolute;left:10452;top:671;width:699;height:2" coordorigin="10452,671" coordsize="699,0" path="m10452,671l11150,671e" filled="false" stroked="true" strokeweight=".48001pt" strokecolor="#000000">
                <v:path arrowok="t"/>
              </v:shape>
            </v:group>
            <v:group style="position:absolute;left:1798;top:344;width:2;height:646" coordorigin="1798,344" coordsize="2,646">
              <v:shape style="position:absolute;left:1798;top:344;width:2;height:646" coordorigin="1798,344" coordsize="0,646" path="m1798,344l1798,990e" filled="false" stroked="true" strokeweight=".48pt" strokecolor="#000000">
                <v:path arrowok="t"/>
              </v:shape>
            </v:group>
            <v:group style="position:absolute;left:3240;top:999;width:552;height:279" coordorigin="3240,999" coordsize="552,279">
              <v:shape style="position:absolute;left:3240;top:999;width:552;height:279" coordorigin="3240,999" coordsize="552,279" path="m3240,1278l3792,1278,3792,999,3240,999,3240,1278xe" filled="true" fillcolor="#d2d2d2" stroked="false">
                <v:path arrowok="t"/>
                <v:fill type="solid"/>
              </v:shape>
            </v:group>
            <v:group style="position:absolute;left:3252;top:1278;width:2;height:315" coordorigin="3252,1278" coordsize="2,315">
              <v:shape style="position:absolute;left:3252;top:1278;width:2;height:315" coordorigin="3252,1278" coordsize="0,315" path="m3252,1278l3252,1592e" filled="false" stroked="true" strokeweight="1.2pt" strokecolor="#d2d2d2">
                <v:path arrowok="t"/>
              </v:shape>
            </v:group>
            <v:group style="position:absolute;left:3780;top:1278;width:2;height:315" coordorigin="3780,1278" coordsize="2,315">
              <v:shape style="position:absolute;left:3780;top:1278;width:2;height:315" coordorigin="3780,1278" coordsize="0,315" path="m3780,1278l3780,1592e" filled="false" stroked="true" strokeweight="1.2pt" strokecolor="#d2d2d2">
                <v:path arrowok="t"/>
              </v:shape>
            </v:group>
            <v:group style="position:absolute;left:3240;top:1592;width:552;height:279" coordorigin="3240,1592" coordsize="552,279">
              <v:shape style="position:absolute;left:3240;top:1592;width:552;height:279" coordorigin="3240,1592" coordsize="552,279" path="m3240,1871l3792,1871,3792,1592,3240,1592,3240,1871xe" filled="true" fillcolor="#d2d2d2" stroked="false">
                <v:path arrowok="t"/>
                <v:fill type="solid"/>
              </v:shape>
            </v:group>
            <v:group style="position:absolute;left:3264;top:1278;width:504;height:315" coordorigin="3264,1278" coordsize="504,315">
              <v:shape style="position:absolute;left:3264;top:1278;width:504;height:315" coordorigin="3264,1278" coordsize="504,315" path="m3264,1592l3768,1592,3768,1278,3264,1278,3264,1592xe" filled="true" fillcolor="#d2d2d2" stroked="false">
                <v:path arrowok="t"/>
                <v:fill type="solid"/>
              </v:shape>
            </v:group>
            <v:group style="position:absolute;left:3814;top:999;width:2;height:315" coordorigin="3814,999" coordsize="2,315">
              <v:shape style="position:absolute;left:3814;top:999;width:2;height:315" coordorigin="3814,999" coordsize="0,315" path="m3814,999l3814,1314e" filled="false" stroked="true" strokeweight="1.224pt" strokecolor="#d2d2d2">
                <v:path arrowok="t"/>
              </v:shape>
            </v:group>
            <v:group style="position:absolute;left:5042;top:999;width:2;height:315" coordorigin="5042,999" coordsize="2,315">
              <v:shape style="position:absolute;left:5042;top:999;width:2;height:315" coordorigin="5042,999" coordsize="0,315" path="m5042,999l5042,1314e" filled="false" stroked="true" strokeweight="1.08pt" strokecolor="#d2d2d2">
                <v:path arrowok="t"/>
              </v:shape>
            </v:group>
            <v:group style="position:absolute;left:3827;top:999;width:1205;height:315" coordorigin="3827,999" coordsize="1205,315">
              <v:shape style="position:absolute;left:3827;top:999;width:1205;height:315" coordorigin="3827,999" coordsize="1205,315" path="m3827,1314l5031,1314,5031,999,3827,999,3827,1314xe" filled="true" fillcolor="#d2d2d2" stroked="false">
                <v:path arrowok="t"/>
                <v:fill type="solid"/>
              </v:shape>
            </v:group>
            <v:group style="position:absolute;left:5065;top:999;width:840;height:279" coordorigin="5065,999" coordsize="840,279">
              <v:shape style="position:absolute;left:5065;top:999;width:840;height:279" coordorigin="5065,999" coordsize="840,279" path="m5065,1278l5905,1278,5905,999,5065,999,5065,1278xe" filled="true" fillcolor="#d2d2d2" stroked="false">
                <v:path arrowok="t"/>
                <v:fill type="solid"/>
              </v:shape>
            </v:group>
            <v:group style="position:absolute;left:5076;top:1278;width:2;height:315" coordorigin="5076,1278" coordsize="2,315">
              <v:shape style="position:absolute;left:5076;top:1278;width:2;height:315" coordorigin="5076,1278" coordsize="0,315" path="m5076,1278l5076,1592e" filled="false" stroked="true" strokeweight="1.08pt" strokecolor="#d2d2d2">
                <v:path arrowok="t"/>
              </v:shape>
            </v:group>
            <v:group style="position:absolute;left:5893;top:1278;width:2;height:315" coordorigin="5893,1278" coordsize="2,315">
              <v:shape style="position:absolute;left:5893;top:1278;width:2;height:315" coordorigin="5893,1278" coordsize="0,315" path="m5893,1278l5893,1592e" filled="false" stroked="true" strokeweight="1.2pt" strokecolor="#d2d2d2">
                <v:path arrowok="t"/>
              </v:shape>
            </v:group>
            <v:group style="position:absolute;left:5065;top:1592;width:840;height:279" coordorigin="5065,1592" coordsize="840,279">
              <v:shape style="position:absolute;left:5065;top:1592;width:840;height:279" coordorigin="5065,1592" coordsize="840,279" path="m5065,1871l5905,1871,5905,1592,5065,1592,5065,1871xe" filled="true" fillcolor="#d2d2d2" stroked="false">
                <v:path arrowok="t"/>
                <v:fill type="solid"/>
              </v:shape>
            </v:group>
            <v:group style="position:absolute;left:5915;top:999;width:558;height:164" coordorigin="5915,999" coordsize="558,164">
              <v:shape style="position:absolute;left:5915;top:999;width:558;height:164" coordorigin="5915,999" coordsize="558,164" path="m5915,1163l6472,1163,6472,999,5915,999,5915,1163xe" filled="true" fillcolor="#d2d2d2" stroked="false">
                <v:path arrowok="t"/>
                <v:fill type="solid"/>
              </v:shape>
            </v:group>
            <v:group style="position:absolute;left:5925;top:1163;width:2;height:548" coordorigin="5925,1163" coordsize="2,548">
              <v:shape style="position:absolute;left:5925;top:1163;width:2;height:548" coordorigin="5925,1163" coordsize="0,548" path="m5925,1163l5925,1710e" filled="false" stroked="true" strokeweight="1.08pt" strokecolor="#d2d2d2">
                <v:path arrowok="t"/>
              </v:shape>
            </v:group>
            <v:group style="position:absolute;left:6460;top:1163;width:2;height:548" coordorigin="6460,1163" coordsize="2,548">
              <v:shape style="position:absolute;left:6460;top:1163;width:2;height:548" coordorigin="6460,1163" coordsize="0,548" path="m6460,1163l6460,1710e" filled="false" stroked="true" strokeweight="1.2pt" strokecolor="#d2d2d2">
                <v:path arrowok="t"/>
              </v:shape>
            </v:group>
            <v:group style="position:absolute;left:5915;top:1710;width:558;height:161" coordorigin="5915,1710" coordsize="558,161">
              <v:shape style="position:absolute;left:5915;top:1710;width:558;height:161" coordorigin="5915,1710" coordsize="558,161" path="m5915,1871l6472,1871,6472,1710,5915,1710,5915,1871xe" filled="true" fillcolor="#d2d2d2" stroked="false">
                <v:path arrowok="t"/>
                <v:fill type="solid"/>
              </v:shape>
            </v:group>
            <v:group style="position:absolute;left:5936;top:1163;width:512;height:274" coordorigin="5936,1163" coordsize="512,274">
              <v:shape style="position:absolute;left:5936;top:1163;width:512;height:274" coordorigin="5936,1163" coordsize="512,274" path="m5936,1436l6448,1436,6448,1163,5936,1163,5936,1436xe" filled="true" fillcolor="#d2d2d2" stroked="false">
                <v:path arrowok="t"/>
                <v:fill type="solid"/>
              </v:shape>
            </v:group>
            <v:group style="position:absolute;left:5936;top:1436;width:512;height:274" coordorigin="5936,1436" coordsize="512,274">
              <v:shape style="position:absolute;left:5936;top:1436;width:512;height:274" coordorigin="5936,1436" coordsize="512,274" path="m5936,1710l6448,1710,6448,1436,5936,1436,5936,1710xe" filled="true" fillcolor="#d2d2d2" stroked="false">
                <v:path arrowok="t"/>
                <v:fill type="solid"/>
              </v:shape>
            </v:group>
            <v:group style="position:absolute;left:6481;top:999;width:699;height:164" coordorigin="6481,999" coordsize="699,164">
              <v:shape style="position:absolute;left:6481;top:999;width:699;height:164" coordorigin="6481,999" coordsize="699,164" path="m6481,1163l7180,1163,7180,999,6481,999,6481,1163xe" filled="true" fillcolor="#d2d2d2" stroked="false">
                <v:path arrowok="t"/>
                <v:fill type="solid"/>
              </v:shape>
            </v:group>
            <v:group style="position:absolute;left:6493;top:1163;width:2;height:548" coordorigin="6493,1163" coordsize="2,548">
              <v:shape style="position:absolute;left:6493;top:1163;width:2;height:548" coordorigin="6493,1163" coordsize="0,548" path="m6493,1163l6493,1710e" filled="false" stroked="true" strokeweight="1.2pt" strokecolor="#d2d2d2">
                <v:path arrowok="t"/>
              </v:shape>
            </v:group>
            <v:group style="position:absolute;left:7169;top:1163;width:2;height:548" coordorigin="7169,1163" coordsize="2,548">
              <v:shape style="position:absolute;left:7169;top:1163;width:2;height:548" coordorigin="7169,1163" coordsize="0,548" path="m7169,1163l7169,1710e" filled="false" stroked="true" strokeweight="1.08pt" strokecolor="#d2d2d2">
                <v:path arrowok="t"/>
              </v:shape>
            </v:group>
            <v:group style="position:absolute;left:6481;top:1710;width:699;height:161" coordorigin="6481,1710" coordsize="699,161">
              <v:shape style="position:absolute;left:6481;top:1710;width:699;height:161" coordorigin="6481,1710" coordsize="699,161" path="m6481,1871l7180,1871,7180,1710,6481,1710,6481,1871xe" filled="true" fillcolor="#d2d2d2" stroked="false">
                <v:path arrowok="t"/>
                <v:fill type="solid"/>
              </v:shape>
            </v:group>
            <v:group style="position:absolute;left:6505;top:1163;width:653;height:274" coordorigin="6505,1163" coordsize="653,274">
              <v:shape style="position:absolute;left:6505;top:1163;width:653;height:274" coordorigin="6505,1163" coordsize="653,274" path="m6505,1436l7158,1436,7158,1163,6505,1163,6505,1436xe" filled="true" fillcolor="#d2d2d2" stroked="false">
                <v:path arrowok="t"/>
                <v:fill type="solid"/>
              </v:shape>
            </v:group>
            <v:group style="position:absolute;left:6505;top:1436;width:653;height:274" coordorigin="6505,1436" coordsize="653,274">
              <v:shape style="position:absolute;left:6505;top:1436;width:653;height:274" coordorigin="6505,1436" coordsize="653,274" path="m6505,1710l7158,1710,7158,1436,6505,1436,6505,1710xe" filled="true" fillcolor="#d2d2d2" stroked="false">
                <v:path arrowok="t"/>
                <v:fill type="solid"/>
              </v:shape>
            </v:group>
            <v:group style="position:absolute;left:7189;top:999;width:416;height:164" coordorigin="7189,999" coordsize="416,164">
              <v:shape style="position:absolute;left:7189;top:999;width:416;height:164" coordorigin="7189,999" coordsize="416,164" path="m7189,1163l7605,1163,7605,999,7189,999,7189,1163xe" filled="true" fillcolor="#d2d2d2" stroked="false">
                <v:path arrowok="t"/>
                <v:fill type="solid"/>
              </v:shape>
            </v:group>
            <v:group style="position:absolute;left:7201;top:1163;width:2;height:548" coordorigin="7201,1163" coordsize="2,548">
              <v:shape style="position:absolute;left:7201;top:1163;width:2;height:548" coordorigin="7201,1163" coordsize="0,548" path="m7201,1163l7201,1710e" filled="false" stroked="true" strokeweight="1.2pt" strokecolor="#d2d2d2">
                <v:path arrowok="t"/>
              </v:shape>
            </v:group>
            <v:group style="position:absolute;left:7594;top:1163;width:2;height:548" coordorigin="7594,1163" coordsize="2,548">
              <v:shape style="position:absolute;left:7594;top:1163;width:2;height:548" coordorigin="7594,1163" coordsize="0,548" path="m7594,1163l7594,1710e" filled="false" stroked="true" strokeweight="1.08pt" strokecolor="#d2d2d2">
                <v:path arrowok="t"/>
              </v:shape>
            </v:group>
            <v:group style="position:absolute;left:7189;top:1710;width:416;height:161" coordorigin="7189,1710" coordsize="416,161">
              <v:shape style="position:absolute;left:7189;top:1710;width:416;height:161" coordorigin="7189,1710" coordsize="416,161" path="m7189,1871l7605,1871,7605,1710,7189,1710,7189,1871xe" filled="true" fillcolor="#d2d2d2" stroked="false">
                <v:path arrowok="t"/>
                <v:fill type="solid"/>
              </v:shape>
            </v:group>
            <v:group style="position:absolute;left:7213;top:1163;width:370;height:274" coordorigin="7213,1163" coordsize="370,274">
              <v:shape style="position:absolute;left:7213;top:1163;width:370;height:274" coordorigin="7213,1163" coordsize="370,274" path="m7213,1436l7583,1436,7583,1163,7213,1163,7213,1436xe" filled="true" fillcolor="#d2d2d2" stroked="false">
                <v:path arrowok="t"/>
                <v:fill type="solid"/>
              </v:shape>
            </v:group>
            <v:group style="position:absolute;left:7213;top:1436;width:370;height:274" coordorigin="7213,1436" coordsize="370,274">
              <v:shape style="position:absolute;left:7213;top:1436;width:370;height:274" coordorigin="7213,1436" coordsize="370,274" path="m7213,1710l7583,1710,7583,1436,7213,1436,7213,1710xe" filled="true" fillcolor="#d2d2d2" stroked="false">
                <v:path arrowok="t"/>
                <v:fill type="solid"/>
              </v:shape>
            </v:group>
            <v:group style="position:absolute;left:7617;top:999;width:699;height:164" coordorigin="7617,999" coordsize="699,164">
              <v:shape style="position:absolute;left:7617;top:999;width:699;height:164" coordorigin="7617,999" coordsize="699,164" path="m7617,1163l8315,1163,8315,999,7617,999,7617,1163xe" filled="true" fillcolor="#d2d2d2" stroked="false">
                <v:path arrowok="t"/>
                <v:fill type="solid"/>
              </v:shape>
            </v:group>
            <v:group style="position:absolute;left:7627;top:1163;width:2;height:548" coordorigin="7627,1163" coordsize="2,548">
              <v:shape style="position:absolute;left:7627;top:1163;width:2;height:548" coordorigin="7627,1163" coordsize="0,548" path="m7627,1163l7627,1710e" filled="false" stroked="true" strokeweight="1.08pt" strokecolor="#d2d2d2">
                <v:path arrowok="t"/>
              </v:shape>
            </v:group>
            <v:group style="position:absolute;left:8303;top:1163;width:2;height:548" coordorigin="8303,1163" coordsize="2,548">
              <v:shape style="position:absolute;left:8303;top:1163;width:2;height:548" coordorigin="8303,1163" coordsize="0,548" path="m8303,1163l8303,1710e" filled="false" stroked="true" strokeweight="1.2pt" strokecolor="#d2d2d2">
                <v:path arrowok="t"/>
              </v:shape>
            </v:group>
            <v:group style="position:absolute;left:7617;top:1710;width:699;height:161" coordorigin="7617,1710" coordsize="699,161">
              <v:shape style="position:absolute;left:7617;top:1710;width:699;height:161" coordorigin="7617,1710" coordsize="699,161" path="m7617,1871l8315,1871,8315,1710,7617,1710,7617,1871xe" filled="true" fillcolor="#d2d2d2" stroked="false">
                <v:path arrowok="t"/>
                <v:fill type="solid"/>
              </v:shape>
            </v:group>
            <v:group style="position:absolute;left:7638;top:1163;width:653;height:274" coordorigin="7638,1163" coordsize="653,274">
              <v:shape style="position:absolute;left:7638;top:1163;width:653;height:274" coordorigin="7638,1163" coordsize="653,274" path="m7638,1436l8291,1436,8291,1163,7638,1163,7638,1436xe" filled="true" fillcolor="#d2d2d2" stroked="false">
                <v:path arrowok="t"/>
                <v:fill type="solid"/>
              </v:shape>
            </v:group>
            <v:group style="position:absolute;left:7638;top:1436;width:653;height:274" coordorigin="7638,1436" coordsize="653,274">
              <v:shape style="position:absolute;left:7638;top:1436;width:653;height:274" coordorigin="7638,1436" coordsize="653,274" path="m7638,1710l8291,1710,8291,1436,7638,1436,7638,1710xe" filled="true" fillcolor="#d2d2d2" stroked="false">
                <v:path arrowok="t"/>
                <v:fill type="solid"/>
              </v:shape>
            </v:group>
            <v:group style="position:absolute;left:8325;top:1022;width:558;height:2" coordorigin="8325,1022" coordsize="558,2">
              <v:shape style="position:absolute;left:8325;top:1022;width:558;height:2" coordorigin="8325,1022" coordsize="558,0" path="m8325,1022l8882,1022e" filled="false" stroked="true" strokeweight="2.280pt" strokecolor="#d2d2d2">
                <v:path arrowok="t"/>
              </v:shape>
            </v:group>
            <v:group style="position:absolute;left:8337;top:1045;width:2;height:780" coordorigin="8337,1045" coordsize="2,780">
              <v:shape style="position:absolute;left:8337;top:1045;width:2;height:780" coordorigin="8337,1045" coordsize="0,780" path="m8337,1045l8337,1825e" filled="false" stroked="true" strokeweight="1.2pt" strokecolor="#d2d2d2">
                <v:path arrowok="t"/>
              </v:shape>
            </v:group>
            <v:group style="position:absolute;left:8870;top:1045;width:2;height:780" coordorigin="8870,1045" coordsize="2,780">
              <v:shape style="position:absolute;left:8870;top:1045;width:2;height:780" coordorigin="8870,1045" coordsize="0,780" path="m8870,1045l8870,1825e" filled="false" stroked="true" strokeweight="1.224pt" strokecolor="#d2d2d2">
                <v:path arrowok="t"/>
              </v:shape>
            </v:group>
            <v:group style="position:absolute;left:8325;top:1848;width:558;height:2" coordorigin="8325,1848" coordsize="558,2">
              <v:shape style="position:absolute;left:8325;top:1848;width:558;height:2" coordorigin="8325,1848" coordsize="558,0" path="m8325,1848l8882,1848e" filled="false" stroked="true" strokeweight="2.280pt" strokecolor="#d2d2d2">
                <v:path arrowok="t"/>
              </v:shape>
            </v:group>
            <v:group style="position:absolute;left:8349;top:1045;width:509;height:274" coordorigin="8349,1045" coordsize="509,274">
              <v:shape style="position:absolute;left:8349;top:1045;width:509;height:274" coordorigin="8349,1045" coordsize="509,274" path="m8349,1319l8857,1319,8857,1045,8349,1045,8349,1319xe" filled="true" fillcolor="#d2d2d2" stroked="false">
                <v:path arrowok="t"/>
                <v:fill type="solid"/>
              </v:shape>
            </v:group>
            <v:group style="position:absolute;left:8349;top:1319;width:509;height:233" coordorigin="8349,1319" coordsize="509,233">
              <v:shape style="position:absolute;left:8349;top:1319;width:509;height:233" coordorigin="8349,1319" coordsize="509,233" path="m8349,1551l8857,1551,8857,1319,8349,1319,8349,1551xe" filled="true" fillcolor="#d2d2d2" stroked="false">
                <v:path arrowok="t"/>
                <v:fill type="solid"/>
              </v:shape>
            </v:group>
            <v:group style="position:absolute;left:8349;top:1551;width:509;height:274" coordorigin="8349,1551" coordsize="509,274">
              <v:shape style="position:absolute;left:8349;top:1551;width:509;height:274" coordorigin="8349,1551" coordsize="509,274" path="m8349,1825l8857,1825,8857,1551,8349,1551,8349,1825xe" filled="true" fillcolor="#d2d2d2" stroked="false">
                <v:path arrowok="t"/>
                <v:fill type="solid"/>
              </v:shape>
            </v:group>
            <v:group style="position:absolute;left:8892;top:999;width:840;height:164" coordorigin="8892,999" coordsize="840,164">
              <v:shape style="position:absolute;left:8892;top:999;width:840;height:164" coordorigin="8892,999" coordsize="840,164" path="m8892,1163l9732,1163,9732,999,8892,999,8892,1163xe" filled="true" fillcolor="#d2d2d2" stroked="false">
                <v:path arrowok="t"/>
                <v:fill type="solid"/>
              </v:shape>
            </v:group>
            <v:group style="position:absolute;left:8904;top:1163;width:2;height:548" coordorigin="8904,1163" coordsize="2,548">
              <v:shape style="position:absolute;left:8904;top:1163;width:2;height:548" coordorigin="8904,1163" coordsize="0,548" path="m8904,1163l8904,1710e" filled="false" stroked="true" strokeweight="1.2pt" strokecolor="#d2d2d2">
                <v:path arrowok="t"/>
              </v:shape>
            </v:group>
            <v:group style="position:absolute;left:9721;top:1163;width:2;height:548" coordorigin="9721,1163" coordsize="2,548">
              <v:shape style="position:absolute;left:9721;top:1163;width:2;height:548" coordorigin="9721,1163" coordsize="0,548" path="m9721,1163l9721,1710e" filled="false" stroked="true" strokeweight="1.08pt" strokecolor="#d2d2d2">
                <v:path arrowok="t"/>
              </v:shape>
            </v:group>
            <v:group style="position:absolute;left:8892;top:1710;width:840;height:161" coordorigin="8892,1710" coordsize="840,161">
              <v:shape style="position:absolute;left:8892;top:1710;width:840;height:161" coordorigin="8892,1710" coordsize="840,161" path="m8892,1871l9732,1871,9732,1710,8892,1710,8892,1871xe" filled="true" fillcolor="#d2d2d2" stroked="false">
                <v:path arrowok="t"/>
                <v:fill type="solid"/>
              </v:shape>
            </v:group>
            <v:group style="position:absolute;left:8916;top:1163;width:795;height:274" coordorigin="8916,1163" coordsize="795,274">
              <v:shape style="position:absolute;left:8916;top:1163;width:795;height:274" coordorigin="8916,1163" coordsize="795,274" path="m8916,1436l9710,1436,9710,1163,8916,1163,8916,1436xe" filled="true" fillcolor="#d2d2d2" stroked="false">
                <v:path arrowok="t"/>
                <v:fill type="solid"/>
              </v:shape>
            </v:group>
            <v:group style="position:absolute;left:8916;top:1436;width:795;height:274" coordorigin="8916,1436" coordsize="795,274">
              <v:shape style="position:absolute;left:8916;top:1436;width:795;height:274" coordorigin="8916,1436" coordsize="795,274" path="m8916,1710l9710,1710,9710,1436,8916,1436,8916,1710xe" filled="true" fillcolor="#d2d2d2" stroked="false">
                <v:path arrowok="t"/>
                <v:fill type="solid"/>
              </v:shape>
            </v:group>
            <v:group style="position:absolute;left:3240;top:995;width:552;height:2" coordorigin="3240,995" coordsize="552,2">
              <v:shape style="position:absolute;left:3240;top:995;width:552;height:2" coordorigin="3240,995" coordsize="552,0" path="m3240,995l3792,995e" filled="false" stroked="true" strokeweight=".47998pt" strokecolor="#000000">
                <v:path arrowok="t"/>
              </v:shape>
            </v:group>
            <v:group style="position:absolute;left:3802;top:995;width:1254;height:2" coordorigin="3802,995" coordsize="1254,2">
              <v:shape style="position:absolute;left:3802;top:995;width:1254;height:2" coordorigin="3802,995" coordsize="1254,0" path="m3802,995l5055,995e" filled="false" stroked="true" strokeweight=".47998pt" strokecolor="#000000">
                <v:path arrowok="t"/>
              </v:shape>
            </v:group>
            <v:group style="position:absolute;left:5065;top:995;width:840;height:2" coordorigin="5065,995" coordsize="840,2">
              <v:shape style="position:absolute;left:5065;top:995;width:840;height:2" coordorigin="5065,995" coordsize="840,0" path="m5065,995l5905,995e" filled="false" stroked="true" strokeweight=".47998pt" strokecolor="#000000">
                <v:path arrowok="t"/>
              </v:shape>
            </v:group>
            <v:group style="position:absolute;left:5915;top:995;width:558;height:2" coordorigin="5915,995" coordsize="558,2">
              <v:shape style="position:absolute;left:5915;top:995;width:558;height:2" coordorigin="5915,995" coordsize="558,0" path="m5915,995l6472,995e" filled="false" stroked="true" strokeweight=".47998pt" strokecolor="#000000">
                <v:path arrowok="t"/>
              </v:shape>
            </v:group>
            <v:group style="position:absolute;left:6481;top:995;width:701;height:2" coordorigin="6481,995" coordsize="701,2">
              <v:shape style="position:absolute;left:6481;top:995;width:701;height:2" coordorigin="6481,995" coordsize="701,0" path="m6481,995l7182,995e" filled="false" stroked="true" strokeweight=".47998pt" strokecolor="#000000">
                <v:path arrowok="t"/>
              </v:shape>
            </v:group>
            <v:group style="position:absolute;left:7192;top:995;width:416;height:2" coordorigin="7192,995" coordsize="416,2">
              <v:shape style="position:absolute;left:7192;top:995;width:416;height:2" coordorigin="7192,995" coordsize="416,0" path="m7192,995l7607,995e" filled="false" stroked="true" strokeweight=".47998pt" strokecolor="#000000">
                <v:path arrowok="t"/>
              </v:shape>
            </v:group>
            <v:group style="position:absolute;left:7617;top:995;width:699;height:2" coordorigin="7617,995" coordsize="699,2">
              <v:shape style="position:absolute;left:7617;top:995;width:699;height:2" coordorigin="7617,995" coordsize="699,0" path="m7617,995l8315,995e" filled="false" stroked="true" strokeweight=".47998pt" strokecolor="#000000">
                <v:path arrowok="t"/>
              </v:shape>
            </v:group>
            <v:group style="position:absolute;left:8325;top:995;width:558;height:2" coordorigin="8325,995" coordsize="558,2">
              <v:shape style="position:absolute;left:8325;top:995;width:558;height:2" coordorigin="8325,995" coordsize="558,0" path="m8325,995l8882,995e" filled="false" stroked="true" strokeweight=".47998pt" strokecolor="#000000">
                <v:path arrowok="t"/>
              </v:shape>
            </v:group>
            <v:group style="position:absolute;left:8892;top:995;width:843;height:2" coordorigin="8892,995" coordsize="843,2">
              <v:shape style="position:absolute;left:8892;top:995;width:843;height:2" coordorigin="8892,995" coordsize="843,0" path="m8892,995l9734,995e" filled="false" stroked="true" strokeweight=".47998pt" strokecolor="#000000">
                <v:path arrowok="t"/>
              </v:shape>
            </v:group>
            <v:group style="position:absolute;left:3814;top:1323;width:2;height:548" coordorigin="3814,1323" coordsize="2,548">
              <v:shape style="position:absolute;left:3814;top:1323;width:2;height:548" coordorigin="3814,1323" coordsize="0,548" path="m3814,1323l3814,1871e" filled="false" stroked="true" strokeweight="1.224pt" strokecolor="#d2d2d2">
                <v:path arrowok="t"/>
              </v:shape>
            </v:group>
            <v:group style="position:absolute;left:4313;top:1323;width:2;height:548" coordorigin="4313,1323" coordsize="2,548">
              <v:shape style="position:absolute;left:4313;top:1323;width:2;height:548" coordorigin="4313,1323" coordsize="0,548" path="m4313,1323l4313,1871e" filled="false" stroked="true" strokeweight="1.08pt" strokecolor="#d2d2d2">
                <v:path arrowok="t"/>
              </v:shape>
            </v:group>
            <v:group style="position:absolute;left:3827;top:1323;width:476;height:274" coordorigin="3827,1323" coordsize="476,274">
              <v:shape style="position:absolute;left:3827;top:1323;width:476;height:274" coordorigin="3827,1323" coordsize="476,274" path="m3827,1597l4302,1597,4302,1323,3827,1323,3827,1597xe" filled="true" fillcolor="#d2d2d2" stroked="false">
                <v:path arrowok="t"/>
                <v:fill type="solid"/>
              </v:shape>
            </v:group>
            <v:group style="position:absolute;left:3827;top:1597;width:476;height:274" coordorigin="3827,1597" coordsize="476,274">
              <v:shape style="position:absolute;left:3827;top:1597;width:476;height:274" coordorigin="3827,1597" coordsize="476,274" path="m3827,1871l4302,1871,4302,1597,3827,1597,3827,1871xe" filled="true" fillcolor="#d2d2d2" stroked="false">
                <v:path arrowok="t"/>
                <v:fill type="solid"/>
              </v:shape>
            </v:group>
            <v:group style="position:absolute;left:4345;top:1323;width:2;height:548" coordorigin="4345,1323" coordsize="2,548">
              <v:shape style="position:absolute;left:4345;top:1323;width:2;height:548" coordorigin="4345,1323" coordsize="0,548" path="m4345,1323l4345,1871e" filled="false" stroked="true" strokeweight="1.2pt" strokecolor="#d2d2d2">
                <v:path arrowok="t"/>
              </v:shape>
            </v:group>
            <v:group style="position:absolute;left:4759;top:1323;width:2;height:548" coordorigin="4759,1323" coordsize="2,548">
              <v:shape style="position:absolute;left:4759;top:1323;width:2;height:548" coordorigin="4759,1323" coordsize="0,548" path="m4759,1323l4759,1871e" filled="false" stroked="true" strokeweight="1.08pt" strokecolor="#d2d2d2">
                <v:path arrowok="t"/>
              </v:shape>
            </v:group>
            <v:group style="position:absolute;left:4357;top:1323;width:392;height:274" coordorigin="4357,1323" coordsize="392,274">
              <v:shape style="position:absolute;left:4357;top:1323;width:392;height:274" coordorigin="4357,1323" coordsize="392,274" path="m4357,1597l4748,1597,4748,1323,4357,1323,4357,1597xe" filled="true" fillcolor="#d2d2d2" stroked="false">
                <v:path arrowok="t"/>
                <v:fill type="solid"/>
              </v:shape>
            </v:group>
            <v:group style="position:absolute;left:4357;top:1597;width:392;height:274" coordorigin="4357,1597" coordsize="392,274">
              <v:shape style="position:absolute;left:4357;top:1597;width:392;height:274" coordorigin="4357,1597" coordsize="392,274" path="m4357,1871l4748,1871,4748,1597,4357,1597,4357,1871xe" filled="true" fillcolor="#d2d2d2" stroked="false">
                <v:path arrowok="t"/>
                <v:fill type="solid"/>
              </v:shape>
            </v:group>
            <v:group style="position:absolute;left:4791;top:1323;width:2;height:548" coordorigin="4791,1323" coordsize="2,548">
              <v:shape style="position:absolute;left:4791;top:1323;width:2;height:548" coordorigin="4791,1323" coordsize="0,548" path="m4791,1323l4791,1871e" filled="false" stroked="true" strokeweight="1.2pt" strokecolor="#d2d2d2">
                <v:path arrowok="t"/>
              </v:shape>
            </v:group>
            <v:group style="position:absolute;left:5042;top:1323;width:2;height:548" coordorigin="5042,1323" coordsize="2,548">
              <v:shape style="position:absolute;left:5042;top:1323;width:2;height:548" coordorigin="5042,1323" coordsize="0,548" path="m5042,1323l5042,1871e" filled="false" stroked="true" strokeweight="1.08pt" strokecolor="#d2d2d2">
                <v:path arrowok="t"/>
              </v:shape>
            </v:group>
            <v:group style="position:absolute;left:4803;top:1323;width:228;height:274" coordorigin="4803,1323" coordsize="228,274">
              <v:shape style="position:absolute;left:4803;top:1323;width:228;height:274" coordorigin="4803,1323" coordsize="228,274" path="m4803,1597l5031,1597,5031,1323,4803,1323,4803,1597xe" filled="true" fillcolor="#d2d2d2" stroked="false">
                <v:path arrowok="t"/>
                <v:fill type="solid"/>
              </v:shape>
            </v:group>
            <v:group style="position:absolute;left:4803;top:1597;width:228;height:274" coordorigin="4803,1597" coordsize="228,274">
              <v:shape style="position:absolute;left:4803;top:1597;width:228;height:274" coordorigin="4803,1597" coordsize="228,274" path="m4803,1871l5031,1871,5031,1597,4803,1597,4803,1871xe" filled="true" fillcolor="#d2d2d2" stroked="false">
                <v:path arrowok="t"/>
                <v:fill type="solid"/>
              </v:shape>
            </v:group>
            <v:group style="position:absolute;left:3802;top:1319;width:524;height:2" coordorigin="3802,1319" coordsize="524,2">
              <v:shape style="position:absolute;left:3802;top:1319;width:524;height:2" coordorigin="3802,1319" coordsize="524,0" path="m3802,1319l4326,1319e" filled="false" stroked="true" strokeweight=".48001pt" strokecolor="#000000">
                <v:path arrowok="t"/>
              </v:shape>
            </v:group>
            <v:group style="position:absolute;left:4335;top:1319;width:435;height:2" coordorigin="4335,1319" coordsize="435,2">
              <v:shape style="position:absolute;left:4335;top:1319;width:435;height:2" coordorigin="4335,1319" coordsize="435,0" path="m4335,1319l4770,1319e" filled="false" stroked="true" strokeweight=".48001pt" strokecolor="#000000">
                <v:path arrowok="t"/>
              </v:shape>
            </v:group>
            <v:group style="position:absolute;left:4779;top:1319;width:276;height:2" coordorigin="4779,1319" coordsize="276,2">
              <v:shape style="position:absolute;left:4779;top:1319;width:276;height:2" coordorigin="4779,1319" coordsize="276,0" path="m4779,1319l5055,1319e" filled="false" stroked="true" strokeweight=".48001pt" strokecolor="#000000">
                <v:path arrowok="t"/>
              </v:shape>
            </v:group>
            <v:group style="position:absolute;left:1798;top:990;width:2;height:881" coordorigin="1798,990" coordsize="2,881">
              <v:shape style="position:absolute;left:1798;top:990;width:2;height:881" coordorigin="1798,990" coordsize="0,881" path="m1798,990l1798,1871e" filled="false" stroked="true" strokeweight=".48pt" strokecolor="#000000">
                <v:path arrowok="t"/>
              </v:shape>
            </v:group>
            <v:group style="position:absolute;left:4775;top:1314;width:2;height:557" coordorigin="4775,1314" coordsize="2,557">
              <v:shape style="position:absolute;left:4775;top:1314;width:2;height:557" coordorigin="4775,1314" coordsize="0,557" path="m4775,1314l4775,1871e" filled="false" stroked="true" strokeweight=".48pt" strokecolor="#000000">
                <v:path arrowok="t"/>
              </v:shape>
            </v:group>
            <v:group style="position:absolute;left:1803;top:1880;width:1428;height:195" coordorigin="1803,1880" coordsize="1428,195">
              <v:shape style="position:absolute;left:1803;top:1880;width:1428;height:195" coordorigin="1803,1880" coordsize="1428,195" path="m1803,2075l3231,2075,3231,1880,1803,1880,1803,2075xe" filled="true" fillcolor="#d2d2d2" stroked="false">
                <v:path arrowok="t"/>
                <v:fill type="solid"/>
              </v:shape>
            </v:group>
            <v:group style="position:absolute;left:1814;top:2075;width:2;height:312" coordorigin="1814,2075" coordsize="2,312">
              <v:shape style="position:absolute;left:1814;top:2075;width:2;height:312" coordorigin="1814,2075" coordsize="0,312" path="m1814,2075l1814,2387e" filled="false" stroked="true" strokeweight="1.08pt" strokecolor="#d2d2d2">
                <v:path arrowok="t"/>
              </v:shape>
            </v:group>
            <v:group style="position:absolute;left:3219;top:2075;width:2;height:312" coordorigin="3219,2075" coordsize="2,312">
              <v:shape style="position:absolute;left:3219;top:2075;width:2;height:312" coordorigin="3219,2075" coordsize="0,312" path="m3219,2075l3219,2387e" filled="false" stroked="true" strokeweight="1.2pt" strokecolor="#d2d2d2">
                <v:path arrowok="t"/>
              </v:shape>
            </v:group>
            <v:group style="position:absolute;left:1803;top:2387;width:1428;height:195" coordorigin="1803,2387" coordsize="1428,195">
              <v:shape style="position:absolute;left:1803;top:2387;width:1428;height:195" coordorigin="1803,2387" coordsize="1428,195" path="m1803,2581l3231,2581,3231,2387,1803,2387,1803,2581xe" filled="true" fillcolor="#d2d2d2" stroked="false">
                <v:path arrowok="t"/>
                <v:fill type="solid"/>
              </v:shape>
            </v:group>
            <v:group style="position:absolute;left:1803;top:1875;width:1428;height:2" coordorigin="1803,1875" coordsize="1428,2">
              <v:shape style="position:absolute;left:1803;top:1875;width:1428;height:2" coordorigin="1803,1875" coordsize="1428,0" path="m1803,1875l3231,1875e" filled="false" stroked="true" strokeweight=".47998pt" strokecolor="#000000">
                <v:path arrowok="t"/>
              </v:shape>
            </v:group>
            <v:group style="position:absolute;left:3240;top:1875;width:552;height:2" coordorigin="3240,1875" coordsize="552,2">
              <v:shape style="position:absolute;left:3240;top:1875;width:552;height:2" coordorigin="3240,1875" coordsize="552,0" path="m3240,1875l3792,1875e" filled="false" stroked="true" strokeweight=".47998pt" strokecolor="#000000">
                <v:path arrowok="t"/>
              </v:shape>
            </v:group>
            <v:group style="position:absolute;left:3802;top:1875;width:524;height:2" coordorigin="3802,1875" coordsize="524,2">
              <v:shape style="position:absolute;left:3802;top:1875;width:524;height:2" coordorigin="3802,1875" coordsize="524,0" path="m3802,1875l4326,1875e" filled="false" stroked="true" strokeweight=".47998pt" strokecolor="#000000">
                <v:path arrowok="t"/>
              </v:shape>
            </v:group>
            <v:group style="position:absolute;left:4335;top:1875;width:435;height:2" coordorigin="4335,1875" coordsize="435,2">
              <v:shape style="position:absolute;left:4335;top:1875;width:435;height:2" coordorigin="4335,1875" coordsize="435,0" path="m4335,1875l4770,1875e" filled="false" stroked="true" strokeweight=".47998pt" strokecolor="#000000">
                <v:path arrowok="t"/>
              </v:shape>
            </v:group>
            <v:group style="position:absolute;left:4779;top:1875;width:276;height:2" coordorigin="4779,1875" coordsize="276,2">
              <v:shape style="position:absolute;left:4779;top:1875;width:276;height:2" coordorigin="4779,1875" coordsize="276,0" path="m4779,1875l5055,1875e" filled="false" stroked="true" strokeweight=".47998pt" strokecolor="#000000">
                <v:path arrowok="t"/>
              </v:shape>
            </v:group>
            <v:group style="position:absolute;left:5065;top:1875;width:840;height:2" coordorigin="5065,1875" coordsize="840,2">
              <v:shape style="position:absolute;left:5065;top:1875;width:840;height:2" coordorigin="5065,1875" coordsize="840,0" path="m5065,1875l5905,1875e" filled="false" stroked="true" strokeweight=".47998pt" strokecolor="#000000">
                <v:path arrowok="t"/>
              </v:shape>
            </v:group>
            <v:group style="position:absolute;left:5915;top:1875;width:558;height:2" coordorigin="5915,1875" coordsize="558,2">
              <v:shape style="position:absolute;left:5915;top:1875;width:558;height:2" coordorigin="5915,1875" coordsize="558,0" path="m5915,1875l6472,1875e" filled="false" stroked="true" strokeweight=".47998pt" strokecolor="#000000">
                <v:path arrowok="t"/>
              </v:shape>
            </v:group>
            <v:group style="position:absolute;left:6481;top:1875;width:701;height:2" coordorigin="6481,1875" coordsize="701,2">
              <v:shape style="position:absolute;left:6481;top:1875;width:701;height:2" coordorigin="6481,1875" coordsize="701,0" path="m6481,1875l7182,1875e" filled="false" stroked="true" strokeweight=".47998pt" strokecolor="#000000">
                <v:path arrowok="t"/>
              </v:shape>
            </v:group>
            <v:group style="position:absolute;left:7192;top:1875;width:416;height:2" coordorigin="7192,1875" coordsize="416,2">
              <v:shape style="position:absolute;left:7192;top:1875;width:416;height:2" coordorigin="7192,1875" coordsize="416,0" path="m7192,1875l7607,1875e" filled="false" stroked="true" strokeweight=".47998pt" strokecolor="#000000">
                <v:path arrowok="t"/>
              </v:shape>
            </v:group>
            <v:group style="position:absolute;left:7617;top:1875;width:699;height:2" coordorigin="7617,1875" coordsize="699,2">
              <v:shape style="position:absolute;left:7617;top:1875;width:699;height:2" coordorigin="7617,1875" coordsize="699,0" path="m7617,1875l8315,1875e" filled="false" stroked="true" strokeweight=".47998pt" strokecolor="#000000">
                <v:path arrowok="t"/>
              </v:shape>
            </v:group>
            <v:group style="position:absolute;left:8325;top:1875;width:558;height:2" coordorigin="8325,1875" coordsize="558,2">
              <v:shape style="position:absolute;left:8325;top:1875;width:558;height:2" coordorigin="8325,1875" coordsize="558,0" path="m8325,1875l8882,1875e" filled="false" stroked="true" strokeweight=".47998pt" strokecolor="#000000">
                <v:path arrowok="t"/>
              </v:shape>
            </v:group>
            <v:group style="position:absolute;left:8892;top:1875;width:843;height:2" coordorigin="8892,1875" coordsize="843,2">
              <v:shape style="position:absolute;left:8892;top:1875;width:843;height:2" coordorigin="8892,1875" coordsize="843,0" path="m8892,1875l9734,1875e" filled="false" stroked="true" strokeweight=".47998pt" strokecolor="#000000">
                <v:path arrowok="t"/>
              </v:shape>
            </v:group>
            <v:group style="position:absolute;left:9744;top:1875;width:699;height:2" coordorigin="9744,1875" coordsize="699,2">
              <v:shape style="position:absolute;left:9744;top:1875;width:699;height:2" coordorigin="9744,1875" coordsize="699,0" path="m9744,1875l10442,1875e" filled="false" stroked="true" strokeweight=".47998pt" strokecolor="#000000">
                <v:path arrowok="t"/>
              </v:shape>
            </v:group>
            <v:group style="position:absolute;left:10452;top:1875;width:699;height:2" coordorigin="10452,1875" coordsize="699,2">
              <v:shape style="position:absolute;left:10452;top:1875;width:699;height:2" coordorigin="10452,1875" coordsize="699,0" path="m10452,1875l11150,1875e" filled="false" stroked="true" strokeweight=".47998pt" strokecolor="#000000">
                <v:path arrowok="t"/>
              </v:shape>
            </v:group>
            <v:group style="position:absolute;left:1798;top:1871;width:2;height:720" coordorigin="1798,1871" coordsize="2,720">
              <v:shape style="position:absolute;left:1798;top:1871;width:2;height:720" coordorigin="1798,1871" coordsize="0,720" path="m1798,1871l1798,2591e" filled="false" stroked="true" strokeweight=".48pt" strokecolor="#000000">
                <v:path arrowok="t"/>
              </v:shape>
            </v:group>
            <v:group style="position:absolute;left:4775;top:1871;width:2;height:720" coordorigin="4775,1871" coordsize="2,720">
              <v:shape style="position:absolute;left:4775;top:1871;width:2;height:720" coordorigin="4775,1871" coordsize="0,720" path="m4775,1871l4775,2591e" filled="false" stroked="true" strokeweight=".48pt" strokecolor="#000000">
                <v:path arrowok="t"/>
              </v:shape>
            </v:group>
            <v:group style="position:absolute;left:1814;top:2591;width:2;height:548" coordorigin="1814,2591" coordsize="2,548">
              <v:shape style="position:absolute;left:1814;top:2591;width:2;height:548" coordorigin="1814,2591" coordsize="0,548" path="m1814,2591l1814,3138e" filled="false" stroked="true" strokeweight="1.08pt" strokecolor="#d2d2d2">
                <v:path arrowok="t"/>
              </v:shape>
            </v:group>
            <v:group style="position:absolute;left:3219;top:2591;width:2;height:548" coordorigin="3219,2591" coordsize="2,548">
              <v:shape style="position:absolute;left:3219;top:2591;width:2;height:548" coordorigin="3219,2591" coordsize="0,548" path="m3219,2591l3219,3138e" filled="false" stroked="true" strokeweight="1.2pt" strokecolor="#d2d2d2">
                <v:path arrowok="t"/>
              </v:shape>
            </v:group>
            <v:group style="position:absolute;left:1824;top:2591;width:1383;height:275" coordorigin="1824,2591" coordsize="1383,275">
              <v:shape style="position:absolute;left:1824;top:2591;width:1383;height:275" coordorigin="1824,2591" coordsize="1383,275" path="m1824,2865l3207,2865,3207,2591,1824,2591,1824,2865xe" filled="true" fillcolor="#d2d2d2" stroked="false">
                <v:path arrowok="t"/>
                <v:fill type="solid"/>
              </v:shape>
            </v:group>
            <v:group style="position:absolute;left:1824;top:2865;width:1383;height:274" coordorigin="1824,2865" coordsize="1383,274">
              <v:shape style="position:absolute;left:1824;top:2865;width:1383;height:274" coordorigin="1824,2865" coordsize="1383,274" path="m1824,3138l3207,3138,3207,2865,1824,2865,1824,3138xe" filled="true" fillcolor="#d2d2d2" stroked="false">
                <v:path arrowok="t"/>
                <v:fill type="solid"/>
              </v:shape>
            </v:group>
            <v:group style="position:absolute;left:1803;top:2586;width:1428;height:2" coordorigin="1803,2586" coordsize="1428,2">
              <v:shape style="position:absolute;left:1803;top:2586;width:1428;height:2" coordorigin="1803,2586" coordsize="1428,0" path="m1803,2586l3231,2586e" filled="false" stroked="true" strokeweight=".48004pt" strokecolor="#000000">
                <v:path arrowok="t"/>
              </v:shape>
            </v:group>
            <v:group style="position:absolute;left:3240;top:2586;width:552;height:2" coordorigin="3240,2586" coordsize="552,2">
              <v:shape style="position:absolute;left:3240;top:2586;width:552;height:2" coordorigin="3240,2586" coordsize="552,0" path="m3240,2586l3792,2586e" filled="false" stroked="true" strokeweight=".48004pt" strokecolor="#000000">
                <v:path arrowok="t"/>
              </v:shape>
            </v:group>
            <v:group style="position:absolute;left:3802;top:2586;width:524;height:2" coordorigin="3802,2586" coordsize="524,2">
              <v:shape style="position:absolute;left:3802;top:2586;width:524;height:2" coordorigin="3802,2586" coordsize="524,0" path="m3802,2586l4326,2586e" filled="false" stroked="true" strokeweight=".48004pt" strokecolor="#000000">
                <v:path arrowok="t"/>
              </v:shape>
            </v:group>
            <v:group style="position:absolute;left:4335;top:2586;width:435;height:2" coordorigin="4335,2586" coordsize="435,2">
              <v:shape style="position:absolute;left:4335;top:2586;width:435;height:2" coordorigin="4335,2586" coordsize="435,0" path="m4335,2586l4770,2586e" filled="false" stroked="true" strokeweight=".48004pt" strokecolor="#000000">
                <v:path arrowok="t"/>
              </v:shape>
            </v:group>
            <v:group style="position:absolute;left:4779;top:2586;width:276;height:2" coordorigin="4779,2586" coordsize="276,2">
              <v:shape style="position:absolute;left:4779;top:2586;width:276;height:2" coordorigin="4779,2586" coordsize="276,0" path="m4779,2586l5055,2586e" filled="false" stroked="true" strokeweight=".48004pt" strokecolor="#000000">
                <v:path arrowok="t"/>
              </v:shape>
            </v:group>
            <v:group style="position:absolute;left:5065;top:2586;width:840;height:2" coordorigin="5065,2586" coordsize="840,2">
              <v:shape style="position:absolute;left:5065;top:2586;width:840;height:2" coordorigin="5065,2586" coordsize="840,0" path="m5065,2586l5905,2586e" filled="false" stroked="true" strokeweight=".48004pt" strokecolor="#000000">
                <v:path arrowok="t"/>
              </v:shape>
            </v:group>
            <v:group style="position:absolute;left:5915;top:2586;width:558;height:2" coordorigin="5915,2586" coordsize="558,2">
              <v:shape style="position:absolute;left:5915;top:2586;width:558;height:2" coordorigin="5915,2586" coordsize="558,0" path="m5915,2586l6472,2586e" filled="false" stroked="true" strokeweight=".48004pt" strokecolor="#000000">
                <v:path arrowok="t"/>
              </v:shape>
            </v:group>
            <v:group style="position:absolute;left:6481;top:2586;width:701;height:2" coordorigin="6481,2586" coordsize="701,2">
              <v:shape style="position:absolute;left:6481;top:2586;width:701;height:2" coordorigin="6481,2586" coordsize="701,0" path="m6481,2586l7182,2586e" filled="false" stroked="true" strokeweight=".48004pt" strokecolor="#000000">
                <v:path arrowok="t"/>
              </v:shape>
            </v:group>
            <v:group style="position:absolute;left:7192;top:2586;width:416;height:2" coordorigin="7192,2586" coordsize="416,2">
              <v:shape style="position:absolute;left:7192;top:2586;width:416;height:2" coordorigin="7192,2586" coordsize="416,0" path="m7192,2586l7607,2586e" filled="false" stroked="true" strokeweight=".48004pt" strokecolor="#000000">
                <v:path arrowok="t"/>
              </v:shape>
            </v:group>
            <v:group style="position:absolute;left:7617;top:2586;width:699;height:2" coordorigin="7617,2586" coordsize="699,2">
              <v:shape style="position:absolute;left:7617;top:2586;width:699;height:2" coordorigin="7617,2586" coordsize="699,0" path="m7617,2586l8315,2586e" filled="false" stroked="true" strokeweight=".48004pt" strokecolor="#000000">
                <v:path arrowok="t"/>
              </v:shape>
            </v:group>
            <v:group style="position:absolute;left:8325;top:2586;width:558;height:2" coordorigin="8325,2586" coordsize="558,2">
              <v:shape style="position:absolute;left:8325;top:2586;width:558;height:2" coordorigin="8325,2586" coordsize="558,0" path="m8325,2586l8882,2586e" filled="false" stroked="true" strokeweight=".48004pt" strokecolor="#000000">
                <v:path arrowok="t"/>
              </v:shape>
            </v:group>
            <v:group style="position:absolute;left:8892;top:2586;width:843;height:2" coordorigin="8892,2586" coordsize="843,2">
              <v:shape style="position:absolute;left:8892;top:2586;width:843;height:2" coordorigin="8892,2586" coordsize="843,0" path="m8892,2586l9734,2586e" filled="false" stroked="true" strokeweight=".48004pt" strokecolor="#000000">
                <v:path arrowok="t"/>
              </v:shape>
            </v:group>
            <v:group style="position:absolute;left:9744;top:2586;width:699;height:2" coordorigin="9744,2586" coordsize="699,2">
              <v:shape style="position:absolute;left:9744;top:2586;width:699;height:2" coordorigin="9744,2586" coordsize="699,0" path="m9744,2586l10442,2586e" filled="false" stroked="true" strokeweight=".48004pt" strokecolor="#000000">
                <v:path arrowok="t"/>
              </v:shape>
            </v:group>
            <v:group style="position:absolute;left:10452;top:2586;width:699;height:2" coordorigin="10452,2586" coordsize="699,2">
              <v:shape style="position:absolute;left:10452;top:2586;width:699;height:2" coordorigin="10452,2586" coordsize="699,0" path="m10452,2586l11150,2586e" filled="false" stroked="true" strokeweight=".48004pt" strokecolor="#000000">
                <v:path arrowok="t"/>
              </v:shape>
            </v:group>
            <v:group style="position:absolute;left:1814;top:3148;width:2;height:548" coordorigin="1814,3148" coordsize="2,548">
              <v:shape style="position:absolute;left:1814;top:3148;width:2;height:548" coordorigin="1814,3148" coordsize="0,548" path="m1814,3148l1814,3695e" filled="false" stroked="true" strokeweight="1.08pt" strokecolor="#d2d2d2">
                <v:path arrowok="t"/>
              </v:shape>
            </v:group>
            <v:group style="position:absolute;left:3219;top:3148;width:2;height:548" coordorigin="3219,3148" coordsize="2,548">
              <v:shape style="position:absolute;left:3219;top:3148;width:2;height:548" coordorigin="3219,3148" coordsize="0,548" path="m3219,3148l3219,3695e" filled="false" stroked="true" strokeweight="1.2pt" strokecolor="#d2d2d2">
                <v:path arrowok="t"/>
              </v:shape>
            </v:group>
            <v:group style="position:absolute;left:1824;top:3148;width:1383;height:274" coordorigin="1824,3148" coordsize="1383,274">
              <v:shape style="position:absolute;left:1824;top:3148;width:1383;height:274" coordorigin="1824,3148" coordsize="1383,274" path="m1824,3422l3207,3422,3207,3148,1824,3148,1824,3422xe" filled="true" fillcolor="#d2d2d2" stroked="false">
                <v:path arrowok="t"/>
                <v:fill type="solid"/>
              </v:shape>
            </v:group>
            <v:group style="position:absolute;left:1824;top:3422;width:1383;height:274" coordorigin="1824,3422" coordsize="1383,274">
              <v:shape style="position:absolute;left:1824;top:3422;width:1383;height:274" coordorigin="1824,3422" coordsize="1383,274" path="m1824,3695l3207,3695,3207,3422,1824,3422,1824,3695xe" filled="true" fillcolor="#d2d2d2" stroked="false">
                <v:path arrowok="t"/>
                <v:fill type="solid"/>
              </v:shape>
            </v:group>
            <v:group style="position:absolute;left:1803;top:3143;width:1428;height:2" coordorigin="1803,3143" coordsize="1428,2">
              <v:shape style="position:absolute;left:1803;top:3143;width:1428;height:2" coordorigin="1803,3143" coordsize="1428,0" path="m1803,3143l3231,3143e" filled="false" stroked="true" strokeweight=".48004pt" strokecolor="#000000">
                <v:path arrowok="t"/>
              </v:shape>
            </v:group>
            <v:group style="position:absolute;left:3240;top:3143;width:552;height:2" coordorigin="3240,3143" coordsize="552,2">
              <v:shape style="position:absolute;left:3240;top:3143;width:552;height:2" coordorigin="3240,3143" coordsize="552,0" path="m3240,3143l3792,3143e" filled="false" stroked="true" strokeweight=".48004pt" strokecolor="#000000">
                <v:path arrowok="t"/>
              </v:shape>
            </v:group>
            <v:group style="position:absolute;left:3802;top:3143;width:524;height:2" coordorigin="3802,3143" coordsize="524,2">
              <v:shape style="position:absolute;left:3802;top:3143;width:524;height:2" coordorigin="3802,3143" coordsize="524,0" path="m3802,3143l4326,3143e" filled="false" stroked="true" strokeweight=".48004pt" strokecolor="#000000">
                <v:path arrowok="t"/>
              </v:shape>
            </v:group>
            <v:group style="position:absolute;left:4335;top:3143;width:435;height:2" coordorigin="4335,3143" coordsize="435,2">
              <v:shape style="position:absolute;left:4335;top:3143;width:435;height:2" coordorigin="4335,3143" coordsize="435,0" path="m4335,3143l4770,3143e" filled="false" stroked="true" strokeweight=".48004pt" strokecolor="#000000">
                <v:path arrowok="t"/>
              </v:shape>
            </v:group>
            <v:group style="position:absolute;left:4779;top:3143;width:276;height:2" coordorigin="4779,3143" coordsize="276,2">
              <v:shape style="position:absolute;left:4779;top:3143;width:276;height:2" coordorigin="4779,3143" coordsize="276,0" path="m4779,3143l5055,3143e" filled="false" stroked="true" strokeweight=".48004pt" strokecolor="#000000">
                <v:path arrowok="t"/>
              </v:shape>
            </v:group>
            <v:group style="position:absolute;left:5065;top:3143;width:840;height:2" coordorigin="5065,3143" coordsize="840,2">
              <v:shape style="position:absolute;left:5065;top:3143;width:840;height:2" coordorigin="5065,3143" coordsize="840,0" path="m5065,3143l5905,3143e" filled="false" stroked="true" strokeweight=".48004pt" strokecolor="#000000">
                <v:path arrowok="t"/>
              </v:shape>
            </v:group>
            <v:group style="position:absolute;left:5915;top:3143;width:558;height:2" coordorigin="5915,3143" coordsize="558,2">
              <v:shape style="position:absolute;left:5915;top:3143;width:558;height:2" coordorigin="5915,3143" coordsize="558,0" path="m5915,3143l6472,3143e" filled="false" stroked="true" strokeweight=".48004pt" strokecolor="#000000">
                <v:path arrowok="t"/>
              </v:shape>
            </v:group>
            <v:group style="position:absolute;left:6481;top:3143;width:701;height:2" coordorigin="6481,3143" coordsize="701,2">
              <v:shape style="position:absolute;left:6481;top:3143;width:701;height:2" coordorigin="6481,3143" coordsize="701,0" path="m6481,3143l7182,3143e" filled="false" stroked="true" strokeweight=".48004pt" strokecolor="#000000">
                <v:path arrowok="t"/>
              </v:shape>
            </v:group>
            <v:group style="position:absolute;left:7192;top:3143;width:416;height:2" coordorigin="7192,3143" coordsize="416,2">
              <v:shape style="position:absolute;left:7192;top:3143;width:416;height:2" coordorigin="7192,3143" coordsize="416,0" path="m7192,3143l7607,3143e" filled="false" stroked="true" strokeweight=".48004pt" strokecolor="#000000">
                <v:path arrowok="t"/>
              </v:shape>
            </v:group>
            <v:group style="position:absolute;left:7617;top:3143;width:699;height:2" coordorigin="7617,3143" coordsize="699,2">
              <v:shape style="position:absolute;left:7617;top:3143;width:699;height:2" coordorigin="7617,3143" coordsize="699,0" path="m7617,3143l8315,3143e" filled="false" stroked="true" strokeweight=".48004pt" strokecolor="#000000">
                <v:path arrowok="t"/>
              </v:shape>
            </v:group>
            <v:group style="position:absolute;left:8325;top:3143;width:558;height:2" coordorigin="8325,3143" coordsize="558,2">
              <v:shape style="position:absolute;left:8325;top:3143;width:558;height:2" coordorigin="8325,3143" coordsize="558,0" path="m8325,3143l8882,3143e" filled="false" stroked="true" strokeweight=".48004pt" strokecolor="#000000">
                <v:path arrowok="t"/>
              </v:shape>
            </v:group>
            <v:group style="position:absolute;left:8892;top:3143;width:843;height:2" coordorigin="8892,3143" coordsize="843,2">
              <v:shape style="position:absolute;left:8892;top:3143;width:843;height:2" coordorigin="8892,3143" coordsize="843,0" path="m8892,3143l9734,3143e" filled="false" stroked="true" strokeweight=".48004pt" strokecolor="#000000">
                <v:path arrowok="t"/>
              </v:shape>
            </v:group>
            <v:group style="position:absolute;left:9744;top:3143;width:699;height:2" coordorigin="9744,3143" coordsize="699,2">
              <v:shape style="position:absolute;left:9744;top:3143;width:699;height:2" coordorigin="9744,3143" coordsize="699,0" path="m9744,3143l10442,3143e" filled="false" stroked="true" strokeweight=".48004pt" strokecolor="#000000">
                <v:path arrowok="t"/>
              </v:shape>
            </v:group>
            <v:group style="position:absolute;left:10452;top:3143;width:699;height:2" coordorigin="10452,3143" coordsize="699,2">
              <v:shape style="position:absolute;left:10452;top:3143;width:699;height:2" coordorigin="10452,3143" coordsize="699,0" path="m10452,3143l11150,3143e" filled="false" stroked="true" strokeweight=".48004pt" strokecolor="#000000">
                <v:path arrowok="t"/>
              </v:shape>
            </v:group>
            <v:group style="position:absolute;left:1798;top:2591;width:2;height:1105" coordorigin="1798,2591" coordsize="2,1105">
              <v:shape style="position:absolute;left:1798;top:2591;width:2;height:1105" coordorigin="1798,2591" coordsize="0,1105" path="m1798,2591l1798,3695e" filled="false" stroked="true" strokeweight=".48pt" strokecolor="#000000">
                <v:path arrowok="t"/>
              </v:shape>
            </v:group>
            <v:group style="position:absolute;left:4775;top:2591;width:2;height:1105" coordorigin="4775,2591" coordsize="2,1105">
              <v:shape style="position:absolute;left:4775;top:2591;width:2;height:1105" coordorigin="4775,2591" coordsize="0,1105" path="m4775,2591l4775,3695e" filled="false" stroked="true" strokeweight=".48pt" strokecolor="#000000">
                <v:path arrowok="t"/>
              </v:shape>
            </v:group>
            <v:group style="position:absolute;left:1814;top:3705;width:2;height:548" coordorigin="1814,3705" coordsize="2,548">
              <v:shape style="position:absolute;left:1814;top:3705;width:2;height:548" coordorigin="1814,3705" coordsize="0,548" path="m1814,3705l1814,4252e" filled="false" stroked="true" strokeweight="1.08pt" strokecolor="#d2d2d2">
                <v:path arrowok="t"/>
              </v:shape>
            </v:group>
            <v:group style="position:absolute;left:3219;top:3705;width:2;height:548" coordorigin="3219,3705" coordsize="2,548">
              <v:shape style="position:absolute;left:3219;top:3705;width:2;height:548" coordorigin="3219,3705" coordsize="0,548" path="m3219,3705l3219,4252e" filled="false" stroked="true" strokeweight="1.2pt" strokecolor="#d2d2d2">
                <v:path arrowok="t"/>
              </v:shape>
            </v:group>
            <v:group style="position:absolute;left:1824;top:3705;width:1383;height:274" coordorigin="1824,3705" coordsize="1383,274">
              <v:shape style="position:absolute;left:1824;top:3705;width:1383;height:274" coordorigin="1824,3705" coordsize="1383,274" path="m1824,3978l3207,3978,3207,3705,1824,3705,1824,3978xe" filled="true" fillcolor="#d2d2d2" stroked="false">
                <v:path arrowok="t"/>
                <v:fill type="solid"/>
              </v:shape>
            </v:group>
            <v:group style="position:absolute;left:1824;top:3978;width:1383;height:274" coordorigin="1824,3978" coordsize="1383,274">
              <v:shape style="position:absolute;left:1824;top:3978;width:1383;height:274" coordorigin="1824,3978" coordsize="1383,274" path="m1824,4252l3207,4252,3207,3978,1824,3978,1824,4252xe" filled="true" fillcolor="#d2d2d2" stroked="false">
                <v:path arrowok="t"/>
                <v:fill type="solid"/>
              </v:shape>
            </v:group>
            <v:group style="position:absolute;left:1803;top:3700;width:1428;height:2" coordorigin="1803,3700" coordsize="1428,2">
              <v:shape style="position:absolute;left:1803;top:3700;width:1428;height:2" coordorigin="1803,3700" coordsize="1428,0" path="m1803,3700l3231,3700e" filled="false" stroked="true" strokeweight=".47998pt" strokecolor="#000000">
                <v:path arrowok="t"/>
              </v:shape>
            </v:group>
            <v:group style="position:absolute;left:3240;top:3700;width:552;height:2" coordorigin="3240,3700" coordsize="552,2">
              <v:shape style="position:absolute;left:3240;top:3700;width:552;height:2" coordorigin="3240,3700" coordsize="552,0" path="m3240,3700l3792,3700e" filled="false" stroked="true" strokeweight=".47998pt" strokecolor="#000000">
                <v:path arrowok="t"/>
              </v:shape>
            </v:group>
            <v:group style="position:absolute;left:3802;top:3700;width:524;height:2" coordorigin="3802,3700" coordsize="524,2">
              <v:shape style="position:absolute;left:3802;top:3700;width:524;height:2" coordorigin="3802,3700" coordsize="524,0" path="m3802,3700l4326,3700e" filled="false" stroked="true" strokeweight=".47998pt" strokecolor="#000000">
                <v:path arrowok="t"/>
              </v:shape>
            </v:group>
            <v:group style="position:absolute;left:4335;top:3700;width:435;height:2" coordorigin="4335,3700" coordsize="435,2">
              <v:shape style="position:absolute;left:4335;top:3700;width:435;height:2" coordorigin="4335,3700" coordsize="435,0" path="m4335,3700l4770,3700e" filled="false" stroked="true" strokeweight=".47998pt" strokecolor="#000000">
                <v:path arrowok="t"/>
              </v:shape>
            </v:group>
            <v:group style="position:absolute;left:4779;top:3700;width:276;height:2" coordorigin="4779,3700" coordsize="276,2">
              <v:shape style="position:absolute;left:4779;top:3700;width:276;height:2" coordorigin="4779,3700" coordsize="276,0" path="m4779,3700l5055,3700e" filled="false" stroked="true" strokeweight=".47998pt" strokecolor="#000000">
                <v:path arrowok="t"/>
              </v:shape>
            </v:group>
            <v:group style="position:absolute;left:5065;top:3700;width:840;height:2" coordorigin="5065,3700" coordsize="840,2">
              <v:shape style="position:absolute;left:5065;top:3700;width:840;height:2" coordorigin="5065,3700" coordsize="840,0" path="m5065,3700l5905,3700e" filled="false" stroked="true" strokeweight=".47998pt" strokecolor="#000000">
                <v:path arrowok="t"/>
              </v:shape>
            </v:group>
            <v:group style="position:absolute;left:5915;top:3700;width:558;height:2" coordorigin="5915,3700" coordsize="558,2">
              <v:shape style="position:absolute;left:5915;top:3700;width:558;height:2" coordorigin="5915,3700" coordsize="558,0" path="m5915,3700l6472,3700e" filled="false" stroked="true" strokeweight=".47998pt" strokecolor="#000000">
                <v:path arrowok="t"/>
              </v:shape>
            </v:group>
            <v:group style="position:absolute;left:6481;top:3700;width:701;height:2" coordorigin="6481,3700" coordsize="701,2">
              <v:shape style="position:absolute;left:6481;top:3700;width:701;height:2" coordorigin="6481,3700" coordsize="701,0" path="m6481,3700l7182,3700e" filled="false" stroked="true" strokeweight=".47998pt" strokecolor="#000000">
                <v:path arrowok="t"/>
              </v:shape>
            </v:group>
            <v:group style="position:absolute;left:7192;top:3700;width:416;height:2" coordorigin="7192,3700" coordsize="416,2">
              <v:shape style="position:absolute;left:7192;top:3700;width:416;height:2" coordorigin="7192,3700" coordsize="416,0" path="m7192,3700l7607,3700e" filled="false" stroked="true" strokeweight=".47998pt" strokecolor="#000000">
                <v:path arrowok="t"/>
              </v:shape>
            </v:group>
            <v:group style="position:absolute;left:7617;top:3700;width:699;height:2" coordorigin="7617,3700" coordsize="699,2">
              <v:shape style="position:absolute;left:7617;top:3700;width:699;height:2" coordorigin="7617,3700" coordsize="699,0" path="m7617,3700l8315,3700e" filled="false" stroked="true" strokeweight=".47998pt" strokecolor="#000000">
                <v:path arrowok="t"/>
              </v:shape>
            </v:group>
            <v:group style="position:absolute;left:8325;top:3700;width:558;height:2" coordorigin="8325,3700" coordsize="558,2">
              <v:shape style="position:absolute;left:8325;top:3700;width:558;height:2" coordorigin="8325,3700" coordsize="558,0" path="m8325,3700l8882,3700e" filled="false" stroked="true" strokeweight=".47998pt" strokecolor="#000000">
                <v:path arrowok="t"/>
              </v:shape>
            </v:group>
            <v:group style="position:absolute;left:8892;top:3700;width:843;height:2" coordorigin="8892,3700" coordsize="843,2">
              <v:shape style="position:absolute;left:8892;top:3700;width:843;height:2" coordorigin="8892,3700" coordsize="843,0" path="m8892,3700l9734,3700e" filled="false" stroked="true" strokeweight=".47998pt" strokecolor="#000000">
                <v:path arrowok="t"/>
              </v:shape>
            </v:group>
            <v:group style="position:absolute;left:9744;top:3700;width:699;height:2" coordorigin="9744,3700" coordsize="699,2">
              <v:shape style="position:absolute;left:9744;top:3700;width:699;height:2" coordorigin="9744,3700" coordsize="699,0" path="m9744,3700l10442,3700e" filled="false" stroked="true" strokeweight=".47998pt" strokecolor="#000000">
                <v:path arrowok="t"/>
              </v:shape>
            </v:group>
            <v:group style="position:absolute;left:10452;top:3700;width:699;height:2" coordorigin="10452,3700" coordsize="699,2">
              <v:shape style="position:absolute;left:10452;top:3700;width:699;height:2" coordorigin="10452,3700" coordsize="699,0" path="m10452,3700l11150,3700e" filled="false" stroked="true" strokeweight=".47998pt" strokecolor="#000000">
                <v:path arrowok="t"/>
              </v:shape>
            </v:group>
            <v:group style="position:absolute;left:1814;top:4262;width:2;height:315" coordorigin="1814,4262" coordsize="2,315">
              <v:shape style="position:absolute;left:1814;top:4262;width:2;height:315" coordorigin="1814,4262" coordsize="0,315" path="m1814,4262l1814,4576e" filled="false" stroked="true" strokeweight="1.08pt" strokecolor="#d2d2d2">
                <v:path arrowok="t"/>
              </v:shape>
            </v:group>
            <v:group style="position:absolute;left:3219;top:4262;width:2;height:315" coordorigin="3219,4262" coordsize="2,315">
              <v:shape style="position:absolute;left:3219;top:4262;width:2;height:315" coordorigin="3219,4262" coordsize="0,315" path="m3219,4262l3219,4576e" filled="false" stroked="true" strokeweight="1.2pt" strokecolor="#d2d2d2">
                <v:path arrowok="t"/>
              </v:shape>
            </v:group>
            <v:group style="position:absolute;left:1824;top:4262;width:1383;height:315" coordorigin="1824,4262" coordsize="1383,315">
              <v:shape style="position:absolute;left:1824;top:4262;width:1383;height:315" coordorigin="1824,4262" coordsize="1383,315" path="m1824,4576l3207,4576,3207,4262,1824,4262,1824,4576xe" filled="true" fillcolor="#d2d2d2" stroked="false">
                <v:path arrowok="t"/>
                <v:fill type="solid"/>
              </v:shape>
            </v:group>
            <v:group style="position:absolute;left:1803;top:4257;width:1428;height:2" coordorigin="1803,4257" coordsize="1428,2">
              <v:shape style="position:absolute;left:1803;top:4257;width:1428;height:2" coordorigin="1803,4257" coordsize="1428,0" path="m1803,4257l3231,4257e" filled="false" stroked="true" strokeweight=".48004pt" strokecolor="#000000">
                <v:path arrowok="t"/>
              </v:shape>
            </v:group>
            <v:group style="position:absolute;left:3240;top:4257;width:552;height:2" coordorigin="3240,4257" coordsize="552,2">
              <v:shape style="position:absolute;left:3240;top:4257;width:552;height:2" coordorigin="3240,4257" coordsize="552,0" path="m3240,4257l3792,4257e" filled="false" stroked="true" strokeweight=".48004pt" strokecolor="#000000">
                <v:path arrowok="t"/>
              </v:shape>
            </v:group>
            <v:group style="position:absolute;left:3802;top:4257;width:524;height:2" coordorigin="3802,4257" coordsize="524,2">
              <v:shape style="position:absolute;left:3802;top:4257;width:524;height:2" coordorigin="3802,4257" coordsize="524,0" path="m3802,4257l4326,4257e" filled="false" stroked="true" strokeweight=".48004pt" strokecolor="#000000">
                <v:path arrowok="t"/>
              </v:shape>
            </v:group>
            <v:group style="position:absolute;left:4335;top:4257;width:435;height:2" coordorigin="4335,4257" coordsize="435,2">
              <v:shape style="position:absolute;left:4335;top:4257;width:435;height:2" coordorigin="4335,4257" coordsize="435,0" path="m4335,4257l4770,4257e" filled="false" stroked="true" strokeweight=".48004pt" strokecolor="#000000">
                <v:path arrowok="t"/>
              </v:shape>
            </v:group>
            <v:group style="position:absolute;left:4779;top:4257;width:276;height:2" coordorigin="4779,4257" coordsize="276,2">
              <v:shape style="position:absolute;left:4779;top:4257;width:276;height:2" coordorigin="4779,4257" coordsize="276,0" path="m4779,4257l5055,4257e" filled="false" stroked="true" strokeweight=".48004pt" strokecolor="#000000">
                <v:path arrowok="t"/>
              </v:shape>
            </v:group>
            <v:group style="position:absolute;left:5065;top:4257;width:840;height:2" coordorigin="5065,4257" coordsize="840,2">
              <v:shape style="position:absolute;left:5065;top:4257;width:840;height:2" coordorigin="5065,4257" coordsize="840,0" path="m5065,4257l5905,4257e" filled="false" stroked="true" strokeweight=".48004pt" strokecolor="#000000">
                <v:path arrowok="t"/>
              </v:shape>
            </v:group>
            <v:group style="position:absolute;left:5915;top:4257;width:558;height:2" coordorigin="5915,4257" coordsize="558,2">
              <v:shape style="position:absolute;left:5915;top:4257;width:558;height:2" coordorigin="5915,4257" coordsize="558,0" path="m5915,4257l6472,4257e" filled="false" stroked="true" strokeweight=".48004pt" strokecolor="#000000">
                <v:path arrowok="t"/>
              </v:shape>
            </v:group>
            <v:group style="position:absolute;left:6481;top:4257;width:701;height:2" coordorigin="6481,4257" coordsize="701,2">
              <v:shape style="position:absolute;left:6481;top:4257;width:701;height:2" coordorigin="6481,4257" coordsize="701,0" path="m6481,4257l7182,4257e" filled="false" stroked="true" strokeweight=".48004pt" strokecolor="#000000">
                <v:path arrowok="t"/>
              </v:shape>
            </v:group>
            <v:group style="position:absolute;left:7192;top:4257;width:416;height:2" coordorigin="7192,4257" coordsize="416,2">
              <v:shape style="position:absolute;left:7192;top:4257;width:416;height:2" coordorigin="7192,4257" coordsize="416,0" path="m7192,4257l7607,4257e" filled="false" stroked="true" strokeweight=".48004pt" strokecolor="#000000">
                <v:path arrowok="t"/>
              </v:shape>
            </v:group>
            <v:group style="position:absolute;left:7617;top:4257;width:699;height:2" coordorigin="7617,4257" coordsize="699,2">
              <v:shape style="position:absolute;left:7617;top:4257;width:699;height:2" coordorigin="7617,4257" coordsize="699,0" path="m7617,4257l8315,4257e" filled="false" stroked="true" strokeweight=".48004pt" strokecolor="#000000">
                <v:path arrowok="t"/>
              </v:shape>
            </v:group>
            <v:group style="position:absolute;left:8325;top:4257;width:558;height:2" coordorigin="8325,4257" coordsize="558,2">
              <v:shape style="position:absolute;left:8325;top:4257;width:558;height:2" coordorigin="8325,4257" coordsize="558,0" path="m8325,4257l8882,4257e" filled="false" stroked="true" strokeweight=".48004pt" strokecolor="#000000">
                <v:path arrowok="t"/>
              </v:shape>
            </v:group>
            <v:group style="position:absolute;left:8892;top:4257;width:843;height:2" coordorigin="8892,4257" coordsize="843,2">
              <v:shape style="position:absolute;left:8892;top:4257;width:843;height:2" coordorigin="8892,4257" coordsize="843,0" path="m8892,4257l9734,4257e" filled="false" stroked="true" strokeweight=".48004pt" strokecolor="#000000">
                <v:path arrowok="t"/>
              </v:shape>
            </v:group>
            <v:group style="position:absolute;left:9744;top:4257;width:699;height:2" coordorigin="9744,4257" coordsize="699,2">
              <v:shape style="position:absolute;left:9744;top:4257;width:699;height:2" coordorigin="9744,4257" coordsize="699,0" path="m9744,4257l10442,4257e" filled="false" stroked="true" strokeweight=".48004pt" strokecolor="#000000">
                <v:path arrowok="t"/>
              </v:shape>
            </v:group>
            <v:group style="position:absolute;left:10452;top:4257;width:699;height:2" coordorigin="10452,4257" coordsize="699,2">
              <v:shape style="position:absolute;left:10452;top:4257;width:699;height:2" coordorigin="10452,4257" coordsize="699,0" path="m10452,4257l11150,4257e" filled="false" stroked="true" strokeweight=".48004pt" strokecolor="#000000">
                <v:path arrowok="t"/>
              </v:shape>
            </v:group>
            <v:group style="position:absolute;left:1798;top:3695;width:2;height:881" coordorigin="1798,3695" coordsize="2,881">
              <v:shape style="position:absolute;left:1798;top:3695;width:2;height:881" coordorigin="1798,3695" coordsize="0,881" path="m1798,3695l1798,4576e" filled="false" stroked="true" strokeweight=".48pt" strokecolor="#000000">
                <v:path arrowok="t"/>
              </v:shape>
            </v:group>
            <v:group style="position:absolute;left:4775;top:3695;width:2;height:881" coordorigin="4775,3695" coordsize="2,881">
              <v:shape style="position:absolute;left:4775;top:3695;width:2;height:881" coordorigin="4775,3695" coordsize="0,881" path="m4775,3695l4775,4576e" filled="false" stroked="true" strokeweight=".48pt" strokecolor="#000000">
                <v:path arrowok="t"/>
              </v:shape>
            </v:group>
            <v:group style="position:absolute;left:1803;top:4586;width:1428;height:195" coordorigin="1803,4586" coordsize="1428,195">
              <v:shape style="position:absolute;left:1803;top:4586;width:1428;height:195" coordorigin="1803,4586" coordsize="1428,195" path="m1803,4780l3231,4780,3231,4586,1803,4586,1803,4780xe" filled="true" fillcolor="#d2d2d2" stroked="false">
                <v:path arrowok="t"/>
                <v:fill type="solid"/>
              </v:shape>
            </v:group>
            <v:group style="position:absolute;left:1814;top:4780;width:2;height:315" coordorigin="1814,4780" coordsize="2,315">
              <v:shape style="position:absolute;left:1814;top:4780;width:2;height:315" coordorigin="1814,4780" coordsize="0,315" path="m1814,4780l1814,5094e" filled="false" stroked="true" strokeweight="1.08pt" strokecolor="#d2d2d2">
                <v:path arrowok="t"/>
              </v:shape>
            </v:group>
            <v:group style="position:absolute;left:3219;top:4780;width:2;height:315" coordorigin="3219,4780" coordsize="2,315">
              <v:shape style="position:absolute;left:3219;top:4780;width:2;height:315" coordorigin="3219,4780" coordsize="0,315" path="m3219,4780l3219,5094e" filled="false" stroked="true" strokeweight="1.2pt" strokecolor="#d2d2d2">
                <v:path arrowok="t"/>
              </v:shape>
            </v:group>
            <v:group style="position:absolute;left:1803;top:5094;width:1428;height:192" coordorigin="1803,5094" coordsize="1428,192">
              <v:shape style="position:absolute;left:1803;top:5094;width:1428;height:192" coordorigin="1803,5094" coordsize="1428,192" path="m1803,5286l3231,5286,3231,5094,1803,5094,1803,5286xe" filled="true" fillcolor="#d2d2d2" stroked="false">
                <v:path arrowok="t"/>
                <v:fill type="solid"/>
              </v:shape>
            </v:group>
            <v:group style="position:absolute;left:1803;top:4581;width:1428;height:2" coordorigin="1803,4581" coordsize="1428,2">
              <v:shape style="position:absolute;left:1803;top:4581;width:1428;height:2" coordorigin="1803,4581" coordsize="1428,0" path="m1803,4581l3231,4581e" filled="false" stroked="true" strokeweight=".47998pt" strokecolor="#000000">
                <v:path arrowok="t"/>
              </v:shape>
            </v:group>
            <v:group style="position:absolute;left:3240;top:4581;width:552;height:2" coordorigin="3240,4581" coordsize="552,2">
              <v:shape style="position:absolute;left:3240;top:4581;width:552;height:2" coordorigin="3240,4581" coordsize="552,0" path="m3240,4581l3792,4581e" filled="false" stroked="true" strokeweight=".47998pt" strokecolor="#000000">
                <v:path arrowok="t"/>
              </v:shape>
            </v:group>
            <v:group style="position:absolute;left:3802;top:4581;width:524;height:2" coordorigin="3802,4581" coordsize="524,2">
              <v:shape style="position:absolute;left:3802;top:4581;width:524;height:2" coordorigin="3802,4581" coordsize="524,0" path="m3802,4581l4326,4581e" filled="false" stroked="true" strokeweight=".47998pt" strokecolor="#000000">
                <v:path arrowok="t"/>
              </v:shape>
            </v:group>
            <v:group style="position:absolute;left:4335;top:4581;width:435;height:2" coordorigin="4335,4581" coordsize="435,2">
              <v:shape style="position:absolute;left:4335;top:4581;width:435;height:2" coordorigin="4335,4581" coordsize="435,0" path="m4335,4581l4770,4581e" filled="false" stroked="true" strokeweight=".47998pt" strokecolor="#000000">
                <v:path arrowok="t"/>
              </v:shape>
            </v:group>
            <v:group style="position:absolute;left:4779;top:4581;width:276;height:2" coordorigin="4779,4581" coordsize="276,2">
              <v:shape style="position:absolute;left:4779;top:4581;width:276;height:2" coordorigin="4779,4581" coordsize="276,0" path="m4779,4581l5055,4581e" filled="false" stroked="true" strokeweight=".47998pt" strokecolor="#000000">
                <v:path arrowok="t"/>
              </v:shape>
            </v:group>
            <v:group style="position:absolute;left:5065;top:4581;width:840;height:2" coordorigin="5065,4581" coordsize="840,2">
              <v:shape style="position:absolute;left:5065;top:4581;width:840;height:2" coordorigin="5065,4581" coordsize="840,0" path="m5065,4581l5905,4581e" filled="false" stroked="true" strokeweight=".47998pt" strokecolor="#000000">
                <v:path arrowok="t"/>
              </v:shape>
            </v:group>
            <v:group style="position:absolute;left:5915;top:4581;width:558;height:2" coordorigin="5915,4581" coordsize="558,2">
              <v:shape style="position:absolute;left:5915;top:4581;width:558;height:2" coordorigin="5915,4581" coordsize="558,0" path="m5915,4581l6472,4581e" filled="false" stroked="true" strokeweight=".47998pt" strokecolor="#000000">
                <v:path arrowok="t"/>
              </v:shape>
            </v:group>
            <v:group style="position:absolute;left:6481;top:4581;width:701;height:2" coordorigin="6481,4581" coordsize="701,2">
              <v:shape style="position:absolute;left:6481;top:4581;width:701;height:2" coordorigin="6481,4581" coordsize="701,0" path="m6481,4581l7182,4581e" filled="false" stroked="true" strokeweight=".47998pt" strokecolor="#000000">
                <v:path arrowok="t"/>
              </v:shape>
            </v:group>
            <v:group style="position:absolute;left:7192;top:4581;width:416;height:2" coordorigin="7192,4581" coordsize="416,2">
              <v:shape style="position:absolute;left:7192;top:4581;width:416;height:2" coordorigin="7192,4581" coordsize="416,0" path="m7192,4581l7607,4581e" filled="false" stroked="true" strokeweight=".47998pt" strokecolor="#000000">
                <v:path arrowok="t"/>
              </v:shape>
            </v:group>
            <v:group style="position:absolute;left:7617;top:4581;width:699;height:2" coordorigin="7617,4581" coordsize="699,2">
              <v:shape style="position:absolute;left:7617;top:4581;width:699;height:2" coordorigin="7617,4581" coordsize="699,0" path="m7617,4581l8315,4581e" filled="false" stroked="true" strokeweight=".47998pt" strokecolor="#000000">
                <v:path arrowok="t"/>
              </v:shape>
            </v:group>
            <v:group style="position:absolute;left:8325;top:4581;width:558;height:2" coordorigin="8325,4581" coordsize="558,2">
              <v:shape style="position:absolute;left:8325;top:4581;width:558;height:2" coordorigin="8325,4581" coordsize="558,0" path="m8325,4581l8882,4581e" filled="false" stroked="true" strokeweight=".47998pt" strokecolor="#000000">
                <v:path arrowok="t"/>
              </v:shape>
            </v:group>
            <v:group style="position:absolute;left:8892;top:4581;width:843;height:2" coordorigin="8892,4581" coordsize="843,2">
              <v:shape style="position:absolute;left:8892;top:4581;width:843;height:2" coordorigin="8892,4581" coordsize="843,0" path="m8892,4581l9734,4581e" filled="false" stroked="true" strokeweight=".47998pt" strokecolor="#000000">
                <v:path arrowok="t"/>
              </v:shape>
            </v:group>
            <v:group style="position:absolute;left:9744;top:4581;width:699;height:2" coordorigin="9744,4581" coordsize="699,2">
              <v:shape style="position:absolute;left:9744;top:4581;width:699;height:2" coordorigin="9744,4581" coordsize="699,0" path="m9744,4581l10442,4581e" filled="false" stroked="true" strokeweight=".47998pt" strokecolor="#000000">
                <v:path arrowok="t"/>
              </v:shape>
            </v:group>
            <v:group style="position:absolute;left:10452;top:4581;width:699;height:2" coordorigin="10452,4581" coordsize="699,2">
              <v:shape style="position:absolute;left:10452;top:4581;width:699;height:2" coordorigin="10452,4581" coordsize="699,0" path="m10452,4581l11150,4581e" filled="false" stroked="true" strokeweight=".47998pt" strokecolor="#000000">
                <v:path arrowok="t"/>
              </v:shape>
            </v:group>
            <v:group style="position:absolute;left:1798;top:4576;width:2;height:711" coordorigin="1798,4576" coordsize="2,711">
              <v:shape style="position:absolute;left:1798;top:4576;width:2;height:711" coordorigin="1798,4576" coordsize="0,711" path="m1798,4576l1798,5286e" filled="false" stroked="true" strokeweight=".48pt" strokecolor="#000000">
                <v:path arrowok="t"/>
              </v:shape>
            </v:group>
            <v:group style="position:absolute;left:4775;top:4576;width:2;height:711" coordorigin="4775,4576" coordsize="2,711">
              <v:shape style="position:absolute;left:4775;top:4576;width:2;height:711" coordorigin="4775,4576" coordsize="0,711" path="m4775,4576l4775,5286e" filled="false" stroked="true" strokeweight=".48pt" strokecolor="#000000">
                <v:path arrowok="t"/>
              </v:shape>
            </v:group>
            <v:group style="position:absolute;left:1814;top:5296;width:2;height:783" coordorigin="1814,5296" coordsize="2,783">
              <v:shape style="position:absolute;left:1814;top:5296;width:2;height:783" coordorigin="1814,5296" coordsize="0,783" path="m1814,5296l1814,6079e" filled="false" stroked="true" strokeweight="1.08pt" strokecolor="#d2d2d2">
                <v:path arrowok="t"/>
              </v:shape>
            </v:group>
            <v:group style="position:absolute;left:3219;top:5296;width:2;height:783" coordorigin="3219,5296" coordsize="2,783">
              <v:shape style="position:absolute;left:3219;top:5296;width:2;height:783" coordorigin="3219,5296" coordsize="0,783" path="m3219,5296l3219,6079e" filled="false" stroked="true" strokeweight="1.2pt" strokecolor="#d2d2d2">
                <v:path arrowok="t"/>
              </v:shape>
            </v:group>
            <v:group style="position:absolute;left:1824;top:5296;width:1383;height:274" coordorigin="1824,5296" coordsize="1383,274">
              <v:shape style="position:absolute;left:1824;top:5296;width:1383;height:274" coordorigin="1824,5296" coordsize="1383,274" path="m1824,5570l3207,5570,3207,5296,1824,5296,1824,5570xe" filled="true" fillcolor="#d2d2d2" stroked="false">
                <v:path arrowok="t"/>
                <v:fill type="solid"/>
              </v:shape>
            </v:group>
            <v:group style="position:absolute;left:1824;top:5570;width:1383;height:236" coordorigin="1824,5570" coordsize="1383,236">
              <v:shape style="position:absolute;left:1824;top:5570;width:1383;height:236" coordorigin="1824,5570" coordsize="1383,236" path="m1824,5805l3207,5805,3207,5570,1824,5570,1824,5805xe" filled="true" fillcolor="#d2d2d2" stroked="false">
                <v:path arrowok="t"/>
                <v:fill type="solid"/>
              </v:shape>
            </v:group>
            <v:group style="position:absolute;left:1824;top:5805;width:1383;height:275" coordorigin="1824,5805" coordsize="1383,275">
              <v:shape style="position:absolute;left:1824;top:5805;width:1383;height:275" coordorigin="1824,5805" coordsize="1383,275" path="m1824,6079l3207,6079,3207,5805,1824,5805,1824,6079xe" filled="true" fillcolor="#d2d2d2" stroked="false">
                <v:path arrowok="t"/>
                <v:fill type="solid"/>
              </v:shape>
            </v:group>
            <v:group style="position:absolute;left:1803;top:5291;width:1428;height:2" coordorigin="1803,5291" coordsize="1428,2">
              <v:shape style="position:absolute;left:1803;top:5291;width:1428;height:2" coordorigin="1803,5291" coordsize="1428,0" path="m1803,5291l3231,5291e" filled="false" stroked="true" strokeweight=".47998pt" strokecolor="#000000">
                <v:path arrowok="t"/>
              </v:shape>
            </v:group>
            <v:group style="position:absolute;left:3240;top:5291;width:552;height:2" coordorigin="3240,5291" coordsize="552,2">
              <v:shape style="position:absolute;left:3240;top:5291;width:552;height:2" coordorigin="3240,5291" coordsize="552,0" path="m3240,5291l3792,5291e" filled="false" stroked="true" strokeweight=".47998pt" strokecolor="#000000">
                <v:path arrowok="t"/>
              </v:shape>
            </v:group>
            <v:group style="position:absolute;left:3802;top:5291;width:524;height:2" coordorigin="3802,5291" coordsize="524,2">
              <v:shape style="position:absolute;left:3802;top:5291;width:524;height:2" coordorigin="3802,5291" coordsize="524,0" path="m3802,5291l4326,5291e" filled="false" stroked="true" strokeweight=".47998pt" strokecolor="#000000">
                <v:path arrowok="t"/>
              </v:shape>
            </v:group>
            <v:group style="position:absolute;left:4335;top:5291;width:435;height:2" coordorigin="4335,5291" coordsize="435,2">
              <v:shape style="position:absolute;left:4335;top:5291;width:435;height:2" coordorigin="4335,5291" coordsize="435,0" path="m4335,5291l4770,5291e" filled="false" stroked="true" strokeweight=".47998pt" strokecolor="#000000">
                <v:path arrowok="t"/>
              </v:shape>
            </v:group>
            <v:group style="position:absolute;left:4779;top:5291;width:276;height:2" coordorigin="4779,5291" coordsize="276,2">
              <v:shape style="position:absolute;left:4779;top:5291;width:276;height:2" coordorigin="4779,5291" coordsize="276,0" path="m4779,5291l5055,5291e" filled="false" stroked="true" strokeweight=".47998pt" strokecolor="#000000">
                <v:path arrowok="t"/>
              </v:shape>
            </v:group>
            <v:group style="position:absolute;left:5065;top:5291;width:840;height:2" coordorigin="5065,5291" coordsize="840,2">
              <v:shape style="position:absolute;left:5065;top:5291;width:840;height:2" coordorigin="5065,5291" coordsize="840,0" path="m5065,5291l5905,5291e" filled="false" stroked="true" strokeweight=".47998pt" strokecolor="#000000">
                <v:path arrowok="t"/>
              </v:shape>
            </v:group>
            <v:group style="position:absolute;left:5915;top:5291;width:558;height:2" coordorigin="5915,5291" coordsize="558,2">
              <v:shape style="position:absolute;left:5915;top:5291;width:558;height:2" coordorigin="5915,5291" coordsize="558,0" path="m5915,5291l6472,5291e" filled="false" stroked="true" strokeweight=".47998pt" strokecolor="#000000">
                <v:path arrowok="t"/>
              </v:shape>
            </v:group>
            <v:group style="position:absolute;left:6481;top:5291;width:701;height:2" coordorigin="6481,5291" coordsize="701,2">
              <v:shape style="position:absolute;left:6481;top:5291;width:701;height:2" coordorigin="6481,5291" coordsize="701,0" path="m6481,5291l7182,5291e" filled="false" stroked="true" strokeweight=".47998pt" strokecolor="#000000">
                <v:path arrowok="t"/>
              </v:shape>
            </v:group>
            <v:group style="position:absolute;left:7192;top:5291;width:416;height:2" coordorigin="7192,5291" coordsize="416,2">
              <v:shape style="position:absolute;left:7192;top:5291;width:416;height:2" coordorigin="7192,5291" coordsize="416,0" path="m7192,5291l7607,5291e" filled="false" stroked="true" strokeweight=".47998pt" strokecolor="#000000">
                <v:path arrowok="t"/>
              </v:shape>
            </v:group>
            <v:group style="position:absolute;left:7617;top:5291;width:699;height:2" coordorigin="7617,5291" coordsize="699,2">
              <v:shape style="position:absolute;left:7617;top:5291;width:699;height:2" coordorigin="7617,5291" coordsize="699,0" path="m7617,5291l8315,5291e" filled="false" stroked="true" strokeweight=".47998pt" strokecolor="#000000">
                <v:path arrowok="t"/>
              </v:shape>
            </v:group>
            <v:group style="position:absolute;left:8325;top:5291;width:558;height:2" coordorigin="8325,5291" coordsize="558,2">
              <v:shape style="position:absolute;left:8325;top:5291;width:558;height:2" coordorigin="8325,5291" coordsize="558,0" path="m8325,5291l8882,5291e" filled="false" stroked="true" strokeweight=".47998pt" strokecolor="#000000">
                <v:path arrowok="t"/>
              </v:shape>
            </v:group>
            <v:group style="position:absolute;left:8892;top:5291;width:843;height:2" coordorigin="8892,5291" coordsize="843,2">
              <v:shape style="position:absolute;left:8892;top:5291;width:843;height:2" coordorigin="8892,5291" coordsize="843,0" path="m8892,5291l9734,5291e" filled="false" stroked="true" strokeweight=".47998pt" strokecolor="#000000">
                <v:path arrowok="t"/>
              </v:shape>
            </v:group>
            <v:group style="position:absolute;left:9744;top:5291;width:699;height:2" coordorigin="9744,5291" coordsize="699,2">
              <v:shape style="position:absolute;left:9744;top:5291;width:699;height:2" coordorigin="9744,5291" coordsize="699,0" path="m9744,5291l10442,5291e" filled="false" stroked="true" strokeweight=".47998pt" strokecolor="#000000">
                <v:path arrowok="t"/>
              </v:shape>
            </v:group>
            <v:group style="position:absolute;left:10452;top:5291;width:699;height:2" coordorigin="10452,5291" coordsize="699,2">
              <v:shape style="position:absolute;left:10452;top:5291;width:699;height:2" coordorigin="10452,5291" coordsize="699,0" path="m10452,5291l11150,5291e" filled="false" stroked="true" strokeweight=".47998pt" strokecolor="#000000">
                <v:path arrowok="t"/>
              </v:shape>
            </v:group>
            <v:group style="position:absolute;left:1814;top:6088;width:2;height:548" coordorigin="1814,6088" coordsize="2,548">
              <v:shape style="position:absolute;left:1814;top:6088;width:2;height:548" coordorigin="1814,6088" coordsize="0,548" path="m1814,6088l1814,6636e" filled="false" stroked="true" strokeweight="1.08pt" strokecolor="#d2d2d2">
                <v:path arrowok="t"/>
              </v:shape>
            </v:group>
            <v:group style="position:absolute;left:3219;top:6088;width:2;height:548" coordorigin="3219,6088" coordsize="2,548">
              <v:shape style="position:absolute;left:3219;top:6088;width:2;height:548" coordorigin="3219,6088" coordsize="0,548" path="m3219,6088l3219,6636e" filled="false" stroked="true" strokeweight="1.2pt" strokecolor="#d2d2d2">
                <v:path arrowok="t"/>
              </v:shape>
            </v:group>
            <v:group style="position:absolute;left:1824;top:6088;width:1383;height:274" coordorigin="1824,6088" coordsize="1383,274">
              <v:shape style="position:absolute;left:1824;top:6088;width:1383;height:274" coordorigin="1824,6088" coordsize="1383,274" path="m1824,6362l3207,6362,3207,6088,1824,6088,1824,6362xe" filled="true" fillcolor="#d2d2d2" stroked="false">
                <v:path arrowok="t"/>
                <v:fill type="solid"/>
              </v:shape>
            </v:group>
            <v:group style="position:absolute;left:1824;top:6362;width:1383;height:274" coordorigin="1824,6362" coordsize="1383,274">
              <v:shape style="position:absolute;left:1824;top:6362;width:1383;height:274" coordorigin="1824,6362" coordsize="1383,274" path="m1824,6636l3207,6636,3207,6362,1824,6362,1824,6636xe" filled="true" fillcolor="#d2d2d2" stroked="false">
                <v:path arrowok="t"/>
                <v:fill type="solid"/>
              </v:shape>
            </v:group>
            <v:group style="position:absolute;left:1803;top:6084;width:1428;height:2" coordorigin="1803,6084" coordsize="1428,2">
              <v:shape style="position:absolute;left:1803;top:6084;width:1428;height:2" coordorigin="1803,6084" coordsize="1428,0" path="m1803,6084l3231,6084e" filled="false" stroked="true" strokeweight=".48004pt" strokecolor="#000000">
                <v:path arrowok="t"/>
              </v:shape>
            </v:group>
            <v:group style="position:absolute;left:3240;top:6084;width:552;height:2" coordorigin="3240,6084" coordsize="552,2">
              <v:shape style="position:absolute;left:3240;top:6084;width:552;height:2" coordorigin="3240,6084" coordsize="552,0" path="m3240,6084l3792,6084e" filled="false" stroked="true" strokeweight=".48004pt" strokecolor="#000000">
                <v:path arrowok="t"/>
              </v:shape>
            </v:group>
            <v:group style="position:absolute;left:3802;top:6084;width:524;height:2" coordorigin="3802,6084" coordsize="524,2">
              <v:shape style="position:absolute;left:3802;top:6084;width:524;height:2" coordorigin="3802,6084" coordsize="524,0" path="m3802,6084l4326,6084e" filled="false" stroked="true" strokeweight=".48004pt" strokecolor="#000000">
                <v:path arrowok="t"/>
              </v:shape>
            </v:group>
            <v:group style="position:absolute;left:4335;top:6084;width:435;height:2" coordorigin="4335,6084" coordsize="435,2">
              <v:shape style="position:absolute;left:4335;top:6084;width:435;height:2" coordorigin="4335,6084" coordsize="435,0" path="m4335,6084l4770,6084e" filled="false" stroked="true" strokeweight=".48004pt" strokecolor="#000000">
                <v:path arrowok="t"/>
              </v:shape>
            </v:group>
            <v:group style="position:absolute;left:4779;top:6084;width:276;height:2" coordorigin="4779,6084" coordsize="276,2">
              <v:shape style="position:absolute;left:4779;top:6084;width:276;height:2" coordorigin="4779,6084" coordsize="276,0" path="m4779,6084l5055,6084e" filled="false" stroked="true" strokeweight=".48004pt" strokecolor="#000000">
                <v:path arrowok="t"/>
              </v:shape>
            </v:group>
            <v:group style="position:absolute;left:5065;top:6084;width:840;height:2" coordorigin="5065,6084" coordsize="840,2">
              <v:shape style="position:absolute;left:5065;top:6084;width:840;height:2" coordorigin="5065,6084" coordsize="840,0" path="m5065,6084l5905,6084e" filled="false" stroked="true" strokeweight=".48004pt" strokecolor="#000000">
                <v:path arrowok="t"/>
              </v:shape>
            </v:group>
            <v:group style="position:absolute;left:5915;top:6084;width:558;height:2" coordorigin="5915,6084" coordsize="558,2">
              <v:shape style="position:absolute;left:5915;top:6084;width:558;height:2" coordorigin="5915,6084" coordsize="558,0" path="m5915,6084l6472,6084e" filled="false" stroked="true" strokeweight=".48004pt" strokecolor="#000000">
                <v:path arrowok="t"/>
              </v:shape>
            </v:group>
            <v:group style="position:absolute;left:6481;top:6084;width:701;height:2" coordorigin="6481,6084" coordsize="701,2">
              <v:shape style="position:absolute;left:6481;top:6084;width:701;height:2" coordorigin="6481,6084" coordsize="701,0" path="m6481,6084l7182,6084e" filled="false" stroked="true" strokeweight=".48004pt" strokecolor="#000000">
                <v:path arrowok="t"/>
              </v:shape>
            </v:group>
            <v:group style="position:absolute;left:7192;top:6084;width:416;height:2" coordorigin="7192,6084" coordsize="416,2">
              <v:shape style="position:absolute;left:7192;top:6084;width:416;height:2" coordorigin="7192,6084" coordsize="416,0" path="m7192,6084l7607,6084e" filled="false" stroked="true" strokeweight=".48004pt" strokecolor="#000000">
                <v:path arrowok="t"/>
              </v:shape>
            </v:group>
            <v:group style="position:absolute;left:7617;top:6084;width:699;height:2" coordorigin="7617,6084" coordsize="699,2">
              <v:shape style="position:absolute;left:7617;top:6084;width:699;height:2" coordorigin="7617,6084" coordsize="699,0" path="m7617,6084l8315,6084e" filled="false" stroked="true" strokeweight=".48004pt" strokecolor="#000000">
                <v:path arrowok="t"/>
              </v:shape>
            </v:group>
            <v:group style="position:absolute;left:8325;top:6084;width:558;height:2" coordorigin="8325,6084" coordsize="558,2">
              <v:shape style="position:absolute;left:8325;top:6084;width:558;height:2" coordorigin="8325,6084" coordsize="558,0" path="m8325,6084l8882,6084e" filled="false" stroked="true" strokeweight=".48004pt" strokecolor="#000000">
                <v:path arrowok="t"/>
              </v:shape>
            </v:group>
            <v:group style="position:absolute;left:8892;top:6084;width:843;height:2" coordorigin="8892,6084" coordsize="843,2">
              <v:shape style="position:absolute;left:8892;top:6084;width:843;height:2" coordorigin="8892,6084" coordsize="843,0" path="m8892,6084l9734,6084e" filled="false" stroked="true" strokeweight=".48004pt" strokecolor="#000000">
                <v:path arrowok="t"/>
              </v:shape>
            </v:group>
            <v:group style="position:absolute;left:9744;top:6084;width:699;height:2" coordorigin="9744,6084" coordsize="699,2">
              <v:shape style="position:absolute;left:9744;top:6084;width:699;height:2" coordorigin="9744,6084" coordsize="699,0" path="m9744,6084l10442,6084e" filled="false" stroked="true" strokeweight=".48004pt" strokecolor="#000000">
                <v:path arrowok="t"/>
              </v:shape>
            </v:group>
            <v:group style="position:absolute;left:10452;top:6084;width:699;height:2" coordorigin="10452,6084" coordsize="699,2">
              <v:shape style="position:absolute;left:10452;top:6084;width:699;height:2" coordorigin="10452,6084" coordsize="699,0" path="m10452,6084l11150,6084e" filled="false" stroked="true" strokeweight=".48004pt" strokecolor="#000000">
                <v:path arrowok="t"/>
              </v:shape>
            </v:group>
            <v:group style="position:absolute;left:1798;top:5286;width:2;height:1350" coordorigin="1798,5286" coordsize="2,1350">
              <v:shape style="position:absolute;left:1798;top:5286;width:2;height:1350" coordorigin="1798,5286" coordsize="0,1350" path="m1798,5286l1798,6636e" filled="false" stroked="true" strokeweight=".48pt" strokecolor="#000000">
                <v:path arrowok="t"/>
              </v:shape>
            </v:group>
            <v:group style="position:absolute;left:1793;top:6640;width:10;height:2" coordorigin="1793,6640" coordsize="10,2">
              <v:shape style="position:absolute;left:1793;top:6640;width:10;height:2" coordorigin="1793,6640" coordsize="10,0" path="m1793,6640l1803,6640e" filled="false" stroked="true" strokeweight=".47998pt" strokecolor="#000000">
                <v:path arrowok="t"/>
              </v:shape>
            </v:group>
            <v:group style="position:absolute;left:1803;top:6640;width:1428;height:2" coordorigin="1803,6640" coordsize="1428,2">
              <v:shape style="position:absolute;left:1803;top:6640;width:1428;height:2" coordorigin="1803,6640" coordsize="1428,0" path="m1803,6640l3231,6640e" filled="false" stroked="true" strokeweight=".47998pt" strokecolor="#000000">
                <v:path arrowok="t"/>
              </v:shape>
            </v:group>
            <v:group style="position:absolute;left:3236;top:344;width:2;height:6301" coordorigin="3236,344" coordsize="2,6301">
              <v:shape style="position:absolute;left:3236;top:344;width:2;height:6301" coordorigin="3236,344" coordsize="0,6301" path="m3236,344l3236,6645e" filled="false" stroked="true" strokeweight=".48pt" strokecolor="#000000">
                <v:path arrowok="t"/>
              </v:shape>
            </v:group>
            <v:group style="position:absolute;left:3240;top:6640;width:552;height:2" coordorigin="3240,6640" coordsize="552,2">
              <v:shape style="position:absolute;left:3240;top:6640;width:552;height:2" coordorigin="3240,6640" coordsize="552,0" path="m3240,6640l3792,6640e" filled="false" stroked="true" strokeweight=".47998pt" strokecolor="#000000">
                <v:path arrowok="t"/>
              </v:shape>
            </v:group>
            <v:group style="position:absolute;left:3797;top:990;width:2;height:5656" coordorigin="3797,990" coordsize="2,5656">
              <v:shape style="position:absolute;left:3797;top:990;width:2;height:5656" coordorigin="3797,990" coordsize="0,5656" path="m3797,990l3797,6645e" filled="false" stroked="true" strokeweight=".48pt" strokecolor="#000000">
                <v:path arrowok="t"/>
              </v:shape>
            </v:group>
            <v:group style="position:absolute;left:3802;top:6640;width:524;height:2" coordorigin="3802,6640" coordsize="524,2">
              <v:shape style="position:absolute;left:3802;top:6640;width:524;height:2" coordorigin="3802,6640" coordsize="524,0" path="m3802,6640l4326,6640e" filled="false" stroked="true" strokeweight=".47998pt" strokecolor="#000000">
                <v:path arrowok="t"/>
              </v:shape>
            </v:group>
            <v:group style="position:absolute;left:4331;top:1314;width:2;height:5332" coordorigin="4331,1314" coordsize="2,5332">
              <v:shape style="position:absolute;left:4331;top:1314;width:2;height:5332" coordorigin="4331,1314" coordsize="0,5332" path="m4331,1314l4331,6645e" filled="false" stroked="true" strokeweight=".48001pt" strokecolor="#000000">
                <v:path arrowok="t"/>
              </v:shape>
            </v:group>
            <v:group style="position:absolute;left:4335;top:6640;width:435;height:2" coordorigin="4335,6640" coordsize="435,2">
              <v:shape style="position:absolute;left:4335;top:6640;width:435;height:2" coordorigin="4335,6640" coordsize="435,0" path="m4335,6640l4770,6640e" filled="false" stroked="true" strokeweight=".47998pt" strokecolor="#000000">
                <v:path arrowok="t"/>
              </v:shape>
            </v:group>
            <v:group style="position:absolute;left:4775;top:5286;width:2;height:1350" coordorigin="4775,5286" coordsize="2,1350">
              <v:shape style="position:absolute;left:4775;top:5286;width:2;height:1350" coordorigin="4775,5286" coordsize="0,1350" path="m4775,5286l4775,6636e" filled="false" stroked="true" strokeweight=".48pt" strokecolor="#000000">
                <v:path arrowok="t"/>
              </v:shape>
            </v:group>
            <v:group style="position:absolute;left:4770;top:6640;width:10;height:2" coordorigin="4770,6640" coordsize="10,2">
              <v:shape style="position:absolute;left:4770;top:6640;width:10;height:2" coordorigin="4770,6640" coordsize="10,0" path="m4770,6640l4779,6640e" filled="false" stroked="true" strokeweight=".47998pt" strokecolor="#000000">
                <v:path arrowok="t"/>
              </v:shape>
            </v:group>
            <v:group style="position:absolute;left:4779;top:6640;width:276;height:2" coordorigin="4779,6640" coordsize="276,2">
              <v:shape style="position:absolute;left:4779;top:6640;width:276;height:2" coordorigin="4779,6640" coordsize="276,0" path="m4779,6640l5055,6640e" filled="false" stroked="true" strokeweight=".47998pt" strokecolor="#000000">
                <v:path arrowok="t"/>
              </v:shape>
            </v:group>
            <v:group style="position:absolute;left:5060;top:990;width:2;height:5656" coordorigin="5060,990" coordsize="2,5656">
              <v:shape style="position:absolute;left:5060;top:990;width:2;height:5656" coordorigin="5060,990" coordsize="0,5656" path="m5060,990l5060,6645e" filled="false" stroked="true" strokeweight=".48pt" strokecolor="#000000">
                <v:path arrowok="t"/>
              </v:shape>
            </v:group>
            <v:group style="position:absolute;left:5065;top:6640;width:840;height:2" coordorigin="5065,6640" coordsize="840,2">
              <v:shape style="position:absolute;left:5065;top:6640;width:840;height:2" coordorigin="5065,6640" coordsize="840,0" path="m5065,6640l5905,6640e" filled="false" stroked="true" strokeweight=".47998pt" strokecolor="#000000">
                <v:path arrowok="t"/>
              </v:shape>
            </v:group>
            <v:group style="position:absolute;left:5910;top:990;width:2;height:5656" coordorigin="5910,990" coordsize="2,5656">
              <v:shape style="position:absolute;left:5910;top:990;width:2;height:5656" coordorigin="5910,990" coordsize="0,5656" path="m5910,990l5910,6645e" filled="false" stroked="true" strokeweight=".47998pt" strokecolor="#000000">
                <v:path arrowok="t"/>
              </v:shape>
            </v:group>
            <v:group style="position:absolute;left:5915;top:6640;width:558;height:2" coordorigin="5915,6640" coordsize="558,2">
              <v:shape style="position:absolute;left:5915;top:6640;width:558;height:2" coordorigin="5915,6640" coordsize="558,0" path="m5915,6640l6472,6640e" filled="false" stroked="true" strokeweight=".47998pt" strokecolor="#000000">
                <v:path arrowok="t"/>
              </v:shape>
            </v:group>
            <v:group style="position:absolute;left:6477;top:990;width:2;height:5656" coordorigin="6477,990" coordsize="2,5656">
              <v:shape style="position:absolute;left:6477;top:990;width:2;height:5656" coordorigin="6477,990" coordsize="0,5656" path="m6477,990l6477,6645e" filled="false" stroked="true" strokeweight=".47998pt" strokecolor="#000000">
                <v:path arrowok="t"/>
              </v:shape>
            </v:group>
            <v:group style="position:absolute;left:6481;top:6640;width:701;height:2" coordorigin="6481,6640" coordsize="701,2">
              <v:shape style="position:absolute;left:6481;top:6640;width:701;height:2" coordorigin="6481,6640" coordsize="701,0" path="m6481,6640l7182,6640e" filled="false" stroked="true" strokeweight=".47998pt" strokecolor="#000000">
                <v:path arrowok="t"/>
              </v:shape>
            </v:group>
            <v:group style="position:absolute;left:7187;top:990;width:2;height:5656" coordorigin="7187,990" coordsize="2,5656">
              <v:shape style="position:absolute;left:7187;top:990;width:2;height:5656" coordorigin="7187,990" coordsize="0,5656" path="m7187,990l7187,6645e" filled="false" stroked="true" strokeweight=".48001pt" strokecolor="#000000">
                <v:path arrowok="t"/>
              </v:shape>
            </v:group>
            <v:group style="position:absolute;left:7192;top:6640;width:416;height:2" coordorigin="7192,6640" coordsize="416,2">
              <v:shape style="position:absolute;left:7192;top:6640;width:416;height:2" coordorigin="7192,6640" coordsize="416,0" path="m7192,6640l7607,6640e" filled="false" stroked="true" strokeweight=".47998pt" strokecolor="#000000">
                <v:path arrowok="t"/>
              </v:shape>
            </v:group>
            <v:group style="position:absolute;left:7612;top:990;width:2;height:5656" coordorigin="7612,990" coordsize="2,5656">
              <v:shape style="position:absolute;left:7612;top:990;width:2;height:5656" coordorigin="7612,990" coordsize="0,5656" path="m7612,990l7612,6645e" filled="false" stroked="true" strokeweight=".48001pt" strokecolor="#000000">
                <v:path arrowok="t"/>
              </v:shape>
            </v:group>
            <v:group style="position:absolute;left:7617;top:6640;width:699;height:2" coordorigin="7617,6640" coordsize="699,2">
              <v:shape style="position:absolute;left:7617;top:6640;width:699;height:2" coordorigin="7617,6640" coordsize="699,0" path="m7617,6640l8315,6640e" filled="false" stroked="true" strokeweight=".47998pt" strokecolor="#000000">
                <v:path arrowok="t"/>
              </v:shape>
            </v:group>
            <v:group style="position:absolute;left:8320;top:990;width:2;height:5656" coordorigin="8320,990" coordsize="2,5656">
              <v:shape style="position:absolute;left:8320;top:990;width:2;height:5656" coordorigin="8320,990" coordsize="0,5656" path="m8320,990l8320,6645e" filled="false" stroked="true" strokeweight=".47998pt" strokecolor="#000000">
                <v:path arrowok="t"/>
              </v:shape>
            </v:group>
            <v:group style="position:absolute;left:8325;top:6640;width:558;height:2" coordorigin="8325,6640" coordsize="558,2">
              <v:shape style="position:absolute;left:8325;top:6640;width:558;height:2" coordorigin="8325,6640" coordsize="558,0" path="m8325,6640l8882,6640e" filled="false" stroked="true" strokeweight=".47998pt" strokecolor="#000000">
                <v:path arrowok="t"/>
              </v:shape>
            </v:group>
            <v:group style="position:absolute;left:8887;top:990;width:2;height:5656" coordorigin="8887,990" coordsize="2,5656">
              <v:shape style="position:absolute;left:8887;top:990;width:2;height:5656" coordorigin="8887,990" coordsize="0,5656" path="m8887,990l8887,6645e" filled="false" stroked="true" strokeweight=".47998pt" strokecolor="#000000">
                <v:path arrowok="t"/>
              </v:shape>
            </v:group>
            <v:group style="position:absolute;left:8892;top:6640;width:843;height:2" coordorigin="8892,6640" coordsize="843,2">
              <v:shape style="position:absolute;left:8892;top:6640;width:843;height:2" coordorigin="8892,6640" coordsize="843,0" path="m8892,6640l9734,6640e" filled="false" stroked="true" strokeweight=".47998pt" strokecolor="#000000">
                <v:path arrowok="t"/>
              </v:shape>
            </v:group>
            <v:group style="position:absolute;left:9739;top:666;width:2;height:5980" coordorigin="9739,666" coordsize="2,5980">
              <v:shape style="position:absolute;left:9739;top:666;width:2;height:5980" coordorigin="9739,666" coordsize="0,5980" path="m9739,666l9739,6645e" filled="false" stroked="true" strokeweight=".47998pt" strokecolor="#000000">
                <v:path arrowok="t"/>
              </v:shape>
            </v:group>
            <v:group style="position:absolute;left:9744;top:6640;width:699;height:2" coordorigin="9744,6640" coordsize="699,2">
              <v:shape style="position:absolute;left:9744;top:6640;width:699;height:2" coordorigin="9744,6640" coordsize="699,0" path="m9744,6640l10442,6640e" filled="false" stroked="true" strokeweight=".47998pt" strokecolor="#000000">
                <v:path arrowok="t"/>
              </v:shape>
            </v:group>
            <v:group style="position:absolute;left:10447;top:666;width:2;height:5980" coordorigin="10447,666" coordsize="2,5980">
              <v:shape style="position:absolute;left:10447;top:666;width:2;height:5980" coordorigin="10447,666" coordsize="0,5980" path="m10447,666l10447,6645e" filled="false" stroked="true" strokeweight=".47998pt" strokecolor="#000000">
                <v:path arrowok="t"/>
              </v:shape>
            </v:group>
            <v:group style="position:absolute;left:10452;top:6640;width:699;height:2" coordorigin="10452,6640" coordsize="699,2">
              <v:shape style="position:absolute;left:10452;top:6640;width:699;height:2" coordorigin="10452,6640" coordsize="699,0" path="m10452,6640l11150,6640e" filled="false" stroked="true" strokeweight=".47998pt" strokecolor="#000000">
                <v:path arrowok="t"/>
              </v:shape>
            </v:group>
            <v:group style="position:absolute;left:11155;top:344;width:2;height:6301" coordorigin="11155,344" coordsize="2,6301">
              <v:shape style="position:absolute;left:11155;top:344;width:2;height:6301" coordorigin="11155,344" coordsize="0,6301" path="m11155,344l11155,6645e" filled="false" stroked="true" strokeweight=".47998pt" strokecolor="#000000">
                <v:path arrowok="t"/>
              </v:shape>
            </v:group>
            <w10:wrap type="none"/>
          </v:group>
        </w:pict>
      </w:r>
      <w:r>
        <w:rPr/>
        <w:t>单位：元</w:t>
      </w:r>
    </w:p>
    <w:p>
      <w:pPr>
        <w:spacing w:line="240" w:lineRule="auto" w:before="1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427"/>
        <w:gridCol w:w="562"/>
        <w:gridCol w:w="533"/>
        <w:gridCol w:w="444"/>
        <w:gridCol w:w="286"/>
        <w:gridCol w:w="850"/>
        <w:gridCol w:w="567"/>
        <w:gridCol w:w="710"/>
        <w:gridCol w:w="425"/>
        <w:gridCol w:w="708"/>
        <w:gridCol w:w="567"/>
        <w:gridCol w:w="852"/>
        <w:gridCol w:w="708"/>
        <w:gridCol w:w="708"/>
      </w:tblGrid>
      <w:tr>
        <w:trPr>
          <w:trHeight w:val="323" w:hRule="exact"/>
        </w:trPr>
        <w:tc>
          <w:tcPr>
            <w:tcW w:w="9346" w:type="dxa"/>
            <w:gridSpan w:val="14"/>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13"/>
              <w:ind w:left="1429"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63" w:hRule="exact"/>
        </w:trPr>
        <w:tc>
          <w:tcPr>
            <w:tcW w:w="9346" w:type="dxa"/>
            <w:gridSpan w:val="14"/>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14"/>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r>
      <w:tr>
        <w:trPr>
          <w:trHeight w:val="296" w:hRule="exact"/>
        </w:trPr>
        <w:tc>
          <w:tcPr>
            <w:tcW w:w="1427"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tcBorders>
              <w:top w:val="nil" w:sz="6" w:space="0" w:color="auto"/>
              <w:left w:val="nil" w:sz="6" w:space="0" w:color="auto"/>
              <w:bottom w:val="nil" w:sz="6" w:space="0" w:color="auto"/>
              <w:right w:val="nil" w:sz="6" w:space="0" w:color="auto"/>
            </w:tcBorders>
          </w:tcPr>
          <w:p>
            <w:pPr/>
          </w:p>
        </w:tc>
        <w:tc>
          <w:tcPr>
            <w:tcW w:w="126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3"/>
              <w:ind w:left="9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50"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567" w:type="dxa"/>
            <w:vMerge w:val="restart"/>
            <w:tcBorders>
              <w:top w:val="nil" w:sz="6" w:space="0" w:color="auto"/>
              <w:left w:val="nil" w:sz="6" w:space="0" w:color="auto"/>
              <w:right w:val="nil" w:sz="6" w:space="0" w:color="auto"/>
            </w:tcBorders>
            <w:shd w:val="clear" w:color="auto" w:fill="D2D2D2"/>
          </w:tcPr>
          <w:p>
            <w:pPr>
              <w:pStyle w:val="TableParagraph"/>
              <w:spacing w:line="237" w:lineRule="auto" w:before="120"/>
              <w:ind w:left="103" w:right="101"/>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852" w:type="dxa"/>
            <w:tcBorders>
              <w:top w:val="nil" w:sz="6" w:space="0" w:color="auto"/>
              <w:left w:val="nil" w:sz="6" w:space="0" w:color="auto"/>
              <w:bottom w:val="nil" w:sz="6" w:space="0" w:color="auto"/>
              <w:right w:val="nil" w:sz="6" w:space="0" w:color="auto"/>
            </w:tcBorders>
          </w:tcPr>
          <w:p>
            <w:pPr/>
          </w:p>
        </w:tc>
        <w:tc>
          <w:tcPr>
            <w:tcW w:w="708" w:type="dxa"/>
            <w:vMerge w:val="restart"/>
            <w:tcBorders>
              <w:top w:val="nil" w:sz="6" w:space="0" w:color="auto"/>
              <w:left w:val="nil" w:sz="6" w:space="0" w:color="auto"/>
              <w:right w:val="nil" w:sz="6" w:space="0" w:color="auto"/>
            </w:tcBorders>
            <w:shd w:val="clear" w:color="auto" w:fill="D2D2D2"/>
          </w:tcPr>
          <w:p>
            <w:pPr>
              <w:pStyle w:val="TableParagraph"/>
              <w:spacing w:line="232" w:lineRule="exact" w:before="97"/>
              <w:ind w:left="81" w:right="84"/>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708" w:type="dxa"/>
            <w:vMerge w:val="restart"/>
            <w:tcBorders>
              <w:top w:val="nil" w:sz="6" w:space="0" w:color="auto"/>
              <w:left w:val="nil" w:sz="6" w:space="0" w:color="auto"/>
              <w:right w:val="nil" w:sz="6" w:space="0" w:color="auto"/>
            </w:tcBorders>
            <w:shd w:val="clear" w:color="auto" w:fill="D2D2D2"/>
          </w:tcPr>
          <w:p>
            <w:pPr>
              <w:pStyle w:val="TableParagraph"/>
              <w:spacing w:line="193" w:lineRule="exact"/>
              <w:ind w:left="81" w:right="0"/>
              <w:jc w:val="left"/>
              <w:rPr>
                <w:rFonts w:ascii="宋体" w:hAnsi="宋体" w:cs="宋体" w:eastAsia="宋体" w:hint="default"/>
                <w:sz w:val="18"/>
                <w:szCs w:val="18"/>
              </w:rPr>
            </w:pPr>
            <w:r>
              <w:rPr>
                <w:rFonts w:ascii="宋体" w:hAnsi="宋体" w:cs="宋体" w:eastAsia="宋体" w:hint="default"/>
                <w:sz w:val="18"/>
                <w:szCs w:val="18"/>
              </w:rPr>
              <w:t>所有者</w:t>
            </w:r>
          </w:p>
          <w:p>
            <w:pPr>
              <w:pStyle w:val="TableParagraph"/>
              <w:spacing w:line="230" w:lineRule="exact" w:before="26"/>
              <w:ind w:left="261" w:right="84" w:hanging="180"/>
              <w:jc w:val="left"/>
              <w:rPr>
                <w:rFonts w:ascii="宋体" w:hAnsi="宋体" w:cs="宋体" w:eastAsia="宋体" w:hint="default"/>
                <w:sz w:val="18"/>
                <w:szCs w:val="18"/>
              </w:rPr>
            </w:pPr>
            <w:r>
              <w:rPr>
                <w:rFonts w:ascii="宋体" w:hAnsi="宋体" w:cs="宋体" w:eastAsia="宋体" w:hint="default"/>
                <w:sz w:val="18"/>
                <w:szCs w:val="18"/>
              </w:rPr>
              <w:t>权益合 计</w:t>
            </w:r>
          </w:p>
        </w:tc>
      </w:tr>
      <w:tr>
        <w:trPr>
          <w:trHeight w:val="430" w:hRule="exact"/>
        </w:trPr>
        <w:tc>
          <w:tcPr>
            <w:tcW w:w="1427" w:type="dxa"/>
            <w:tcBorders>
              <w:top w:val="nil" w:sz="6" w:space="0" w:color="auto"/>
              <w:left w:val="nil" w:sz="6" w:space="0" w:color="auto"/>
              <w:bottom w:val="nil" w:sz="6" w:space="0" w:color="auto"/>
              <w:right w:val="nil" w:sz="6" w:space="0" w:color="auto"/>
            </w:tcBorders>
            <w:shd w:val="clear" w:color="auto" w:fill="D2D2D2"/>
          </w:tcPr>
          <w:p>
            <w:pPr/>
          </w:p>
        </w:tc>
        <w:tc>
          <w:tcPr>
            <w:tcW w:w="562"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55"/>
              <w:ind w:left="10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nil" w:sz="6" w:space="0" w:color="auto"/>
              <w:left w:val="nil" w:sz="6" w:space="0" w:color="auto"/>
              <w:right w:val="nil" w:sz="6" w:space="0" w:color="auto"/>
            </w:tcBorders>
          </w:tcPr>
          <w:p>
            <w:pPr>
              <w:pStyle w:val="TableParagraph"/>
              <w:spacing w:line="232" w:lineRule="exact" w:before="125"/>
              <w:ind w:left="175" w:right="84"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4" w:type="dxa"/>
            <w:vMerge w:val="restart"/>
            <w:tcBorders>
              <w:top w:val="nil" w:sz="6" w:space="0" w:color="auto"/>
              <w:left w:val="nil" w:sz="6" w:space="0" w:color="auto"/>
              <w:right w:val="nil" w:sz="6" w:space="0" w:color="auto"/>
            </w:tcBorders>
          </w:tcPr>
          <w:p>
            <w:pPr>
              <w:pStyle w:val="TableParagraph"/>
              <w:spacing w:line="232" w:lineRule="exact" w:before="125"/>
              <w:ind w:left="131" w:right="41"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286" w:type="dxa"/>
            <w:vMerge w:val="restart"/>
            <w:tcBorders>
              <w:top w:val="nil" w:sz="6" w:space="0" w:color="auto"/>
              <w:left w:val="nil" w:sz="6" w:space="0" w:color="auto"/>
              <w:right w:val="nil" w:sz="6" w:space="0" w:color="auto"/>
            </w:tcBorders>
          </w:tcPr>
          <w:p>
            <w:pPr>
              <w:pStyle w:val="TableParagraph"/>
              <w:spacing w:line="232" w:lineRule="exact" w:before="125"/>
              <w:ind w:left="52" w:right="50"/>
              <w:jc w:val="left"/>
              <w:rPr>
                <w:rFonts w:ascii="宋体" w:hAnsi="宋体" w:cs="宋体" w:eastAsia="宋体" w:hint="default"/>
                <w:sz w:val="18"/>
                <w:szCs w:val="18"/>
              </w:rPr>
            </w:pPr>
            <w:r>
              <w:rPr>
                <w:rFonts w:ascii="宋体" w:hAnsi="宋体" w:cs="宋体" w:eastAsia="宋体" w:hint="default"/>
                <w:sz w:val="18"/>
                <w:szCs w:val="18"/>
              </w:rPr>
              <w:t>其 他</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6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资本公积</w:t>
            </w:r>
            <w:r>
              <w:rPr>
                <w:rFonts w:ascii="宋体" w:hAnsi="宋体" w:cs="宋体" w:eastAsia="宋体" w:hint="default"/>
                <w:sz w:val="18"/>
                <w:szCs w:val="18"/>
              </w:rPr>
            </w:r>
          </w:p>
        </w:tc>
        <w:tc>
          <w:tcPr>
            <w:tcW w:w="567"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74" w:lineRule="exact"/>
              <w:ind w:left="100" w:right="0" w:hanging="75"/>
              <w:jc w:val="left"/>
              <w:rPr>
                <w:rFonts w:ascii="宋体" w:hAnsi="宋体" w:cs="宋体" w:eastAsia="宋体" w:hint="default"/>
                <w:sz w:val="18"/>
                <w:szCs w:val="18"/>
              </w:rPr>
            </w:pPr>
            <w:r>
              <w:rPr>
                <w:rFonts w:ascii="宋体" w:hAnsi="宋体" w:cs="宋体" w:eastAsia="宋体" w:hint="default"/>
                <w:spacing w:val="-10"/>
                <w:sz w:val="18"/>
                <w:szCs w:val="18"/>
              </w:rPr>
              <w:t>减：库</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710"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74" w:lineRule="exact"/>
              <w:ind w:left="84" w:right="0"/>
              <w:jc w:val="left"/>
              <w:rPr>
                <w:rFonts w:ascii="宋体" w:hAnsi="宋体" w:cs="宋体" w:eastAsia="宋体" w:hint="default"/>
                <w:sz w:val="18"/>
                <w:szCs w:val="18"/>
              </w:rPr>
            </w:pPr>
            <w:r>
              <w:rPr>
                <w:rFonts w:ascii="宋体" w:hAnsi="宋体" w:cs="宋体" w:eastAsia="宋体" w:hint="default"/>
                <w:sz w:val="18"/>
                <w:szCs w:val="18"/>
              </w:rPr>
              <w:t>其他综</w:t>
            </w:r>
          </w:p>
          <w:p>
            <w:pPr>
              <w:pStyle w:val="TableParagraph"/>
              <w:spacing w:line="234" w:lineRule="exact"/>
              <w:ind w:left="84"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425"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74" w:lineRule="exact"/>
              <w:ind w:left="31" w:right="0"/>
              <w:jc w:val="left"/>
              <w:rPr>
                <w:rFonts w:ascii="宋体" w:hAnsi="宋体" w:cs="宋体" w:eastAsia="宋体" w:hint="default"/>
                <w:sz w:val="18"/>
                <w:szCs w:val="18"/>
              </w:rPr>
            </w:pPr>
            <w:r>
              <w:rPr>
                <w:rFonts w:ascii="宋体" w:hAnsi="宋体" w:cs="宋体" w:eastAsia="宋体" w:hint="default"/>
                <w:sz w:val="18"/>
                <w:szCs w:val="18"/>
              </w:rPr>
              <w:t>专项</w:t>
            </w:r>
          </w:p>
          <w:p>
            <w:pPr>
              <w:pStyle w:val="TableParagraph"/>
              <w:spacing w:line="234" w:lineRule="exact"/>
              <w:ind w:left="31" w:right="0"/>
              <w:jc w:val="left"/>
              <w:rPr>
                <w:rFonts w:ascii="宋体" w:hAnsi="宋体" w:cs="宋体" w:eastAsia="宋体" w:hint="default"/>
                <w:sz w:val="18"/>
                <w:szCs w:val="18"/>
              </w:rPr>
            </w:pPr>
            <w:r>
              <w:rPr>
                <w:rFonts w:ascii="宋体" w:hAnsi="宋体" w:cs="宋体" w:eastAsia="宋体" w:hint="default"/>
                <w:sz w:val="18"/>
                <w:szCs w:val="18"/>
              </w:rPr>
              <w:t>储备</w:t>
            </w:r>
          </w:p>
        </w:tc>
        <w:tc>
          <w:tcPr>
            <w:tcW w:w="708"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74" w:lineRule="exact"/>
              <w:ind w:right="2"/>
              <w:jc w:val="center"/>
              <w:rPr>
                <w:rFonts w:ascii="宋体" w:hAnsi="宋体" w:cs="宋体" w:eastAsia="宋体" w:hint="default"/>
                <w:sz w:val="18"/>
                <w:szCs w:val="18"/>
              </w:rPr>
            </w:pPr>
            <w:r>
              <w:rPr>
                <w:rFonts w:ascii="宋体" w:hAnsi="宋体" w:cs="宋体" w:eastAsia="宋体" w:hint="default"/>
                <w:sz w:val="18"/>
                <w:szCs w:val="18"/>
              </w:rPr>
              <w:t>盈余公</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积</w:t>
            </w:r>
          </w:p>
        </w:tc>
        <w:tc>
          <w:tcPr>
            <w:tcW w:w="567" w:type="dxa"/>
            <w:vMerge/>
            <w:tcBorders>
              <w:left w:val="nil" w:sz="6" w:space="0" w:color="auto"/>
              <w:right w:val="nil" w:sz="6" w:space="0" w:color="auto"/>
            </w:tcBorders>
            <w:shd w:val="clear" w:color="auto" w:fill="D2D2D2"/>
          </w:tcPr>
          <w:p>
            <w:pPr/>
          </w:p>
        </w:tc>
        <w:tc>
          <w:tcPr>
            <w:tcW w:w="852"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74" w:lineRule="exact"/>
              <w:ind w:right="0"/>
              <w:jc w:val="center"/>
              <w:rPr>
                <w:rFonts w:ascii="宋体" w:hAnsi="宋体" w:cs="宋体" w:eastAsia="宋体" w:hint="default"/>
                <w:sz w:val="18"/>
                <w:szCs w:val="18"/>
              </w:rPr>
            </w:pPr>
            <w:r>
              <w:rPr>
                <w:rFonts w:ascii="宋体" w:hAnsi="宋体" w:cs="宋体" w:eastAsia="宋体" w:hint="default"/>
                <w:sz w:val="18"/>
                <w:szCs w:val="18"/>
              </w:rPr>
              <w:t>未分配利</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润</w:t>
            </w:r>
          </w:p>
        </w:tc>
        <w:tc>
          <w:tcPr>
            <w:tcW w:w="708" w:type="dxa"/>
            <w:vMerge/>
            <w:tcBorders>
              <w:left w:val="nil" w:sz="6" w:space="0" w:color="auto"/>
              <w:right w:val="nil" w:sz="6" w:space="0" w:color="auto"/>
            </w:tcBorders>
            <w:shd w:val="clear" w:color="auto" w:fill="D2D2D2"/>
          </w:tcPr>
          <w:p>
            <w:pPr/>
          </w:p>
        </w:tc>
        <w:tc>
          <w:tcPr>
            <w:tcW w:w="708" w:type="dxa"/>
            <w:vMerge/>
            <w:tcBorders>
              <w:left w:val="nil" w:sz="6" w:space="0" w:color="auto"/>
              <w:right w:val="nil" w:sz="6" w:space="0" w:color="auto"/>
            </w:tcBorders>
            <w:shd w:val="clear" w:color="auto" w:fill="D2D2D2"/>
          </w:tcPr>
          <w:p>
            <w:pPr/>
          </w:p>
        </w:tc>
      </w:tr>
      <w:tr>
        <w:trPr>
          <w:trHeight w:val="215" w:hRule="exact"/>
        </w:trPr>
        <w:tc>
          <w:tcPr>
            <w:tcW w:w="1427" w:type="dxa"/>
            <w:tcBorders>
              <w:top w:val="nil" w:sz="6" w:space="0" w:color="auto"/>
              <w:left w:val="nil" w:sz="6" w:space="0" w:color="auto"/>
              <w:bottom w:val="nil" w:sz="6" w:space="0" w:color="auto"/>
              <w:right w:val="nil" w:sz="6" w:space="0" w:color="auto"/>
            </w:tcBorders>
            <w:shd w:val="clear" w:color="auto" w:fill="D2D2D2"/>
          </w:tcPr>
          <w:p>
            <w:pPr/>
          </w:p>
        </w:tc>
        <w:tc>
          <w:tcPr>
            <w:tcW w:w="562" w:type="dxa"/>
            <w:tcBorders>
              <w:top w:val="nil" w:sz="6" w:space="0" w:color="auto"/>
              <w:left w:val="nil" w:sz="6" w:space="0" w:color="auto"/>
              <w:bottom w:val="nil" w:sz="6" w:space="0" w:color="auto"/>
              <w:right w:val="nil" w:sz="6" w:space="0" w:color="auto"/>
            </w:tcBorders>
            <w:shd w:val="clear" w:color="auto" w:fill="D2D2D2"/>
          </w:tcPr>
          <w:p>
            <w:pPr/>
          </w:p>
        </w:tc>
        <w:tc>
          <w:tcPr>
            <w:tcW w:w="533" w:type="dxa"/>
            <w:vMerge/>
            <w:tcBorders>
              <w:left w:val="nil" w:sz="6" w:space="0" w:color="auto"/>
              <w:right w:val="nil" w:sz="6" w:space="0" w:color="auto"/>
            </w:tcBorders>
          </w:tcPr>
          <w:p>
            <w:pPr/>
          </w:p>
        </w:tc>
        <w:tc>
          <w:tcPr>
            <w:tcW w:w="444" w:type="dxa"/>
            <w:vMerge/>
            <w:tcBorders>
              <w:left w:val="nil" w:sz="6" w:space="0" w:color="auto"/>
              <w:right w:val="nil" w:sz="6" w:space="0" w:color="auto"/>
            </w:tcBorders>
          </w:tcPr>
          <w:p>
            <w:pPr/>
          </w:p>
        </w:tc>
        <w:tc>
          <w:tcPr>
            <w:tcW w:w="286" w:type="dxa"/>
            <w:vMerge/>
            <w:tcBorders>
              <w:left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shd w:val="clear" w:color="auto" w:fill="D2D2D2"/>
          </w:tcPr>
          <w:p>
            <w:pPr/>
          </w:p>
        </w:tc>
        <w:tc>
          <w:tcPr>
            <w:tcW w:w="567" w:type="dxa"/>
            <w:tcBorders>
              <w:top w:val="nil" w:sz="6" w:space="0" w:color="auto"/>
              <w:left w:val="nil" w:sz="6" w:space="0" w:color="auto"/>
              <w:bottom w:val="nil" w:sz="6" w:space="0" w:color="auto"/>
              <w:right w:val="nil" w:sz="6" w:space="0" w:color="auto"/>
            </w:tcBorders>
            <w:shd w:val="clear" w:color="auto" w:fill="D2D2D2"/>
          </w:tcPr>
          <w:p>
            <w:pPr/>
          </w:p>
        </w:tc>
        <w:tc>
          <w:tcPr>
            <w:tcW w:w="710" w:type="dxa"/>
            <w:tcBorders>
              <w:top w:val="nil" w:sz="6" w:space="0" w:color="auto"/>
              <w:left w:val="nil" w:sz="6" w:space="0" w:color="auto"/>
              <w:bottom w:val="nil" w:sz="6" w:space="0" w:color="auto"/>
              <w:right w:val="nil" w:sz="6" w:space="0" w:color="auto"/>
            </w:tcBorders>
            <w:shd w:val="clear" w:color="auto" w:fill="D2D2D2"/>
          </w:tcPr>
          <w:p>
            <w:pPr/>
          </w:p>
        </w:tc>
        <w:tc>
          <w:tcPr>
            <w:tcW w:w="425" w:type="dxa"/>
            <w:tcBorders>
              <w:top w:val="nil" w:sz="6" w:space="0" w:color="auto"/>
              <w:left w:val="nil" w:sz="6" w:space="0" w:color="auto"/>
              <w:bottom w:val="nil" w:sz="6" w:space="0" w:color="auto"/>
              <w:right w:val="nil" w:sz="6" w:space="0" w:color="auto"/>
            </w:tcBorders>
            <w:shd w:val="clear" w:color="auto" w:fill="D2D2D2"/>
          </w:tcPr>
          <w:p>
            <w:pPr/>
          </w:p>
        </w:tc>
        <w:tc>
          <w:tcPr>
            <w:tcW w:w="708" w:type="dxa"/>
            <w:tcBorders>
              <w:top w:val="nil" w:sz="6" w:space="0" w:color="auto"/>
              <w:left w:val="nil" w:sz="6" w:space="0" w:color="auto"/>
              <w:bottom w:val="nil" w:sz="6" w:space="0" w:color="auto"/>
              <w:right w:val="nil" w:sz="6" w:space="0" w:color="auto"/>
            </w:tcBorders>
            <w:shd w:val="clear" w:color="auto" w:fill="D2D2D2"/>
          </w:tcPr>
          <w:p>
            <w:pPr/>
          </w:p>
        </w:tc>
        <w:tc>
          <w:tcPr>
            <w:tcW w:w="567" w:type="dxa"/>
            <w:vMerge/>
            <w:tcBorders>
              <w:left w:val="nil" w:sz="6" w:space="0" w:color="auto"/>
              <w:bottom w:val="nil" w:sz="6" w:space="0" w:color="auto"/>
              <w:right w:val="nil" w:sz="6" w:space="0" w:color="auto"/>
            </w:tcBorders>
            <w:shd w:val="clear" w:color="auto" w:fill="D2D2D2"/>
          </w:tcPr>
          <w:p>
            <w:pPr/>
          </w:p>
        </w:tc>
        <w:tc>
          <w:tcPr>
            <w:tcW w:w="852" w:type="dxa"/>
            <w:tcBorders>
              <w:top w:val="nil" w:sz="6" w:space="0" w:color="auto"/>
              <w:left w:val="nil" w:sz="6" w:space="0" w:color="auto"/>
              <w:bottom w:val="nil" w:sz="6" w:space="0" w:color="auto"/>
              <w:right w:val="nil" w:sz="6" w:space="0" w:color="auto"/>
            </w:tcBorders>
            <w:shd w:val="clear" w:color="auto" w:fill="D2D2D2"/>
          </w:tcPr>
          <w:p>
            <w:pPr/>
          </w:p>
        </w:tc>
        <w:tc>
          <w:tcPr>
            <w:tcW w:w="708" w:type="dxa"/>
            <w:vMerge/>
            <w:tcBorders>
              <w:left w:val="nil" w:sz="6" w:space="0" w:color="auto"/>
              <w:bottom w:val="nil" w:sz="6" w:space="0" w:color="auto"/>
              <w:right w:val="nil" w:sz="6" w:space="0" w:color="auto"/>
            </w:tcBorders>
            <w:shd w:val="clear" w:color="auto" w:fill="D2D2D2"/>
          </w:tcPr>
          <w:p>
            <w:pPr/>
          </w:p>
        </w:tc>
        <w:tc>
          <w:tcPr>
            <w:tcW w:w="708" w:type="dxa"/>
            <w:vMerge/>
            <w:tcBorders>
              <w:left w:val="nil" w:sz="6" w:space="0" w:color="auto"/>
              <w:bottom w:val="nil" w:sz="6" w:space="0" w:color="auto"/>
              <w:right w:val="nil" w:sz="6" w:space="0" w:color="auto"/>
            </w:tcBorders>
            <w:shd w:val="clear" w:color="auto" w:fill="D2D2D2"/>
          </w:tcPr>
          <w:p>
            <w:pPr/>
          </w:p>
        </w:tc>
      </w:tr>
      <w:tr>
        <w:trPr>
          <w:trHeight w:val="511" w:hRule="exact"/>
        </w:trPr>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8"/>
                <w:sz w:val="18"/>
                <w:szCs w:val="18"/>
                <w:shd w:fill="D2D2D2" w:color="auto" w:val="clear"/>
              </w:rPr>
              <w:t>一、上年期末余额</w:t>
            </w:r>
            <w:r>
              <w:rPr>
                <w:rFonts w:ascii="宋体" w:hAnsi="宋体" w:cs="宋体" w:eastAsia="宋体" w:hint="default"/>
                <w:spacing w:val="-8"/>
                <w:sz w:val="18"/>
                <w:szCs w:val="18"/>
              </w:rPr>
            </w: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84" w:right="0"/>
              <w:jc w:val="left"/>
              <w:rPr>
                <w:rFonts w:ascii="Times New Roman" w:hAnsi="Times New Roman" w:cs="Times New Roman" w:eastAsia="Times New Roman" w:hint="default"/>
                <w:sz w:val="18"/>
                <w:szCs w:val="18"/>
              </w:rPr>
            </w:pPr>
            <w:r>
              <w:rPr>
                <w:rFonts w:ascii="Times New Roman"/>
                <w:sz w:val="18"/>
              </w:rPr>
              <w:t>2,428,</w:t>
            </w:r>
          </w:p>
          <w:p>
            <w:pPr>
              <w:pStyle w:val="TableParagraph"/>
              <w:spacing w:line="240" w:lineRule="auto" w:before="2"/>
              <w:ind w:left="40" w:right="0"/>
              <w:jc w:val="left"/>
              <w:rPr>
                <w:rFonts w:ascii="Times New Roman" w:hAnsi="Times New Roman" w:cs="Times New Roman" w:eastAsia="Times New Roman" w:hint="default"/>
                <w:sz w:val="18"/>
                <w:szCs w:val="18"/>
              </w:rPr>
            </w:pPr>
            <w:r>
              <w:rPr>
                <w:rFonts w:ascii="Times New Roman"/>
                <w:sz w:val="18"/>
              </w:rPr>
              <w:t>885,72</w:t>
            </w:r>
          </w:p>
        </w:tc>
        <w:tc>
          <w:tcPr>
            <w:tcW w:w="533" w:type="dxa"/>
            <w:vMerge/>
            <w:tcBorders>
              <w:left w:val="nil" w:sz="6" w:space="0" w:color="auto"/>
              <w:right w:val="nil" w:sz="6" w:space="0" w:color="auto"/>
            </w:tcBorders>
          </w:tcPr>
          <w:p>
            <w:pPr/>
          </w:p>
        </w:tc>
        <w:tc>
          <w:tcPr>
            <w:tcW w:w="444" w:type="dxa"/>
            <w:vMerge/>
            <w:tcBorders>
              <w:left w:val="nil" w:sz="6" w:space="0" w:color="auto"/>
              <w:right w:val="nil" w:sz="6" w:space="0" w:color="auto"/>
            </w:tcBorders>
          </w:tcPr>
          <w:p>
            <w:pPr/>
          </w:p>
        </w:tc>
        <w:tc>
          <w:tcPr>
            <w:tcW w:w="286" w:type="dxa"/>
            <w:vMerge/>
            <w:tcBorders>
              <w:left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07" w:lineRule="exact" w:before="141"/>
              <w:ind w:left="55" w:right="0"/>
              <w:jc w:val="left"/>
              <w:rPr>
                <w:rFonts w:ascii="Times New Roman" w:hAnsi="Times New Roman" w:cs="Times New Roman" w:eastAsia="Times New Roman" w:hint="default"/>
                <w:sz w:val="18"/>
                <w:szCs w:val="18"/>
              </w:rPr>
            </w:pPr>
            <w:r>
              <w:rPr>
                <w:rFonts w:ascii="Times New Roman"/>
                <w:sz w:val="18"/>
              </w:rPr>
              <w:t>2,298,125,</w:t>
            </w:r>
          </w:p>
          <w:p>
            <w:pPr>
              <w:pStyle w:val="TableParagraph"/>
              <w:spacing w:line="203" w:lineRule="exact"/>
              <w:ind w:left="326" w:right="0"/>
              <w:jc w:val="left"/>
              <w:rPr>
                <w:rFonts w:ascii="Times New Roman" w:hAnsi="Times New Roman" w:cs="Times New Roman" w:eastAsia="Times New Roman" w:hint="default"/>
                <w:sz w:val="18"/>
                <w:szCs w:val="18"/>
              </w:rPr>
            </w:pPr>
            <w:r>
              <w:rPr>
                <w:rFonts w:ascii="Times New Roman"/>
                <w:sz w:val="18"/>
              </w:rPr>
              <w:t>819.56</w:t>
            </w:r>
          </w:p>
        </w:tc>
        <w:tc>
          <w:tcPr>
            <w:tcW w:w="567"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07" w:lineRule="exact" w:before="141"/>
              <w:ind w:left="54" w:right="0"/>
              <w:jc w:val="center"/>
              <w:rPr>
                <w:rFonts w:ascii="Times New Roman" w:hAnsi="Times New Roman" w:cs="Times New Roman" w:eastAsia="Times New Roman" w:hint="default"/>
                <w:sz w:val="18"/>
                <w:szCs w:val="18"/>
              </w:rPr>
            </w:pPr>
            <w:r>
              <w:rPr>
                <w:rFonts w:ascii="Times New Roman"/>
                <w:sz w:val="18"/>
              </w:rPr>
              <w:t>-92,846,</w:t>
            </w:r>
          </w:p>
          <w:p>
            <w:pPr>
              <w:pStyle w:val="TableParagraph"/>
              <w:spacing w:line="203" w:lineRule="exact"/>
              <w:ind w:left="159" w:right="0"/>
              <w:jc w:val="center"/>
              <w:rPr>
                <w:rFonts w:ascii="Times New Roman" w:hAnsi="Times New Roman" w:cs="Times New Roman" w:eastAsia="Times New Roman" w:hint="default"/>
                <w:sz w:val="18"/>
                <w:szCs w:val="18"/>
              </w:rPr>
            </w:pPr>
            <w:r>
              <w:rPr>
                <w:rFonts w:ascii="Times New Roman"/>
                <w:sz w:val="18"/>
              </w:rPr>
              <w:t>447.41</w:t>
            </w:r>
          </w:p>
        </w:tc>
        <w:tc>
          <w:tcPr>
            <w:tcW w:w="425"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Style w:val="TableParagraph"/>
              <w:spacing w:line="207" w:lineRule="exact" w:before="141"/>
              <w:ind w:left="20" w:right="0"/>
              <w:jc w:val="center"/>
              <w:rPr>
                <w:rFonts w:ascii="Times New Roman" w:hAnsi="Times New Roman" w:cs="Times New Roman" w:eastAsia="Times New Roman" w:hint="default"/>
                <w:sz w:val="18"/>
                <w:szCs w:val="18"/>
              </w:rPr>
            </w:pPr>
            <w:r>
              <w:rPr>
                <w:rFonts w:ascii="Times New Roman"/>
                <w:sz w:val="18"/>
              </w:rPr>
              <w:t>615,079,</w:t>
            </w:r>
          </w:p>
          <w:p>
            <w:pPr>
              <w:pStyle w:val="TableParagraph"/>
              <w:spacing w:line="203" w:lineRule="exact"/>
              <w:ind w:left="156" w:right="0"/>
              <w:jc w:val="center"/>
              <w:rPr>
                <w:rFonts w:ascii="Times New Roman" w:hAnsi="Times New Roman" w:cs="Times New Roman" w:eastAsia="Times New Roman" w:hint="default"/>
                <w:sz w:val="18"/>
                <w:szCs w:val="18"/>
              </w:rPr>
            </w:pPr>
            <w:r>
              <w:rPr>
                <w:rFonts w:ascii="Times New Roman"/>
                <w:sz w:val="18"/>
              </w:rPr>
              <w:t>483.51</w:t>
            </w:r>
          </w:p>
        </w:tc>
        <w:tc>
          <w:tcPr>
            <w:tcW w:w="567"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07" w:lineRule="exact" w:before="141"/>
              <w:ind w:left="57" w:right="0"/>
              <w:jc w:val="left"/>
              <w:rPr>
                <w:rFonts w:ascii="Times New Roman" w:hAnsi="Times New Roman" w:cs="Times New Roman" w:eastAsia="Times New Roman" w:hint="default"/>
                <w:sz w:val="18"/>
                <w:szCs w:val="18"/>
              </w:rPr>
            </w:pPr>
            <w:r>
              <w:rPr>
                <w:rFonts w:ascii="Times New Roman"/>
                <w:sz w:val="18"/>
              </w:rPr>
              <w:t>3,641,664,</w:t>
            </w:r>
          </w:p>
          <w:p>
            <w:pPr>
              <w:pStyle w:val="TableParagraph"/>
              <w:spacing w:line="203" w:lineRule="exact"/>
              <w:ind w:left="328" w:right="0"/>
              <w:jc w:val="left"/>
              <w:rPr>
                <w:rFonts w:ascii="Times New Roman" w:hAnsi="Times New Roman" w:cs="Times New Roman" w:eastAsia="Times New Roman" w:hint="default"/>
                <w:sz w:val="18"/>
                <w:szCs w:val="18"/>
              </w:rPr>
            </w:pPr>
            <w:r>
              <w:rPr>
                <w:rFonts w:ascii="Times New Roman"/>
                <w:sz w:val="18"/>
              </w:rPr>
              <w:t>705.24</w:t>
            </w:r>
          </w:p>
        </w:tc>
        <w:tc>
          <w:tcPr>
            <w:tcW w:w="708" w:type="dxa"/>
            <w:tcBorders>
              <w:top w:val="nil" w:sz="6" w:space="0" w:color="auto"/>
              <w:left w:val="nil" w:sz="6" w:space="0" w:color="auto"/>
              <w:bottom w:val="nil" w:sz="6" w:space="0" w:color="auto"/>
              <w:right w:val="nil" w:sz="6" w:space="0" w:color="auto"/>
            </w:tcBorders>
          </w:tcPr>
          <w:p>
            <w:pPr>
              <w:pStyle w:val="TableParagraph"/>
              <w:spacing w:line="207" w:lineRule="exact" w:before="141"/>
              <w:ind w:left="20" w:right="0"/>
              <w:jc w:val="center"/>
              <w:rPr>
                <w:rFonts w:ascii="Times New Roman" w:hAnsi="Times New Roman" w:cs="Times New Roman" w:eastAsia="Times New Roman" w:hint="default"/>
                <w:sz w:val="18"/>
                <w:szCs w:val="18"/>
              </w:rPr>
            </w:pPr>
            <w:r>
              <w:rPr>
                <w:rFonts w:ascii="Times New Roman"/>
                <w:sz w:val="18"/>
              </w:rPr>
              <w:t>593,329,</w:t>
            </w:r>
          </w:p>
          <w:p>
            <w:pPr>
              <w:pStyle w:val="TableParagraph"/>
              <w:spacing w:line="203" w:lineRule="exact"/>
              <w:ind w:left="156" w:right="0"/>
              <w:jc w:val="center"/>
              <w:rPr>
                <w:rFonts w:ascii="Times New Roman" w:hAnsi="Times New Roman" w:cs="Times New Roman" w:eastAsia="Times New Roman" w:hint="default"/>
                <w:sz w:val="18"/>
                <w:szCs w:val="18"/>
              </w:rPr>
            </w:pPr>
            <w:r>
              <w:rPr>
                <w:rFonts w:ascii="Times New Roman"/>
                <w:sz w:val="18"/>
              </w:rPr>
              <w:t>839.28</w:t>
            </w:r>
          </w:p>
        </w:tc>
        <w:tc>
          <w:tcPr>
            <w:tcW w:w="708" w:type="dxa"/>
            <w:tcBorders>
              <w:top w:val="nil" w:sz="6" w:space="0" w:color="auto"/>
              <w:left w:val="nil" w:sz="6" w:space="0" w:color="auto"/>
              <w:bottom w:val="nil" w:sz="6" w:space="0" w:color="auto"/>
              <w:right w:val="nil" w:sz="6" w:space="0" w:color="auto"/>
            </w:tcBorders>
          </w:tcPr>
          <w:p>
            <w:pPr>
              <w:pStyle w:val="TableParagraph"/>
              <w:spacing w:line="207" w:lineRule="exact" w:before="141"/>
              <w:ind w:left="48" w:right="0"/>
              <w:jc w:val="left"/>
              <w:rPr>
                <w:rFonts w:ascii="Times New Roman" w:hAnsi="Times New Roman" w:cs="Times New Roman" w:eastAsia="Times New Roman" w:hint="default"/>
                <w:sz w:val="18"/>
                <w:szCs w:val="18"/>
              </w:rPr>
            </w:pPr>
            <w:r>
              <w:rPr>
                <w:rFonts w:ascii="Times New Roman"/>
                <w:sz w:val="18"/>
              </w:rPr>
              <w:t>9,484,23</w:t>
            </w:r>
          </w:p>
          <w:p>
            <w:pPr>
              <w:pStyle w:val="TableParagraph"/>
              <w:spacing w:line="203" w:lineRule="exact"/>
              <w:ind w:left="48" w:right="0"/>
              <w:jc w:val="left"/>
              <w:rPr>
                <w:rFonts w:ascii="Times New Roman" w:hAnsi="Times New Roman" w:cs="Times New Roman" w:eastAsia="Times New Roman" w:hint="default"/>
                <w:sz w:val="18"/>
                <w:szCs w:val="18"/>
              </w:rPr>
            </w:pPr>
            <w:r>
              <w:rPr>
                <w:rFonts w:ascii="Times New Roman"/>
                <w:sz w:val="18"/>
              </w:rPr>
              <w:t>9,125.18</w:t>
            </w:r>
          </w:p>
        </w:tc>
      </w:tr>
      <w:tr>
        <w:trPr>
          <w:trHeight w:val="199" w:hRule="exact"/>
        </w:trPr>
        <w:tc>
          <w:tcPr>
            <w:tcW w:w="1427" w:type="dxa"/>
            <w:tcBorders>
              <w:top w:val="nil" w:sz="6" w:space="0" w:color="auto"/>
              <w:left w:val="nil" w:sz="6" w:space="0" w:color="auto"/>
              <w:bottom w:val="nil" w:sz="6" w:space="0" w:color="auto"/>
              <w:right w:val="nil" w:sz="6" w:space="0" w:color="auto"/>
            </w:tcBorders>
            <w:shd w:val="clear" w:color="auto" w:fill="D2D2D2"/>
          </w:tcPr>
          <w:p>
            <w:pPr/>
          </w:p>
        </w:tc>
        <w:tc>
          <w:tcPr>
            <w:tcW w:w="562" w:type="dxa"/>
            <w:tcBorders>
              <w:top w:val="nil" w:sz="6" w:space="0" w:color="auto"/>
              <w:left w:val="nil" w:sz="6" w:space="0" w:color="auto"/>
              <w:bottom w:val="nil" w:sz="6" w:space="0" w:color="auto"/>
              <w:right w:val="nil" w:sz="6" w:space="0" w:color="auto"/>
            </w:tcBorders>
          </w:tcPr>
          <w:p>
            <w:pPr>
              <w:pStyle w:val="TableParagraph"/>
              <w:spacing w:line="147" w:lineRule="exact"/>
              <w:ind w:right="23"/>
              <w:jc w:val="right"/>
              <w:rPr>
                <w:rFonts w:ascii="Times New Roman" w:hAnsi="Times New Roman" w:cs="Times New Roman" w:eastAsia="Times New Roman" w:hint="default"/>
                <w:sz w:val="18"/>
                <w:szCs w:val="18"/>
              </w:rPr>
            </w:pPr>
            <w:r>
              <w:rPr>
                <w:rFonts w:ascii="Times New Roman"/>
                <w:spacing w:val="-1"/>
                <w:sz w:val="18"/>
              </w:rPr>
              <w:t>5.00</w:t>
            </w:r>
          </w:p>
        </w:tc>
        <w:tc>
          <w:tcPr>
            <w:tcW w:w="533" w:type="dxa"/>
            <w:vMerge/>
            <w:tcBorders>
              <w:left w:val="nil" w:sz="6" w:space="0" w:color="auto"/>
              <w:bottom w:val="nil" w:sz="6" w:space="0" w:color="auto"/>
              <w:right w:val="nil" w:sz="6" w:space="0" w:color="auto"/>
            </w:tcBorders>
          </w:tcPr>
          <w:p>
            <w:pPr/>
          </w:p>
        </w:tc>
        <w:tc>
          <w:tcPr>
            <w:tcW w:w="444" w:type="dxa"/>
            <w:vMerge/>
            <w:tcBorders>
              <w:left w:val="nil" w:sz="6" w:space="0" w:color="auto"/>
              <w:bottom w:val="nil" w:sz="6" w:space="0" w:color="auto"/>
              <w:right w:val="nil" w:sz="6" w:space="0" w:color="auto"/>
            </w:tcBorders>
          </w:tcPr>
          <w:p>
            <w:pPr/>
          </w:p>
        </w:tc>
        <w:tc>
          <w:tcPr>
            <w:tcW w:w="286" w:type="dxa"/>
            <w:vMerge/>
            <w:tcBorders>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r>
      <w:tr>
        <w:trPr>
          <w:trHeight w:val="557" w:hRule="exact"/>
        </w:trPr>
        <w:tc>
          <w:tcPr>
            <w:tcW w:w="1427"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32" w:lineRule="exact" w:before="38"/>
              <w:ind w:left="15" w:right="26" w:firstLine="359"/>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444"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r>
      <w:tr>
        <w:trPr>
          <w:trHeight w:val="557" w:hRule="exact"/>
        </w:trPr>
        <w:tc>
          <w:tcPr>
            <w:tcW w:w="1427"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34" w:lineRule="exact" w:before="13"/>
              <w:ind w:left="735"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34" w:lineRule="exact"/>
              <w:ind w:left="15"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444"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r>
      <w:tr>
        <w:trPr>
          <w:trHeight w:val="557" w:hRule="exact"/>
        </w:trPr>
        <w:tc>
          <w:tcPr>
            <w:tcW w:w="1427"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32" w:lineRule="exact" w:before="37"/>
              <w:ind w:left="15" w:right="149" w:firstLine="719"/>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444"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r>
      <w:tr>
        <w:trPr>
          <w:trHeight w:val="324" w:hRule="exact"/>
        </w:trPr>
        <w:tc>
          <w:tcPr>
            <w:tcW w:w="1427"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13"/>
              <w:ind w:left="7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444"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r>
      <w:tr>
        <w:trPr>
          <w:trHeight w:val="514" w:hRule="exact"/>
        </w:trPr>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8"/>
                <w:sz w:val="18"/>
                <w:szCs w:val="18"/>
                <w:shd w:fill="D2D2D2" w:color="auto" w:val="clear"/>
              </w:rPr>
              <w:t>二、本年期初余额</w:t>
            </w:r>
            <w:r>
              <w:rPr>
                <w:rFonts w:ascii="宋体" w:hAnsi="宋体" w:cs="宋体" w:eastAsia="宋体" w:hint="default"/>
                <w:spacing w:val="-8"/>
                <w:sz w:val="18"/>
                <w:szCs w:val="18"/>
              </w:rPr>
            </w: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84" w:right="0"/>
              <w:jc w:val="left"/>
              <w:rPr>
                <w:rFonts w:ascii="Times New Roman" w:hAnsi="Times New Roman" w:cs="Times New Roman" w:eastAsia="Times New Roman" w:hint="default"/>
                <w:sz w:val="18"/>
                <w:szCs w:val="18"/>
              </w:rPr>
            </w:pPr>
            <w:r>
              <w:rPr>
                <w:rFonts w:ascii="Times New Roman"/>
                <w:sz w:val="18"/>
              </w:rPr>
              <w:t>2,428,</w:t>
            </w:r>
          </w:p>
          <w:p>
            <w:pPr>
              <w:pStyle w:val="TableParagraph"/>
              <w:spacing w:line="240" w:lineRule="auto" w:before="2"/>
              <w:ind w:left="40" w:right="0"/>
              <w:jc w:val="left"/>
              <w:rPr>
                <w:rFonts w:ascii="Times New Roman" w:hAnsi="Times New Roman" w:cs="Times New Roman" w:eastAsia="Times New Roman" w:hint="default"/>
                <w:sz w:val="18"/>
                <w:szCs w:val="18"/>
              </w:rPr>
            </w:pPr>
            <w:r>
              <w:rPr>
                <w:rFonts w:ascii="Times New Roman"/>
                <w:sz w:val="18"/>
              </w:rPr>
              <w:t>885,72</w:t>
            </w:r>
          </w:p>
        </w:tc>
        <w:tc>
          <w:tcPr>
            <w:tcW w:w="533" w:type="dxa"/>
            <w:tcBorders>
              <w:top w:val="nil" w:sz="6" w:space="0" w:color="auto"/>
              <w:left w:val="nil" w:sz="6" w:space="0" w:color="auto"/>
              <w:bottom w:val="nil" w:sz="6" w:space="0" w:color="auto"/>
              <w:right w:val="nil" w:sz="6" w:space="0" w:color="auto"/>
            </w:tcBorders>
          </w:tcPr>
          <w:p>
            <w:pPr/>
          </w:p>
        </w:tc>
        <w:tc>
          <w:tcPr>
            <w:tcW w:w="444"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07" w:lineRule="exact" w:before="141"/>
              <w:ind w:left="55" w:right="0"/>
              <w:jc w:val="left"/>
              <w:rPr>
                <w:rFonts w:ascii="Times New Roman" w:hAnsi="Times New Roman" w:cs="Times New Roman" w:eastAsia="Times New Roman" w:hint="default"/>
                <w:sz w:val="18"/>
                <w:szCs w:val="18"/>
              </w:rPr>
            </w:pPr>
            <w:r>
              <w:rPr>
                <w:rFonts w:ascii="Times New Roman"/>
                <w:sz w:val="18"/>
              </w:rPr>
              <w:t>2,298,125,</w:t>
            </w:r>
          </w:p>
          <w:p>
            <w:pPr>
              <w:pStyle w:val="TableParagraph"/>
              <w:spacing w:line="205" w:lineRule="exact"/>
              <w:ind w:left="326" w:right="0"/>
              <w:jc w:val="left"/>
              <w:rPr>
                <w:rFonts w:ascii="Times New Roman" w:hAnsi="Times New Roman" w:cs="Times New Roman" w:eastAsia="Times New Roman" w:hint="default"/>
                <w:sz w:val="18"/>
                <w:szCs w:val="18"/>
              </w:rPr>
            </w:pPr>
            <w:r>
              <w:rPr>
                <w:rFonts w:ascii="Times New Roman"/>
                <w:sz w:val="18"/>
              </w:rPr>
              <w:t>819.56</w:t>
            </w:r>
          </w:p>
        </w:tc>
        <w:tc>
          <w:tcPr>
            <w:tcW w:w="567"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07" w:lineRule="exact" w:before="141"/>
              <w:ind w:left="54" w:right="0"/>
              <w:jc w:val="center"/>
              <w:rPr>
                <w:rFonts w:ascii="Times New Roman" w:hAnsi="Times New Roman" w:cs="Times New Roman" w:eastAsia="Times New Roman" w:hint="default"/>
                <w:sz w:val="18"/>
                <w:szCs w:val="18"/>
              </w:rPr>
            </w:pPr>
            <w:r>
              <w:rPr>
                <w:rFonts w:ascii="Times New Roman"/>
                <w:sz w:val="18"/>
              </w:rPr>
              <w:t>-92,846,</w:t>
            </w:r>
          </w:p>
          <w:p>
            <w:pPr>
              <w:pStyle w:val="TableParagraph"/>
              <w:spacing w:line="205" w:lineRule="exact"/>
              <w:ind w:left="159" w:right="0"/>
              <w:jc w:val="center"/>
              <w:rPr>
                <w:rFonts w:ascii="Times New Roman" w:hAnsi="Times New Roman" w:cs="Times New Roman" w:eastAsia="Times New Roman" w:hint="default"/>
                <w:sz w:val="18"/>
                <w:szCs w:val="18"/>
              </w:rPr>
            </w:pPr>
            <w:r>
              <w:rPr>
                <w:rFonts w:ascii="Times New Roman"/>
                <w:sz w:val="18"/>
              </w:rPr>
              <w:t>447.41</w:t>
            </w:r>
          </w:p>
        </w:tc>
        <w:tc>
          <w:tcPr>
            <w:tcW w:w="425"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Style w:val="TableParagraph"/>
              <w:spacing w:line="207" w:lineRule="exact" w:before="141"/>
              <w:ind w:left="20" w:right="0"/>
              <w:jc w:val="center"/>
              <w:rPr>
                <w:rFonts w:ascii="Times New Roman" w:hAnsi="Times New Roman" w:cs="Times New Roman" w:eastAsia="Times New Roman" w:hint="default"/>
                <w:sz w:val="18"/>
                <w:szCs w:val="18"/>
              </w:rPr>
            </w:pPr>
            <w:r>
              <w:rPr>
                <w:rFonts w:ascii="Times New Roman"/>
                <w:sz w:val="18"/>
              </w:rPr>
              <w:t>615,079,</w:t>
            </w:r>
          </w:p>
          <w:p>
            <w:pPr>
              <w:pStyle w:val="TableParagraph"/>
              <w:spacing w:line="205" w:lineRule="exact"/>
              <w:ind w:left="156" w:right="0"/>
              <w:jc w:val="center"/>
              <w:rPr>
                <w:rFonts w:ascii="Times New Roman" w:hAnsi="Times New Roman" w:cs="Times New Roman" w:eastAsia="Times New Roman" w:hint="default"/>
                <w:sz w:val="18"/>
                <w:szCs w:val="18"/>
              </w:rPr>
            </w:pPr>
            <w:r>
              <w:rPr>
                <w:rFonts w:ascii="Times New Roman"/>
                <w:sz w:val="18"/>
              </w:rPr>
              <w:t>483.51</w:t>
            </w:r>
          </w:p>
        </w:tc>
        <w:tc>
          <w:tcPr>
            <w:tcW w:w="567"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07" w:lineRule="exact" w:before="141"/>
              <w:ind w:left="57" w:right="0"/>
              <w:jc w:val="left"/>
              <w:rPr>
                <w:rFonts w:ascii="Times New Roman" w:hAnsi="Times New Roman" w:cs="Times New Roman" w:eastAsia="Times New Roman" w:hint="default"/>
                <w:sz w:val="18"/>
                <w:szCs w:val="18"/>
              </w:rPr>
            </w:pPr>
            <w:r>
              <w:rPr>
                <w:rFonts w:ascii="Times New Roman"/>
                <w:sz w:val="18"/>
              </w:rPr>
              <w:t>3,641,664,</w:t>
            </w:r>
          </w:p>
          <w:p>
            <w:pPr>
              <w:pStyle w:val="TableParagraph"/>
              <w:spacing w:line="205" w:lineRule="exact"/>
              <w:ind w:left="328" w:right="0"/>
              <w:jc w:val="left"/>
              <w:rPr>
                <w:rFonts w:ascii="Times New Roman" w:hAnsi="Times New Roman" w:cs="Times New Roman" w:eastAsia="Times New Roman" w:hint="default"/>
                <w:sz w:val="18"/>
                <w:szCs w:val="18"/>
              </w:rPr>
            </w:pPr>
            <w:r>
              <w:rPr>
                <w:rFonts w:ascii="Times New Roman"/>
                <w:sz w:val="18"/>
              </w:rPr>
              <w:t>705.24</w:t>
            </w:r>
          </w:p>
        </w:tc>
        <w:tc>
          <w:tcPr>
            <w:tcW w:w="708" w:type="dxa"/>
            <w:tcBorders>
              <w:top w:val="nil" w:sz="6" w:space="0" w:color="auto"/>
              <w:left w:val="nil" w:sz="6" w:space="0" w:color="auto"/>
              <w:bottom w:val="nil" w:sz="6" w:space="0" w:color="auto"/>
              <w:right w:val="nil" w:sz="6" w:space="0" w:color="auto"/>
            </w:tcBorders>
          </w:tcPr>
          <w:p>
            <w:pPr>
              <w:pStyle w:val="TableParagraph"/>
              <w:spacing w:line="207" w:lineRule="exact" w:before="141"/>
              <w:ind w:left="20" w:right="0"/>
              <w:jc w:val="center"/>
              <w:rPr>
                <w:rFonts w:ascii="Times New Roman" w:hAnsi="Times New Roman" w:cs="Times New Roman" w:eastAsia="Times New Roman" w:hint="default"/>
                <w:sz w:val="18"/>
                <w:szCs w:val="18"/>
              </w:rPr>
            </w:pPr>
            <w:r>
              <w:rPr>
                <w:rFonts w:ascii="Times New Roman"/>
                <w:sz w:val="18"/>
              </w:rPr>
              <w:t>593,329,</w:t>
            </w:r>
          </w:p>
          <w:p>
            <w:pPr>
              <w:pStyle w:val="TableParagraph"/>
              <w:spacing w:line="205" w:lineRule="exact"/>
              <w:ind w:left="156" w:right="0"/>
              <w:jc w:val="center"/>
              <w:rPr>
                <w:rFonts w:ascii="Times New Roman" w:hAnsi="Times New Roman" w:cs="Times New Roman" w:eastAsia="Times New Roman" w:hint="default"/>
                <w:sz w:val="18"/>
                <w:szCs w:val="18"/>
              </w:rPr>
            </w:pPr>
            <w:r>
              <w:rPr>
                <w:rFonts w:ascii="Times New Roman"/>
                <w:sz w:val="18"/>
              </w:rPr>
              <w:t>839.28</w:t>
            </w:r>
          </w:p>
        </w:tc>
        <w:tc>
          <w:tcPr>
            <w:tcW w:w="708" w:type="dxa"/>
            <w:tcBorders>
              <w:top w:val="nil" w:sz="6" w:space="0" w:color="auto"/>
              <w:left w:val="nil" w:sz="6" w:space="0" w:color="auto"/>
              <w:bottom w:val="nil" w:sz="6" w:space="0" w:color="auto"/>
              <w:right w:val="nil" w:sz="6" w:space="0" w:color="auto"/>
            </w:tcBorders>
          </w:tcPr>
          <w:p>
            <w:pPr>
              <w:pStyle w:val="TableParagraph"/>
              <w:spacing w:line="207" w:lineRule="exact" w:before="141"/>
              <w:ind w:left="48" w:right="0"/>
              <w:jc w:val="left"/>
              <w:rPr>
                <w:rFonts w:ascii="Times New Roman" w:hAnsi="Times New Roman" w:cs="Times New Roman" w:eastAsia="Times New Roman" w:hint="default"/>
                <w:sz w:val="18"/>
                <w:szCs w:val="18"/>
              </w:rPr>
            </w:pPr>
            <w:r>
              <w:rPr>
                <w:rFonts w:ascii="Times New Roman"/>
                <w:sz w:val="18"/>
              </w:rPr>
              <w:t>9,484,23</w:t>
            </w:r>
          </w:p>
          <w:p>
            <w:pPr>
              <w:pStyle w:val="TableParagraph"/>
              <w:spacing w:line="205" w:lineRule="exact"/>
              <w:ind w:left="48" w:right="0"/>
              <w:jc w:val="left"/>
              <w:rPr>
                <w:rFonts w:ascii="Times New Roman" w:hAnsi="Times New Roman" w:cs="Times New Roman" w:eastAsia="Times New Roman" w:hint="default"/>
                <w:sz w:val="18"/>
                <w:szCs w:val="18"/>
              </w:rPr>
            </w:pPr>
            <w:r>
              <w:rPr>
                <w:rFonts w:ascii="Times New Roman"/>
                <w:sz w:val="18"/>
              </w:rPr>
              <w:t>9,125.18</w:t>
            </w:r>
          </w:p>
        </w:tc>
      </w:tr>
      <w:tr>
        <w:trPr>
          <w:trHeight w:val="197" w:hRule="exact"/>
        </w:trPr>
        <w:tc>
          <w:tcPr>
            <w:tcW w:w="1427" w:type="dxa"/>
            <w:tcBorders>
              <w:top w:val="nil" w:sz="6" w:space="0" w:color="auto"/>
              <w:left w:val="nil" w:sz="6" w:space="0" w:color="auto"/>
              <w:bottom w:val="nil" w:sz="6" w:space="0" w:color="auto"/>
              <w:right w:val="nil" w:sz="6" w:space="0" w:color="auto"/>
            </w:tcBorders>
            <w:shd w:val="clear" w:color="auto" w:fill="D2D2D2"/>
          </w:tcPr>
          <w:p>
            <w:pPr/>
          </w:p>
        </w:tc>
        <w:tc>
          <w:tcPr>
            <w:tcW w:w="562" w:type="dxa"/>
            <w:tcBorders>
              <w:top w:val="nil" w:sz="6" w:space="0" w:color="auto"/>
              <w:left w:val="nil" w:sz="6" w:space="0" w:color="auto"/>
              <w:bottom w:val="nil" w:sz="6" w:space="0" w:color="auto"/>
              <w:right w:val="nil" w:sz="6" w:space="0" w:color="auto"/>
            </w:tcBorders>
          </w:tcPr>
          <w:p>
            <w:pPr>
              <w:pStyle w:val="TableParagraph"/>
              <w:spacing w:line="145" w:lineRule="exact"/>
              <w:ind w:right="23"/>
              <w:jc w:val="right"/>
              <w:rPr>
                <w:rFonts w:ascii="Times New Roman" w:hAnsi="Times New Roman" w:cs="Times New Roman" w:eastAsia="Times New Roman" w:hint="default"/>
                <w:sz w:val="18"/>
                <w:szCs w:val="18"/>
              </w:rPr>
            </w:pPr>
            <w:r>
              <w:rPr>
                <w:rFonts w:ascii="Times New Roman"/>
                <w:spacing w:val="-1"/>
                <w:sz w:val="18"/>
              </w:rPr>
              <w:t>5.00</w:t>
            </w:r>
          </w:p>
        </w:tc>
        <w:tc>
          <w:tcPr>
            <w:tcW w:w="533" w:type="dxa"/>
            <w:tcBorders>
              <w:top w:val="nil" w:sz="6" w:space="0" w:color="auto"/>
              <w:left w:val="nil" w:sz="6" w:space="0" w:color="auto"/>
              <w:bottom w:val="nil" w:sz="6" w:space="0" w:color="auto"/>
              <w:right w:val="nil" w:sz="6" w:space="0" w:color="auto"/>
            </w:tcBorders>
          </w:tcPr>
          <w:p>
            <w:pPr/>
          </w:p>
        </w:tc>
        <w:tc>
          <w:tcPr>
            <w:tcW w:w="444"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r>
      <w:tr>
        <w:trPr>
          <w:trHeight w:val="792" w:hRule="exact"/>
        </w:trPr>
        <w:tc>
          <w:tcPr>
            <w:tcW w:w="1427"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32" w:lineRule="auto" w:before="19"/>
              <w:ind w:left="15" w:right="26"/>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562"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444"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3" w:right="0"/>
              <w:jc w:val="left"/>
              <w:rPr>
                <w:rFonts w:ascii="Times New Roman" w:hAnsi="Times New Roman" w:cs="Times New Roman" w:eastAsia="Times New Roman" w:hint="default"/>
                <w:sz w:val="18"/>
                <w:szCs w:val="18"/>
              </w:rPr>
            </w:pPr>
            <w:r>
              <w:rPr>
                <w:rFonts w:ascii="Times New Roman"/>
                <w:sz w:val="18"/>
              </w:rPr>
              <w:t>113,00</w:t>
            </w:r>
          </w:p>
          <w:p>
            <w:pPr>
              <w:pStyle w:val="TableParagraph"/>
              <w:spacing w:line="205" w:lineRule="exact" w:before="2"/>
              <w:ind w:left="86" w:right="0"/>
              <w:jc w:val="left"/>
              <w:rPr>
                <w:rFonts w:ascii="Times New Roman" w:hAnsi="Times New Roman" w:cs="Times New Roman" w:eastAsia="Times New Roman" w:hint="default"/>
                <w:sz w:val="18"/>
                <w:szCs w:val="18"/>
              </w:rPr>
            </w:pPr>
            <w:r>
              <w:rPr>
                <w:rFonts w:ascii="Times New Roman"/>
                <w:sz w:val="18"/>
              </w:rPr>
              <w:t>6,514.</w:t>
            </w:r>
          </w:p>
          <w:p>
            <w:pPr>
              <w:pStyle w:val="TableParagraph"/>
              <w:spacing w:line="205" w:lineRule="exact"/>
              <w:ind w:left="357" w:right="0"/>
              <w:jc w:val="left"/>
              <w:rPr>
                <w:rFonts w:ascii="Times New Roman" w:hAnsi="Times New Roman" w:cs="Times New Roman" w:eastAsia="Times New Roman" w:hint="default"/>
                <w:sz w:val="18"/>
                <w:szCs w:val="18"/>
              </w:rPr>
            </w:pPr>
            <w:r>
              <w:rPr>
                <w:rFonts w:ascii="Times New Roman"/>
                <w:sz w:val="18"/>
              </w:rPr>
              <w:t>72</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07" w:lineRule="exact"/>
              <w:ind w:left="7" w:right="0"/>
              <w:jc w:val="center"/>
              <w:rPr>
                <w:rFonts w:ascii="Times New Roman" w:hAnsi="Times New Roman" w:cs="Times New Roman" w:eastAsia="Times New Roman" w:hint="default"/>
                <w:sz w:val="18"/>
                <w:szCs w:val="18"/>
              </w:rPr>
            </w:pPr>
            <w:r>
              <w:rPr>
                <w:rFonts w:ascii="Times New Roman"/>
                <w:sz w:val="18"/>
              </w:rPr>
              <w:t>-275,433</w:t>
            </w:r>
          </w:p>
          <w:p>
            <w:pPr>
              <w:pStyle w:val="TableParagraph"/>
              <w:spacing w:line="207" w:lineRule="exact"/>
              <w:ind w:left="113" w:right="0"/>
              <w:jc w:val="center"/>
              <w:rPr>
                <w:rFonts w:ascii="Times New Roman" w:hAnsi="Times New Roman" w:cs="Times New Roman" w:eastAsia="Times New Roman" w:hint="default"/>
                <w:sz w:val="18"/>
                <w:szCs w:val="18"/>
              </w:rPr>
            </w:pPr>
            <w:r>
              <w:rPr>
                <w:rFonts w:ascii="Times New Roman"/>
                <w:sz w:val="18"/>
              </w:rPr>
              <w:t>,229.18</w:t>
            </w:r>
          </w:p>
        </w:tc>
        <w:tc>
          <w:tcPr>
            <w:tcW w:w="425"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07" w:lineRule="exact"/>
              <w:ind w:left="47" w:right="0"/>
              <w:jc w:val="left"/>
              <w:rPr>
                <w:rFonts w:ascii="Times New Roman" w:hAnsi="Times New Roman" w:cs="Times New Roman" w:eastAsia="Times New Roman" w:hint="default"/>
                <w:sz w:val="18"/>
                <w:szCs w:val="18"/>
              </w:rPr>
            </w:pPr>
            <w:r>
              <w:rPr>
                <w:rFonts w:ascii="Times New Roman"/>
                <w:sz w:val="18"/>
              </w:rPr>
              <w:t>13,514,0</w:t>
            </w:r>
          </w:p>
          <w:p>
            <w:pPr>
              <w:pStyle w:val="TableParagraph"/>
              <w:spacing w:line="207" w:lineRule="exact"/>
              <w:ind w:left="273" w:right="0"/>
              <w:jc w:val="left"/>
              <w:rPr>
                <w:rFonts w:ascii="Times New Roman" w:hAnsi="Times New Roman" w:cs="Times New Roman" w:eastAsia="Times New Roman" w:hint="default"/>
                <w:sz w:val="18"/>
                <w:szCs w:val="18"/>
              </w:rPr>
            </w:pPr>
            <w:r>
              <w:rPr>
                <w:rFonts w:ascii="Times New Roman"/>
                <w:sz w:val="18"/>
              </w:rPr>
              <w:t>99.90</w:t>
            </w:r>
          </w:p>
        </w:tc>
        <w:tc>
          <w:tcPr>
            <w:tcW w:w="567"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07" w:lineRule="exact"/>
              <w:ind w:left="103" w:right="0"/>
              <w:jc w:val="left"/>
              <w:rPr>
                <w:rFonts w:ascii="Times New Roman" w:hAnsi="Times New Roman" w:cs="Times New Roman" w:eastAsia="Times New Roman" w:hint="default"/>
                <w:sz w:val="18"/>
                <w:szCs w:val="18"/>
              </w:rPr>
            </w:pPr>
            <w:r>
              <w:rPr>
                <w:rFonts w:ascii="Times New Roman"/>
                <w:sz w:val="18"/>
              </w:rPr>
              <w:t>171,005,7</w:t>
            </w:r>
          </w:p>
          <w:p>
            <w:pPr>
              <w:pStyle w:val="TableParagraph"/>
              <w:spacing w:line="207" w:lineRule="exact"/>
              <w:ind w:left="417" w:right="0"/>
              <w:jc w:val="left"/>
              <w:rPr>
                <w:rFonts w:ascii="Times New Roman" w:hAnsi="Times New Roman" w:cs="Times New Roman" w:eastAsia="Times New Roman" w:hint="default"/>
                <w:sz w:val="18"/>
                <w:szCs w:val="18"/>
              </w:rPr>
            </w:pPr>
            <w:r>
              <w:rPr>
                <w:rFonts w:ascii="Times New Roman"/>
                <w:sz w:val="18"/>
              </w:rPr>
              <w:t>98.62</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07" w:lineRule="exact"/>
              <w:ind w:left="20" w:right="0"/>
              <w:jc w:val="center"/>
              <w:rPr>
                <w:rFonts w:ascii="Times New Roman" w:hAnsi="Times New Roman" w:cs="Times New Roman" w:eastAsia="Times New Roman" w:hint="default"/>
                <w:sz w:val="18"/>
                <w:szCs w:val="18"/>
              </w:rPr>
            </w:pPr>
            <w:r>
              <w:rPr>
                <w:rFonts w:ascii="Times New Roman"/>
                <w:sz w:val="18"/>
              </w:rPr>
              <w:t>229,282,</w:t>
            </w:r>
          </w:p>
          <w:p>
            <w:pPr>
              <w:pStyle w:val="TableParagraph"/>
              <w:spacing w:line="207" w:lineRule="exact"/>
              <w:ind w:left="156" w:right="0"/>
              <w:jc w:val="center"/>
              <w:rPr>
                <w:rFonts w:ascii="Times New Roman" w:hAnsi="Times New Roman" w:cs="Times New Roman" w:eastAsia="Times New Roman" w:hint="default"/>
                <w:sz w:val="18"/>
                <w:szCs w:val="18"/>
              </w:rPr>
            </w:pPr>
            <w:r>
              <w:rPr>
                <w:rFonts w:ascii="Times New Roman"/>
                <w:sz w:val="18"/>
              </w:rPr>
              <w:t>726.94</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07" w:lineRule="exact"/>
              <w:ind w:left="48" w:right="0"/>
              <w:jc w:val="left"/>
              <w:rPr>
                <w:rFonts w:ascii="Times New Roman" w:hAnsi="Times New Roman" w:cs="Times New Roman" w:eastAsia="Times New Roman" w:hint="default"/>
                <w:sz w:val="18"/>
                <w:szCs w:val="18"/>
              </w:rPr>
            </w:pPr>
            <w:r>
              <w:rPr>
                <w:rFonts w:ascii="Times New Roman"/>
                <w:sz w:val="18"/>
              </w:rPr>
              <w:t>25,362,8</w:t>
            </w:r>
          </w:p>
          <w:p>
            <w:pPr>
              <w:pStyle w:val="TableParagraph"/>
              <w:spacing w:line="207" w:lineRule="exact"/>
              <w:ind w:left="273" w:right="0"/>
              <w:jc w:val="left"/>
              <w:rPr>
                <w:rFonts w:ascii="Times New Roman" w:hAnsi="Times New Roman" w:cs="Times New Roman" w:eastAsia="Times New Roman" w:hint="default"/>
                <w:sz w:val="18"/>
                <w:szCs w:val="18"/>
              </w:rPr>
            </w:pPr>
            <w:r>
              <w:rPr>
                <w:rFonts w:ascii="Times New Roman"/>
                <w:sz w:val="18"/>
              </w:rPr>
              <w:t>81.56</w:t>
            </w:r>
          </w:p>
        </w:tc>
      </w:tr>
      <w:tr>
        <w:trPr>
          <w:trHeight w:val="557" w:hRule="exact"/>
        </w:trPr>
        <w:tc>
          <w:tcPr>
            <w:tcW w:w="1427"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32" w:lineRule="exact" w:before="37"/>
              <w:ind w:left="15" w:right="26"/>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444"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07" w:lineRule="exact" w:before="64"/>
              <w:ind w:left="7" w:right="0"/>
              <w:jc w:val="center"/>
              <w:rPr>
                <w:rFonts w:ascii="Times New Roman" w:hAnsi="Times New Roman" w:cs="Times New Roman" w:eastAsia="Times New Roman" w:hint="default"/>
                <w:sz w:val="18"/>
                <w:szCs w:val="18"/>
              </w:rPr>
            </w:pPr>
            <w:r>
              <w:rPr>
                <w:rFonts w:ascii="Times New Roman"/>
                <w:sz w:val="18"/>
              </w:rPr>
              <w:t>-275,433</w:t>
            </w:r>
          </w:p>
          <w:p>
            <w:pPr>
              <w:pStyle w:val="TableParagraph"/>
              <w:spacing w:line="207" w:lineRule="exact"/>
              <w:ind w:left="113" w:right="0"/>
              <w:jc w:val="center"/>
              <w:rPr>
                <w:rFonts w:ascii="Times New Roman" w:hAnsi="Times New Roman" w:cs="Times New Roman" w:eastAsia="Times New Roman" w:hint="default"/>
                <w:sz w:val="18"/>
                <w:szCs w:val="18"/>
              </w:rPr>
            </w:pPr>
            <w:r>
              <w:rPr>
                <w:rFonts w:ascii="Times New Roman"/>
                <w:sz w:val="18"/>
              </w:rPr>
              <w:t>,229.18</w:t>
            </w:r>
          </w:p>
        </w:tc>
        <w:tc>
          <w:tcPr>
            <w:tcW w:w="425"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07" w:lineRule="exact" w:before="64"/>
              <w:ind w:left="103" w:right="0"/>
              <w:jc w:val="left"/>
              <w:rPr>
                <w:rFonts w:ascii="Times New Roman" w:hAnsi="Times New Roman" w:cs="Times New Roman" w:eastAsia="Times New Roman" w:hint="default"/>
                <w:sz w:val="18"/>
                <w:szCs w:val="18"/>
              </w:rPr>
            </w:pPr>
            <w:r>
              <w:rPr>
                <w:rFonts w:ascii="Times New Roman"/>
                <w:sz w:val="18"/>
              </w:rPr>
              <w:t>670,297,0</w:t>
            </w:r>
          </w:p>
          <w:p>
            <w:pPr>
              <w:pStyle w:val="TableParagraph"/>
              <w:spacing w:line="207" w:lineRule="exact"/>
              <w:ind w:left="417" w:right="0"/>
              <w:jc w:val="left"/>
              <w:rPr>
                <w:rFonts w:ascii="Times New Roman" w:hAnsi="Times New Roman" w:cs="Times New Roman" w:eastAsia="Times New Roman" w:hint="default"/>
                <w:sz w:val="18"/>
                <w:szCs w:val="18"/>
              </w:rPr>
            </w:pPr>
            <w:r>
              <w:rPr>
                <w:rFonts w:ascii="Times New Roman"/>
                <w:sz w:val="18"/>
              </w:rPr>
              <w:t>43.52</w:t>
            </w:r>
          </w:p>
        </w:tc>
        <w:tc>
          <w:tcPr>
            <w:tcW w:w="708" w:type="dxa"/>
            <w:tcBorders>
              <w:top w:val="nil" w:sz="6" w:space="0" w:color="auto"/>
              <w:left w:val="nil" w:sz="6" w:space="0" w:color="auto"/>
              <w:bottom w:val="nil" w:sz="6" w:space="0" w:color="auto"/>
              <w:right w:val="nil" w:sz="6" w:space="0" w:color="auto"/>
            </w:tcBorders>
          </w:tcPr>
          <w:p>
            <w:pPr>
              <w:pStyle w:val="TableParagraph"/>
              <w:spacing w:line="207" w:lineRule="exact" w:before="64"/>
              <w:ind w:left="20" w:right="0"/>
              <w:jc w:val="center"/>
              <w:rPr>
                <w:rFonts w:ascii="Times New Roman" w:hAnsi="Times New Roman" w:cs="Times New Roman" w:eastAsia="Times New Roman" w:hint="default"/>
                <w:sz w:val="18"/>
                <w:szCs w:val="18"/>
              </w:rPr>
            </w:pPr>
            <w:r>
              <w:rPr>
                <w:rFonts w:ascii="Times New Roman"/>
                <w:sz w:val="18"/>
              </w:rPr>
              <w:t>113,708,</w:t>
            </w:r>
          </w:p>
          <w:p>
            <w:pPr>
              <w:pStyle w:val="TableParagraph"/>
              <w:spacing w:line="207" w:lineRule="exact"/>
              <w:ind w:left="156" w:right="0"/>
              <w:jc w:val="center"/>
              <w:rPr>
                <w:rFonts w:ascii="Times New Roman" w:hAnsi="Times New Roman" w:cs="Times New Roman" w:eastAsia="Times New Roman" w:hint="default"/>
                <w:sz w:val="18"/>
                <w:szCs w:val="18"/>
              </w:rPr>
            </w:pPr>
            <w:r>
              <w:rPr>
                <w:rFonts w:ascii="Times New Roman"/>
                <w:sz w:val="18"/>
              </w:rPr>
              <w:t>249.65</w:t>
            </w:r>
          </w:p>
        </w:tc>
        <w:tc>
          <w:tcPr>
            <w:tcW w:w="708" w:type="dxa"/>
            <w:tcBorders>
              <w:top w:val="nil" w:sz="6" w:space="0" w:color="auto"/>
              <w:left w:val="nil" w:sz="6" w:space="0" w:color="auto"/>
              <w:bottom w:val="nil" w:sz="6" w:space="0" w:color="auto"/>
              <w:right w:val="nil" w:sz="6" w:space="0" w:color="auto"/>
            </w:tcBorders>
          </w:tcPr>
          <w:p>
            <w:pPr>
              <w:pStyle w:val="TableParagraph"/>
              <w:spacing w:line="207" w:lineRule="exact" w:before="64"/>
              <w:ind w:left="20" w:right="0"/>
              <w:jc w:val="center"/>
              <w:rPr>
                <w:rFonts w:ascii="Times New Roman" w:hAnsi="Times New Roman" w:cs="Times New Roman" w:eastAsia="Times New Roman" w:hint="default"/>
                <w:sz w:val="18"/>
                <w:szCs w:val="18"/>
              </w:rPr>
            </w:pPr>
            <w:r>
              <w:rPr>
                <w:rFonts w:ascii="Times New Roman"/>
                <w:sz w:val="18"/>
              </w:rPr>
              <w:t>508,572,</w:t>
            </w:r>
          </w:p>
          <w:p>
            <w:pPr>
              <w:pStyle w:val="TableParagraph"/>
              <w:spacing w:line="207" w:lineRule="exact"/>
              <w:ind w:left="156" w:right="0"/>
              <w:jc w:val="center"/>
              <w:rPr>
                <w:rFonts w:ascii="Times New Roman" w:hAnsi="Times New Roman" w:cs="Times New Roman" w:eastAsia="Times New Roman" w:hint="default"/>
                <w:sz w:val="18"/>
                <w:szCs w:val="18"/>
              </w:rPr>
            </w:pPr>
            <w:r>
              <w:rPr>
                <w:rFonts w:ascii="Times New Roman"/>
                <w:sz w:val="18"/>
              </w:rPr>
              <w:t>063.99</w:t>
            </w:r>
          </w:p>
        </w:tc>
      </w:tr>
    </w:tbl>
    <w:p>
      <w:pPr>
        <w:spacing w:after="0" w:line="207" w:lineRule="exact"/>
        <w:jc w:val="center"/>
        <w:rPr>
          <w:rFonts w:ascii="Times New Roman" w:hAnsi="Times New Roman" w:cs="Times New Roman" w:eastAsia="Times New Roman" w:hint="default"/>
          <w:sz w:val="18"/>
          <w:szCs w:val="18"/>
        </w:rPr>
        <w:sectPr>
          <w:pgSz w:w="11910" w:h="16840"/>
          <w:pgMar w:header="733" w:footer="977" w:top="960" w:bottom="1160" w:left="166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1438"/>
        <w:gridCol w:w="562"/>
        <w:gridCol w:w="533"/>
        <w:gridCol w:w="444"/>
        <w:gridCol w:w="286"/>
        <w:gridCol w:w="850"/>
        <w:gridCol w:w="567"/>
        <w:gridCol w:w="710"/>
        <w:gridCol w:w="425"/>
        <w:gridCol w:w="708"/>
        <w:gridCol w:w="567"/>
        <w:gridCol w:w="852"/>
        <w:gridCol w:w="708"/>
        <w:gridCol w:w="708"/>
      </w:tblGrid>
      <w:tr>
        <w:trPr>
          <w:trHeight w:val="71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10"/>
              <w:ind w:left="21"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8" w:right="0"/>
              <w:jc w:val="left"/>
              <w:rPr>
                <w:rFonts w:ascii="Times New Roman" w:hAnsi="Times New Roman" w:cs="Times New Roman" w:eastAsia="Times New Roman" w:hint="default"/>
                <w:sz w:val="18"/>
                <w:szCs w:val="18"/>
              </w:rPr>
            </w:pPr>
            <w:r>
              <w:rPr>
                <w:rFonts w:ascii="Times New Roman"/>
                <w:sz w:val="18"/>
              </w:rPr>
              <w:t>113,00</w:t>
            </w:r>
          </w:p>
          <w:p>
            <w:pPr>
              <w:pStyle w:val="TableParagraph"/>
              <w:spacing w:line="205" w:lineRule="exact" w:before="2"/>
              <w:ind w:left="81" w:right="0"/>
              <w:jc w:val="left"/>
              <w:rPr>
                <w:rFonts w:ascii="Times New Roman" w:hAnsi="Times New Roman" w:cs="Times New Roman" w:eastAsia="Times New Roman" w:hint="default"/>
                <w:sz w:val="18"/>
                <w:szCs w:val="18"/>
              </w:rPr>
            </w:pPr>
            <w:r>
              <w:rPr>
                <w:rFonts w:ascii="Times New Roman"/>
                <w:sz w:val="18"/>
              </w:rPr>
              <w:t>6,514.</w:t>
            </w:r>
          </w:p>
          <w:p>
            <w:pPr>
              <w:pStyle w:val="TableParagraph"/>
              <w:spacing w:line="205" w:lineRule="exact"/>
              <w:ind w:left="352" w:right="0"/>
              <w:jc w:val="left"/>
              <w:rPr>
                <w:rFonts w:ascii="Times New Roman" w:hAnsi="Times New Roman" w:cs="Times New Roman" w:eastAsia="Times New Roman" w:hint="default"/>
                <w:sz w:val="18"/>
                <w:szCs w:val="18"/>
              </w:rPr>
            </w:pPr>
            <w:r>
              <w:rPr>
                <w:rFonts w:ascii="Times New Roman"/>
                <w:sz w:val="18"/>
              </w:rPr>
              <w:t>72</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7"/>
              <w:ind w:left="20" w:right="0"/>
              <w:jc w:val="center"/>
              <w:rPr>
                <w:rFonts w:ascii="Times New Roman" w:hAnsi="Times New Roman" w:cs="Times New Roman" w:eastAsia="Times New Roman" w:hint="default"/>
                <w:sz w:val="18"/>
                <w:szCs w:val="18"/>
              </w:rPr>
            </w:pPr>
            <w:r>
              <w:rPr>
                <w:rFonts w:ascii="Times New Roman"/>
                <w:sz w:val="18"/>
              </w:rPr>
              <w:t>180,364,</w:t>
            </w:r>
          </w:p>
          <w:p>
            <w:pPr>
              <w:pStyle w:val="TableParagraph"/>
              <w:spacing w:line="207" w:lineRule="exact"/>
              <w:ind w:left="156" w:right="0"/>
              <w:jc w:val="center"/>
              <w:rPr>
                <w:rFonts w:ascii="Times New Roman" w:hAnsi="Times New Roman" w:cs="Times New Roman" w:eastAsia="Times New Roman" w:hint="default"/>
                <w:sz w:val="18"/>
                <w:szCs w:val="18"/>
              </w:rPr>
            </w:pPr>
            <w:r>
              <w:rPr>
                <w:rFonts w:ascii="Times New Roman"/>
                <w:sz w:val="18"/>
              </w:rPr>
              <w:t>649.33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7"/>
              <w:ind w:left="43" w:right="0"/>
              <w:jc w:val="left"/>
              <w:rPr>
                <w:rFonts w:ascii="Times New Roman" w:hAnsi="Times New Roman" w:cs="Times New Roman" w:eastAsia="Times New Roman" w:hint="default"/>
                <w:sz w:val="18"/>
                <w:szCs w:val="18"/>
              </w:rPr>
            </w:pPr>
            <w:r>
              <w:rPr>
                <w:rFonts w:ascii="Times New Roman"/>
                <w:sz w:val="18"/>
              </w:rPr>
              <w:t>67,358,1</w:t>
            </w:r>
          </w:p>
          <w:p>
            <w:pPr>
              <w:pStyle w:val="TableParagraph"/>
              <w:spacing w:line="207" w:lineRule="exact"/>
              <w:ind w:left="268" w:right="0"/>
              <w:jc w:val="left"/>
              <w:rPr>
                <w:rFonts w:ascii="Times New Roman" w:hAnsi="Times New Roman" w:cs="Times New Roman" w:eastAsia="Times New Roman" w:hint="default"/>
                <w:sz w:val="18"/>
                <w:szCs w:val="18"/>
              </w:rPr>
            </w:pPr>
            <w:r>
              <w:rPr>
                <w:rFonts w:ascii="Times New Roman"/>
                <w:sz w:val="18"/>
              </w:rPr>
              <w:t>34.61</w:t>
            </w: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43" w:right="0"/>
              <w:jc w:val="left"/>
              <w:rPr>
                <w:rFonts w:ascii="Times New Roman" w:hAnsi="Times New Roman" w:cs="Times New Roman" w:eastAsia="Times New Roman" w:hint="default"/>
                <w:sz w:val="18"/>
                <w:szCs w:val="18"/>
              </w:rPr>
            </w:pPr>
            <w:r>
              <w:rPr>
                <w:rFonts w:ascii="Times New Roman"/>
                <w:sz w:val="18"/>
              </w:rPr>
              <w:t>37,840,0</w:t>
            </w:r>
          </w:p>
          <w:p>
            <w:pPr>
              <w:pStyle w:val="TableParagraph"/>
              <w:spacing w:line="207" w:lineRule="exact"/>
              <w:ind w:left="268" w:right="0"/>
              <w:jc w:val="left"/>
              <w:rPr>
                <w:rFonts w:ascii="Times New Roman" w:hAnsi="Times New Roman" w:cs="Times New Roman" w:eastAsia="Times New Roman" w:hint="default"/>
                <w:sz w:val="18"/>
                <w:szCs w:val="18"/>
              </w:rPr>
            </w:pPr>
            <w:r>
              <w:rPr>
                <w:rFonts w:ascii="Times New Roman"/>
                <w:sz w:val="18"/>
              </w:rPr>
              <w:t>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43" w:right="0"/>
              <w:jc w:val="left"/>
              <w:rPr>
                <w:rFonts w:ascii="Times New Roman" w:hAnsi="Times New Roman" w:cs="Times New Roman" w:eastAsia="Times New Roman" w:hint="default"/>
                <w:sz w:val="18"/>
                <w:szCs w:val="18"/>
              </w:rPr>
            </w:pPr>
            <w:r>
              <w:rPr>
                <w:rFonts w:ascii="Times New Roman"/>
                <w:sz w:val="18"/>
              </w:rPr>
              <w:t>37,840,0</w:t>
            </w:r>
          </w:p>
          <w:p>
            <w:pPr>
              <w:pStyle w:val="TableParagraph"/>
              <w:spacing w:line="207" w:lineRule="exact"/>
              <w:ind w:left="268" w:right="0"/>
              <w:jc w:val="left"/>
              <w:rPr>
                <w:rFonts w:ascii="Times New Roman" w:hAnsi="Times New Roman" w:cs="Times New Roman" w:eastAsia="Times New Roman" w:hint="default"/>
                <w:sz w:val="18"/>
                <w:szCs w:val="18"/>
              </w:rPr>
            </w:pPr>
            <w:r>
              <w:rPr>
                <w:rFonts w:ascii="Times New Roman"/>
                <w:sz w:val="18"/>
              </w:rPr>
              <w:t>00.00</w:t>
            </w: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9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auto" w:before="14"/>
              <w:ind w:left="2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8" w:right="0"/>
              <w:jc w:val="left"/>
              <w:rPr>
                <w:rFonts w:ascii="Times New Roman" w:hAnsi="Times New Roman" w:cs="Times New Roman" w:eastAsia="Times New Roman" w:hint="default"/>
                <w:sz w:val="18"/>
                <w:szCs w:val="18"/>
              </w:rPr>
            </w:pPr>
            <w:r>
              <w:rPr>
                <w:rFonts w:ascii="Times New Roman"/>
                <w:sz w:val="18"/>
              </w:rPr>
              <w:t>113,00</w:t>
            </w:r>
          </w:p>
          <w:p>
            <w:pPr>
              <w:pStyle w:val="TableParagraph"/>
              <w:spacing w:line="205" w:lineRule="exact" w:before="2"/>
              <w:ind w:left="81" w:right="0"/>
              <w:jc w:val="left"/>
              <w:rPr>
                <w:rFonts w:ascii="Times New Roman" w:hAnsi="Times New Roman" w:cs="Times New Roman" w:eastAsia="Times New Roman" w:hint="default"/>
                <w:sz w:val="18"/>
                <w:szCs w:val="18"/>
              </w:rPr>
            </w:pPr>
            <w:r>
              <w:rPr>
                <w:rFonts w:ascii="Times New Roman"/>
                <w:sz w:val="18"/>
              </w:rPr>
              <w:t>6,514.</w:t>
            </w:r>
          </w:p>
          <w:p>
            <w:pPr>
              <w:pStyle w:val="TableParagraph"/>
              <w:spacing w:line="205" w:lineRule="exact"/>
              <w:ind w:left="352" w:right="0"/>
              <w:jc w:val="left"/>
              <w:rPr>
                <w:rFonts w:ascii="Times New Roman" w:hAnsi="Times New Roman" w:cs="Times New Roman" w:eastAsia="Times New Roman" w:hint="default"/>
                <w:sz w:val="18"/>
                <w:szCs w:val="18"/>
              </w:rPr>
            </w:pPr>
            <w:r>
              <w:rPr>
                <w:rFonts w:ascii="Times New Roman"/>
                <w:sz w:val="18"/>
              </w:rPr>
              <w:t>72</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6"/>
              <w:ind w:left="20" w:right="0"/>
              <w:jc w:val="center"/>
              <w:rPr>
                <w:rFonts w:ascii="Times New Roman" w:hAnsi="Times New Roman" w:cs="Times New Roman" w:eastAsia="Times New Roman" w:hint="default"/>
                <w:sz w:val="18"/>
                <w:szCs w:val="18"/>
              </w:rPr>
            </w:pPr>
            <w:r>
              <w:rPr>
                <w:rFonts w:ascii="Times New Roman"/>
                <w:sz w:val="18"/>
              </w:rPr>
              <w:t>142,524,</w:t>
            </w:r>
          </w:p>
          <w:p>
            <w:pPr>
              <w:pStyle w:val="TableParagraph"/>
              <w:spacing w:line="207" w:lineRule="exact"/>
              <w:ind w:left="156" w:right="0"/>
              <w:jc w:val="center"/>
              <w:rPr>
                <w:rFonts w:ascii="Times New Roman" w:hAnsi="Times New Roman" w:cs="Times New Roman" w:eastAsia="Times New Roman" w:hint="default"/>
                <w:sz w:val="18"/>
                <w:szCs w:val="18"/>
              </w:rPr>
            </w:pPr>
            <w:r>
              <w:rPr>
                <w:rFonts w:ascii="Times New Roman"/>
                <w:sz w:val="18"/>
              </w:rPr>
              <w:t>649.33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6"/>
              <w:ind w:left="43" w:right="0"/>
              <w:jc w:val="left"/>
              <w:rPr>
                <w:rFonts w:ascii="Times New Roman" w:hAnsi="Times New Roman" w:cs="Times New Roman" w:eastAsia="Times New Roman" w:hint="default"/>
                <w:sz w:val="18"/>
                <w:szCs w:val="18"/>
              </w:rPr>
            </w:pPr>
            <w:r>
              <w:rPr>
                <w:rFonts w:ascii="Times New Roman"/>
                <w:sz w:val="18"/>
              </w:rPr>
              <w:t>29,518,1</w:t>
            </w:r>
          </w:p>
          <w:p>
            <w:pPr>
              <w:pStyle w:val="TableParagraph"/>
              <w:spacing w:line="207" w:lineRule="exact"/>
              <w:ind w:left="268" w:right="0"/>
              <w:jc w:val="left"/>
              <w:rPr>
                <w:rFonts w:ascii="Times New Roman" w:hAnsi="Times New Roman" w:cs="Times New Roman" w:eastAsia="Times New Roman" w:hint="default"/>
                <w:sz w:val="18"/>
                <w:szCs w:val="18"/>
              </w:rPr>
            </w:pPr>
            <w:r>
              <w:rPr>
                <w:rFonts w:ascii="Times New Roman"/>
                <w:sz w:val="18"/>
              </w:rPr>
              <w:t>34.61</w:t>
            </w:r>
          </w:p>
        </w:tc>
      </w:tr>
      <w:tr>
        <w:trPr>
          <w:trHeight w:val="50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left="43" w:right="0"/>
              <w:jc w:val="left"/>
              <w:rPr>
                <w:rFonts w:ascii="Times New Roman" w:hAnsi="Times New Roman" w:cs="Times New Roman" w:eastAsia="Times New Roman" w:hint="default"/>
                <w:sz w:val="18"/>
                <w:szCs w:val="18"/>
              </w:rPr>
            </w:pPr>
            <w:r>
              <w:rPr>
                <w:rFonts w:ascii="Times New Roman"/>
                <w:sz w:val="18"/>
              </w:rPr>
              <w:t>13,514,0</w:t>
            </w:r>
          </w:p>
          <w:p>
            <w:pPr>
              <w:pStyle w:val="TableParagraph"/>
              <w:spacing w:line="207" w:lineRule="exact"/>
              <w:ind w:left="268" w:right="0"/>
              <w:jc w:val="left"/>
              <w:rPr>
                <w:rFonts w:ascii="Times New Roman" w:hAnsi="Times New Roman" w:cs="Times New Roman" w:eastAsia="Times New Roman" w:hint="default"/>
                <w:sz w:val="18"/>
                <w:szCs w:val="18"/>
              </w:rPr>
            </w:pPr>
            <w:r>
              <w:rPr>
                <w:rFonts w:ascii="Times New Roman"/>
                <w:sz w:val="18"/>
              </w:rPr>
              <w:t>99.90</w:t>
            </w: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left="38" w:right="0"/>
              <w:jc w:val="left"/>
              <w:rPr>
                <w:rFonts w:ascii="Times New Roman" w:hAnsi="Times New Roman" w:cs="Times New Roman" w:eastAsia="Times New Roman" w:hint="default"/>
                <w:sz w:val="18"/>
                <w:szCs w:val="18"/>
              </w:rPr>
            </w:pPr>
            <w:r>
              <w:rPr>
                <w:rFonts w:ascii="Times New Roman"/>
                <w:sz w:val="18"/>
              </w:rPr>
              <w:t>-499,291,2</w:t>
            </w:r>
          </w:p>
          <w:p>
            <w:pPr>
              <w:pStyle w:val="TableParagraph"/>
              <w:spacing w:line="207" w:lineRule="exact"/>
              <w:ind w:left="412" w:right="0"/>
              <w:jc w:val="left"/>
              <w:rPr>
                <w:rFonts w:ascii="Times New Roman" w:hAnsi="Times New Roman" w:cs="Times New Roman" w:eastAsia="Times New Roman" w:hint="default"/>
                <w:sz w:val="18"/>
                <w:szCs w:val="18"/>
              </w:rPr>
            </w:pPr>
            <w:r>
              <w:rPr>
                <w:rFonts w:ascii="Times New Roman"/>
                <w:sz w:val="18"/>
              </w:rPr>
              <w:t>44.90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left="51" w:right="0"/>
              <w:jc w:val="center"/>
              <w:rPr>
                <w:rFonts w:ascii="Times New Roman" w:hAnsi="Times New Roman" w:cs="Times New Roman" w:eastAsia="Times New Roman" w:hint="default"/>
                <w:sz w:val="18"/>
                <w:szCs w:val="18"/>
              </w:rPr>
            </w:pPr>
            <w:r>
              <w:rPr>
                <w:rFonts w:ascii="Times New Roman"/>
                <w:sz w:val="18"/>
              </w:rPr>
              <w:t>-64,790,</w:t>
            </w:r>
          </w:p>
          <w:p>
            <w:pPr>
              <w:pStyle w:val="TableParagraph"/>
              <w:spacing w:line="207" w:lineRule="exact"/>
              <w:ind w:left="156" w:right="0"/>
              <w:jc w:val="center"/>
              <w:rPr>
                <w:rFonts w:ascii="Times New Roman" w:hAnsi="Times New Roman" w:cs="Times New Roman" w:eastAsia="Times New Roman" w:hint="default"/>
                <w:sz w:val="18"/>
                <w:szCs w:val="18"/>
              </w:rPr>
            </w:pPr>
            <w:r>
              <w:rPr>
                <w:rFonts w:ascii="Times New Roman"/>
                <w:sz w:val="18"/>
              </w:rPr>
              <w:t>172.04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left="5" w:right="0"/>
              <w:jc w:val="center"/>
              <w:rPr>
                <w:rFonts w:ascii="Times New Roman" w:hAnsi="Times New Roman" w:cs="Times New Roman" w:eastAsia="Times New Roman" w:hint="default"/>
                <w:sz w:val="18"/>
                <w:szCs w:val="18"/>
              </w:rPr>
            </w:pPr>
            <w:r>
              <w:rPr>
                <w:rFonts w:ascii="Times New Roman"/>
                <w:sz w:val="18"/>
              </w:rPr>
              <w:t>-550,567</w:t>
            </w:r>
          </w:p>
          <w:p>
            <w:pPr>
              <w:pStyle w:val="TableParagraph"/>
              <w:spacing w:line="207" w:lineRule="exact"/>
              <w:ind w:left="110" w:right="0"/>
              <w:jc w:val="center"/>
              <w:rPr>
                <w:rFonts w:ascii="Times New Roman" w:hAnsi="Times New Roman" w:cs="Times New Roman" w:eastAsia="Times New Roman" w:hint="default"/>
                <w:sz w:val="18"/>
                <w:szCs w:val="18"/>
              </w:rPr>
            </w:pPr>
            <w:r>
              <w:rPr>
                <w:rFonts w:ascii="Times New Roman"/>
                <w:sz w:val="18"/>
              </w:rPr>
              <w:t>,317.04</w:t>
            </w:r>
          </w:p>
        </w:tc>
      </w:tr>
      <w:tr>
        <w:trPr>
          <w:trHeight w:val="50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43" w:right="0"/>
              <w:jc w:val="left"/>
              <w:rPr>
                <w:rFonts w:ascii="Times New Roman" w:hAnsi="Times New Roman" w:cs="Times New Roman" w:eastAsia="Times New Roman" w:hint="default"/>
                <w:sz w:val="18"/>
                <w:szCs w:val="18"/>
              </w:rPr>
            </w:pPr>
            <w:r>
              <w:rPr>
                <w:rFonts w:ascii="Times New Roman"/>
                <w:sz w:val="18"/>
              </w:rPr>
              <w:t>13,514,0</w:t>
            </w:r>
          </w:p>
          <w:p>
            <w:pPr>
              <w:pStyle w:val="TableParagraph"/>
              <w:spacing w:line="207" w:lineRule="exact"/>
              <w:ind w:left="268" w:right="0"/>
              <w:jc w:val="left"/>
              <w:rPr>
                <w:rFonts w:ascii="Times New Roman" w:hAnsi="Times New Roman" w:cs="Times New Roman" w:eastAsia="Times New Roman" w:hint="default"/>
                <w:sz w:val="18"/>
                <w:szCs w:val="18"/>
              </w:rPr>
            </w:pPr>
            <w:r>
              <w:rPr>
                <w:rFonts w:ascii="Times New Roman"/>
                <w:sz w:val="18"/>
              </w:rPr>
              <w:t>99.90</w:t>
            </w: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38" w:right="0"/>
              <w:jc w:val="left"/>
              <w:rPr>
                <w:rFonts w:ascii="Times New Roman" w:hAnsi="Times New Roman" w:cs="Times New Roman" w:eastAsia="Times New Roman" w:hint="default"/>
                <w:sz w:val="18"/>
                <w:szCs w:val="18"/>
              </w:rPr>
            </w:pPr>
            <w:r>
              <w:rPr>
                <w:rFonts w:ascii="Times New Roman"/>
                <w:sz w:val="18"/>
              </w:rPr>
              <w:t>-13,514,09</w:t>
            </w:r>
          </w:p>
          <w:p>
            <w:pPr>
              <w:pStyle w:val="TableParagraph"/>
              <w:spacing w:line="207" w:lineRule="exact"/>
              <w:ind w:left="504" w:right="0"/>
              <w:jc w:val="left"/>
              <w:rPr>
                <w:rFonts w:ascii="Times New Roman" w:hAnsi="Times New Roman" w:cs="Times New Roman" w:eastAsia="Times New Roman" w:hint="default"/>
                <w:sz w:val="18"/>
                <w:szCs w:val="18"/>
              </w:rPr>
            </w:pPr>
            <w:r>
              <w:rPr>
                <w:rFonts w:ascii="Times New Roman"/>
                <w:sz w:val="18"/>
              </w:rPr>
              <w:t>9.90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38" w:right="0"/>
              <w:jc w:val="left"/>
              <w:rPr>
                <w:rFonts w:ascii="Times New Roman" w:hAnsi="Times New Roman" w:cs="Times New Roman" w:eastAsia="Times New Roman" w:hint="default"/>
                <w:sz w:val="18"/>
                <w:szCs w:val="18"/>
              </w:rPr>
            </w:pPr>
            <w:r>
              <w:rPr>
                <w:rFonts w:ascii="Times New Roman"/>
                <w:sz w:val="18"/>
              </w:rPr>
              <w:t>-485,777,1</w:t>
            </w:r>
          </w:p>
          <w:p>
            <w:pPr>
              <w:pStyle w:val="TableParagraph"/>
              <w:spacing w:line="207" w:lineRule="exact"/>
              <w:ind w:left="412" w:right="0"/>
              <w:jc w:val="left"/>
              <w:rPr>
                <w:rFonts w:ascii="Times New Roman" w:hAnsi="Times New Roman" w:cs="Times New Roman" w:eastAsia="Times New Roman" w:hint="default"/>
                <w:sz w:val="18"/>
                <w:szCs w:val="18"/>
              </w:rPr>
            </w:pPr>
            <w:r>
              <w:rPr>
                <w:rFonts w:ascii="Times New Roman"/>
                <w:sz w:val="18"/>
              </w:rPr>
              <w:t>45.00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51" w:right="0"/>
              <w:jc w:val="center"/>
              <w:rPr>
                <w:rFonts w:ascii="Times New Roman" w:hAnsi="Times New Roman" w:cs="Times New Roman" w:eastAsia="Times New Roman" w:hint="default"/>
                <w:sz w:val="18"/>
                <w:szCs w:val="18"/>
              </w:rPr>
            </w:pPr>
            <w:r>
              <w:rPr>
                <w:rFonts w:ascii="Times New Roman"/>
                <w:sz w:val="18"/>
              </w:rPr>
              <w:t>-64,790,</w:t>
            </w:r>
          </w:p>
          <w:p>
            <w:pPr>
              <w:pStyle w:val="TableParagraph"/>
              <w:spacing w:line="207" w:lineRule="exact"/>
              <w:ind w:left="156" w:right="0"/>
              <w:jc w:val="center"/>
              <w:rPr>
                <w:rFonts w:ascii="Times New Roman" w:hAnsi="Times New Roman" w:cs="Times New Roman" w:eastAsia="Times New Roman" w:hint="default"/>
                <w:sz w:val="18"/>
                <w:szCs w:val="18"/>
              </w:rPr>
            </w:pPr>
            <w:r>
              <w:rPr>
                <w:rFonts w:ascii="Times New Roman"/>
                <w:sz w:val="18"/>
              </w:rPr>
              <w:t>172.04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5" w:right="0"/>
              <w:jc w:val="center"/>
              <w:rPr>
                <w:rFonts w:ascii="Times New Roman" w:hAnsi="Times New Roman" w:cs="Times New Roman" w:eastAsia="Times New Roman" w:hint="default"/>
                <w:sz w:val="18"/>
                <w:szCs w:val="18"/>
              </w:rPr>
            </w:pPr>
            <w:r>
              <w:rPr>
                <w:rFonts w:ascii="Times New Roman"/>
                <w:sz w:val="18"/>
              </w:rPr>
              <w:t>-550,567</w:t>
            </w:r>
          </w:p>
          <w:p>
            <w:pPr>
              <w:pStyle w:val="TableParagraph"/>
              <w:spacing w:line="207" w:lineRule="exact"/>
              <w:ind w:left="110" w:right="0"/>
              <w:jc w:val="center"/>
              <w:rPr>
                <w:rFonts w:ascii="Times New Roman" w:hAnsi="Times New Roman" w:cs="Times New Roman" w:eastAsia="Times New Roman" w:hint="default"/>
                <w:sz w:val="18"/>
                <w:szCs w:val="18"/>
              </w:rPr>
            </w:pPr>
            <w:r>
              <w:rPr>
                <w:rFonts w:ascii="Times New Roman"/>
                <w:sz w:val="18"/>
              </w:rPr>
              <w:t>,317.04</w:t>
            </w:r>
          </w:p>
        </w:tc>
      </w:tr>
      <w:tr>
        <w:trPr>
          <w:trHeight w:val="32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1"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1"/>
              <w:ind w:left="2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6"/>
              <w:ind w:left="2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8" w:right="0"/>
              <w:jc w:val="center"/>
              <w:rPr>
                <w:rFonts w:ascii="Times New Roman" w:hAnsi="Times New Roman" w:cs="Times New Roman" w:eastAsia="Times New Roman" w:hint="default"/>
                <w:sz w:val="18"/>
                <w:szCs w:val="18"/>
              </w:rPr>
            </w:pPr>
            <w:r>
              <w:rPr>
                <w:rFonts w:ascii="Times New Roman"/>
                <w:sz w:val="18"/>
              </w:rPr>
              <w:t>2,428,</w:t>
            </w:r>
          </w:p>
          <w:p>
            <w:pPr>
              <w:pStyle w:val="TableParagraph"/>
              <w:spacing w:line="205" w:lineRule="exact" w:before="2"/>
              <w:ind w:left="15" w:right="0"/>
              <w:jc w:val="center"/>
              <w:rPr>
                <w:rFonts w:ascii="Times New Roman" w:hAnsi="Times New Roman" w:cs="Times New Roman" w:eastAsia="Times New Roman" w:hint="default"/>
                <w:sz w:val="18"/>
                <w:szCs w:val="18"/>
              </w:rPr>
            </w:pPr>
            <w:r>
              <w:rPr>
                <w:rFonts w:ascii="Times New Roman"/>
                <w:sz w:val="18"/>
              </w:rPr>
              <w:t>885,72</w:t>
            </w:r>
          </w:p>
          <w:p>
            <w:pPr>
              <w:pStyle w:val="TableParagraph"/>
              <w:spacing w:line="205" w:lineRule="exact"/>
              <w:ind w:left="195" w:right="0"/>
              <w:jc w:val="center"/>
              <w:rPr>
                <w:rFonts w:ascii="Times New Roman" w:hAnsi="Times New Roman" w:cs="Times New Roman" w:eastAsia="Times New Roman" w:hint="default"/>
                <w:sz w:val="18"/>
                <w:szCs w:val="18"/>
              </w:rPr>
            </w:pPr>
            <w:r>
              <w:rPr>
                <w:rFonts w:ascii="Times New Roman"/>
                <w:sz w:val="18"/>
              </w:rPr>
              <w:t>5.00</w:t>
            </w:r>
          </w:p>
        </w:tc>
        <w:tc>
          <w:tcPr>
            <w:tcW w:w="533"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6"/>
              <w:ind w:left="50" w:right="0"/>
              <w:jc w:val="left"/>
              <w:rPr>
                <w:rFonts w:ascii="Times New Roman" w:hAnsi="Times New Roman" w:cs="Times New Roman" w:eastAsia="Times New Roman" w:hint="default"/>
                <w:sz w:val="18"/>
                <w:szCs w:val="18"/>
              </w:rPr>
            </w:pPr>
            <w:r>
              <w:rPr>
                <w:rFonts w:ascii="Times New Roman"/>
                <w:sz w:val="18"/>
              </w:rPr>
              <w:t>2,298,125,</w:t>
            </w:r>
          </w:p>
          <w:p>
            <w:pPr>
              <w:pStyle w:val="TableParagraph"/>
              <w:spacing w:line="207" w:lineRule="exact"/>
              <w:ind w:left="321" w:right="0"/>
              <w:jc w:val="left"/>
              <w:rPr>
                <w:rFonts w:ascii="Times New Roman" w:hAnsi="Times New Roman" w:cs="Times New Roman" w:eastAsia="Times New Roman" w:hint="default"/>
                <w:sz w:val="18"/>
                <w:szCs w:val="18"/>
              </w:rPr>
            </w:pPr>
            <w:r>
              <w:rPr>
                <w:rFonts w:ascii="Times New Roman"/>
                <w:sz w:val="18"/>
              </w:rPr>
              <w:t>819.56</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8" w:right="0"/>
              <w:jc w:val="left"/>
              <w:rPr>
                <w:rFonts w:ascii="Times New Roman" w:hAnsi="Times New Roman" w:cs="Times New Roman" w:eastAsia="Times New Roman" w:hint="default"/>
                <w:sz w:val="18"/>
                <w:szCs w:val="18"/>
              </w:rPr>
            </w:pPr>
            <w:r>
              <w:rPr>
                <w:rFonts w:ascii="Times New Roman"/>
                <w:sz w:val="18"/>
              </w:rPr>
              <w:t>113,00</w:t>
            </w:r>
          </w:p>
          <w:p>
            <w:pPr>
              <w:pStyle w:val="TableParagraph"/>
              <w:spacing w:line="205" w:lineRule="exact" w:before="2"/>
              <w:ind w:left="81" w:right="0"/>
              <w:jc w:val="left"/>
              <w:rPr>
                <w:rFonts w:ascii="Times New Roman" w:hAnsi="Times New Roman" w:cs="Times New Roman" w:eastAsia="Times New Roman" w:hint="default"/>
                <w:sz w:val="18"/>
                <w:szCs w:val="18"/>
              </w:rPr>
            </w:pPr>
            <w:r>
              <w:rPr>
                <w:rFonts w:ascii="Times New Roman"/>
                <w:sz w:val="18"/>
              </w:rPr>
              <w:t>6,514.</w:t>
            </w:r>
          </w:p>
          <w:p>
            <w:pPr>
              <w:pStyle w:val="TableParagraph"/>
              <w:spacing w:line="205" w:lineRule="exact"/>
              <w:ind w:left="352" w:right="0"/>
              <w:jc w:val="left"/>
              <w:rPr>
                <w:rFonts w:ascii="Times New Roman" w:hAnsi="Times New Roman" w:cs="Times New Roman" w:eastAsia="Times New Roman" w:hint="default"/>
                <w:sz w:val="18"/>
                <w:szCs w:val="18"/>
              </w:rPr>
            </w:pPr>
            <w:r>
              <w:rPr>
                <w:rFonts w:ascii="Times New Roman"/>
                <w:sz w:val="18"/>
              </w:rPr>
              <w:t>72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6"/>
              <w:ind w:left="7" w:right="0"/>
              <w:jc w:val="center"/>
              <w:rPr>
                <w:rFonts w:ascii="Times New Roman" w:hAnsi="Times New Roman" w:cs="Times New Roman" w:eastAsia="Times New Roman" w:hint="default"/>
                <w:sz w:val="18"/>
                <w:szCs w:val="18"/>
              </w:rPr>
            </w:pPr>
            <w:r>
              <w:rPr>
                <w:rFonts w:ascii="Times New Roman"/>
                <w:sz w:val="18"/>
              </w:rPr>
              <w:t>-368,279</w:t>
            </w:r>
          </w:p>
          <w:p>
            <w:pPr>
              <w:pStyle w:val="TableParagraph"/>
              <w:spacing w:line="207" w:lineRule="exact"/>
              <w:ind w:left="113" w:right="0"/>
              <w:jc w:val="center"/>
              <w:rPr>
                <w:rFonts w:ascii="Times New Roman" w:hAnsi="Times New Roman" w:cs="Times New Roman" w:eastAsia="Times New Roman" w:hint="default"/>
                <w:sz w:val="18"/>
                <w:szCs w:val="18"/>
              </w:rPr>
            </w:pPr>
            <w:r>
              <w:rPr>
                <w:rFonts w:ascii="Times New Roman"/>
                <w:sz w:val="18"/>
              </w:rPr>
              <w:t>,676.59</w:t>
            </w: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6"/>
              <w:ind w:left="20" w:right="0"/>
              <w:jc w:val="center"/>
              <w:rPr>
                <w:rFonts w:ascii="Times New Roman" w:hAnsi="Times New Roman" w:cs="Times New Roman" w:eastAsia="Times New Roman" w:hint="default"/>
                <w:sz w:val="18"/>
                <w:szCs w:val="18"/>
              </w:rPr>
            </w:pPr>
            <w:r>
              <w:rPr>
                <w:rFonts w:ascii="Times New Roman"/>
                <w:sz w:val="18"/>
              </w:rPr>
              <w:t>628,593,</w:t>
            </w:r>
          </w:p>
          <w:p>
            <w:pPr>
              <w:pStyle w:val="TableParagraph"/>
              <w:spacing w:line="207" w:lineRule="exact"/>
              <w:ind w:left="156" w:right="0"/>
              <w:jc w:val="center"/>
              <w:rPr>
                <w:rFonts w:ascii="Times New Roman" w:hAnsi="Times New Roman" w:cs="Times New Roman" w:eastAsia="Times New Roman" w:hint="default"/>
                <w:sz w:val="18"/>
                <w:szCs w:val="18"/>
              </w:rPr>
            </w:pPr>
            <w:r>
              <w:rPr>
                <w:rFonts w:ascii="Times New Roman"/>
                <w:sz w:val="18"/>
              </w:rPr>
              <w:t>583.41</w:t>
            </w: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6"/>
              <w:ind w:left="52" w:right="0"/>
              <w:jc w:val="left"/>
              <w:rPr>
                <w:rFonts w:ascii="Times New Roman" w:hAnsi="Times New Roman" w:cs="Times New Roman" w:eastAsia="Times New Roman" w:hint="default"/>
                <w:sz w:val="18"/>
                <w:szCs w:val="18"/>
              </w:rPr>
            </w:pPr>
            <w:r>
              <w:rPr>
                <w:rFonts w:ascii="Times New Roman"/>
                <w:sz w:val="18"/>
              </w:rPr>
              <w:t>3,812,670,</w:t>
            </w:r>
          </w:p>
          <w:p>
            <w:pPr>
              <w:pStyle w:val="TableParagraph"/>
              <w:spacing w:line="207" w:lineRule="exact"/>
              <w:ind w:left="324" w:right="0"/>
              <w:jc w:val="left"/>
              <w:rPr>
                <w:rFonts w:ascii="Times New Roman" w:hAnsi="Times New Roman" w:cs="Times New Roman" w:eastAsia="Times New Roman" w:hint="default"/>
                <w:sz w:val="18"/>
                <w:szCs w:val="18"/>
              </w:rPr>
            </w:pPr>
            <w:r>
              <w:rPr>
                <w:rFonts w:ascii="Times New Roman"/>
                <w:sz w:val="18"/>
              </w:rPr>
              <w:t>503.86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6"/>
              <w:ind w:left="20" w:right="0"/>
              <w:jc w:val="center"/>
              <w:rPr>
                <w:rFonts w:ascii="Times New Roman" w:hAnsi="Times New Roman" w:cs="Times New Roman" w:eastAsia="Times New Roman" w:hint="default"/>
                <w:sz w:val="18"/>
                <w:szCs w:val="18"/>
              </w:rPr>
            </w:pPr>
            <w:r>
              <w:rPr>
                <w:rFonts w:ascii="Times New Roman"/>
                <w:sz w:val="18"/>
              </w:rPr>
              <w:t>822,612,</w:t>
            </w:r>
          </w:p>
          <w:p>
            <w:pPr>
              <w:pStyle w:val="TableParagraph"/>
              <w:spacing w:line="207" w:lineRule="exact"/>
              <w:ind w:left="156" w:right="0"/>
              <w:jc w:val="center"/>
              <w:rPr>
                <w:rFonts w:ascii="Times New Roman" w:hAnsi="Times New Roman" w:cs="Times New Roman" w:eastAsia="Times New Roman" w:hint="default"/>
                <w:sz w:val="18"/>
                <w:szCs w:val="18"/>
              </w:rPr>
            </w:pPr>
            <w:r>
              <w:rPr>
                <w:rFonts w:ascii="Times New Roman"/>
                <w:sz w:val="18"/>
              </w:rPr>
              <w:t>566.22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6"/>
              <w:ind w:left="43" w:right="0"/>
              <w:jc w:val="left"/>
              <w:rPr>
                <w:rFonts w:ascii="Times New Roman" w:hAnsi="Times New Roman" w:cs="Times New Roman" w:eastAsia="Times New Roman" w:hint="default"/>
                <w:sz w:val="18"/>
                <w:szCs w:val="18"/>
              </w:rPr>
            </w:pPr>
            <w:r>
              <w:rPr>
                <w:rFonts w:ascii="Times New Roman"/>
                <w:sz w:val="18"/>
              </w:rPr>
              <w:t>9,509,60</w:t>
            </w:r>
          </w:p>
          <w:p>
            <w:pPr>
              <w:pStyle w:val="TableParagraph"/>
              <w:spacing w:line="207" w:lineRule="exact"/>
              <w:ind w:left="43" w:right="0"/>
              <w:jc w:val="left"/>
              <w:rPr>
                <w:rFonts w:ascii="Times New Roman" w:hAnsi="Times New Roman" w:cs="Times New Roman" w:eastAsia="Times New Roman" w:hint="default"/>
                <w:sz w:val="18"/>
                <w:szCs w:val="18"/>
              </w:rPr>
            </w:pPr>
            <w:r>
              <w:rPr>
                <w:rFonts w:ascii="Times New Roman"/>
                <w:sz w:val="18"/>
              </w:rPr>
              <w:t>2,006.74</w:t>
            </w:r>
          </w:p>
        </w:tc>
      </w:tr>
    </w:tbl>
    <w:p>
      <w:pPr>
        <w:spacing w:line="240" w:lineRule="auto" w:before="0"/>
        <w:rPr>
          <w:rFonts w:ascii="宋体" w:hAnsi="宋体" w:cs="宋体" w:eastAsia="宋体" w:hint="default"/>
          <w:sz w:val="17"/>
          <w:szCs w:val="17"/>
        </w:rPr>
      </w:pPr>
    </w:p>
    <w:p>
      <w:pPr>
        <w:pStyle w:val="BodyText"/>
        <w:tabs>
          <w:tab w:pos="3092" w:val="left" w:leader="none"/>
          <w:tab w:pos="6494" w:val="left" w:leader="none"/>
        </w:tabs>
        <w:spacing w:line="240" w:lineRule="auto" w:before="44"/>
        <w:ind w:left="138" w:right="1683"/>
        <w:jc w:val="left"/>
      </w:pPr>
      <w:r>
        <w:rPr>
          <w:spacing w:val="-3"/>
        </w:rPr>
        <w:t>法定代表人：黄跃珍</w:t>
        <w:tab/>
      </w:r>
      <w:r>
        <w:rPr>
          <w:spacing w:val="-2"/>
        </w:rPr>
        <w:t>主管会计工作负责人：蒋春晨</w:t>
        <w:tab/>
      </w:r>
      <w:r>
        <w:rPr>
          <w:spacing w:val="-3"/>
        </w:rPr>
        <w:t>会计机构负责人：惠小绒</w:t>
      </w:r>
    </w:p>
    <w:p>
      <w:pPr>
        <w:spacing w:line="240" w:lineRule="auto" w:before="5"/>
        <w:rPr>
          <w:rFonts w:ascii="宋体" w:hAnsi="宋体" w:cs="宋体" w:eastAsia="宋体" w:hint="default"/>
          <w:sz w:val="18"/>
          <w:szCs w:val="18"/>
        </w:rPr>
      </w:pPr>
    </w:p>
    <w:p>
      <w:pPr>
        <w:pStyle w:val="BodyText"/>
        <w:spacing w:line="240" w:lineRule="auto" w:before="44"/>
        <w:ind w:left="138" w:right="1683"/>
        <w:jc w:val="left"/>
      </w:pPr>
      <w:r>
        <w:rPr/>
        <w:t>上期金额</w:t>
      </w:r>
    </w:p>
    <w:p>
      <w:pPr>
        <w:pStyle w:val="BodyText"/>
        <w:spacing w:line="240" w:lineRule="auto" w:before="38"/>
        <w:ind w:left="0" w:right="1791"/>
        <w:jc w:val="right"/>
      </w:pPr>
      <w:r>
        <w:rPr/>
        <w:pict>
          <v:shape style="position:absolute;margin-left:243.169998pt;margin-top:66.191711pt;width:16.527487pt;height:22.875pt;mso-position-horizontal-relative:page;mso-position-vertical-relative:paragraph;z-index:2152" type="#_x0000_t75" stroked="false">
            <v:imagedata r:id="rId42" o:title=""/>
          </v:shape>
        </w:pict>
      </w:r>
      <w:r>
        <w:rPr/>
        <w:t>单位：元</w:t>
      </w:r>
    </w:p>
    <w:p>
      <w:pPr>
        <w:spacing w:line="240" w:lineRule="auto" w:before="5"/>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1438"/>
        <w:gridCol w:w="562"/>
        <w:gridCol w:w="553"/>
        <w:gridCol w:w="509"/>
        <w:gridCol w:w="343"/>
        <w:gridCol w:w="852"/>
        <w:gridCol w:w="423"/>
        <w:gridCol w:w="710"/>
        <w:gridCol w:w="566"/>
        <w:gridCol w:w="708"/>
        <w:gridCol w:w="709"/>
        <w:gridCol w:w="710"/>
        <w:gridCol w:w="708"/>
        <w:gridCol w:w="709"/>
      </w:tblGrid>
      <w:tr>
        <w:trPr>
          <w:trHeight w:val="324"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806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3" w:hRule="exact"/>
        </w:trPr>
        <w:tc>
          <w:tcPr>
            <w:tcW w:w="1438" w:type="dxa"/>
            <w:vMerge/>
            <w:tcBorders>
              <w:left w:val="single" w:sz="4" w:space="0" w:color="000000"/>
              <w:right w:val="single" w:sz="4" w:space="0" w:color="000000"/>
            </w:tcBorders>
            <w:shd w:val="clear" w:color="auto" w:fill="D2D2D2"/>
          </w:tcPr>
          <w:p>
            <w:pPr/>
          </w:p>
        </w:tc>
        <w:tc>
          <w:tcPr>
            <w:tcW w:w="664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3"/>
                <w:szCs w:val="23"/>
              </w:rPr>
            </w:pPr>
          </w:p>
          <w:p>
            <w:pPr>
              <w:pStyle w:val="TableParagraph"/>
              <w:spacing w:line="232" w:lineRule="exact"/>
              <w:ind w:left="76" w:right="7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37" w:lineRule="auto"/>
              <w:ind w:left="76" w:right="8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323"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3"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2"/>
              <w:ind w:left="26" w:right="24"/>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149"/>
              <w:ind w:left="79" w:right="79"/>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149"/>
              <w:ind w:left="95" w:right="98"/>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149"/>
              <w:ind w:left="256" w:right="79"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149"/>
              <w:ind w:left="79" w:right="7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149"/>
              <w:ind w:left="170" w:right="79"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08"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r>
      <w:tr>
        <w:trPr>
          <w:trHeight w:val="468"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89" w:right="0"/>
              <w:jc w:val="left"/>
              <w:rPr>
                <w:rFonts w:ascii="宋体" w:hAnsi="宋体" w:cs="宋体" w:eastAsia="宋体" w:hint="default"/>
                <w:sz w:val="18"/>
                <w:szCs w:val="18"/>
              </w:rPr>
            </w:pPr>
            <w:r>
              <w:rPr>
                <w:rFonts w:ascii="宋体" w:hAnsi="宋体" w:cs="宋体" w:eastAsia="宋体" w:hint="default"/>
                <w:sz w:val="18"/>
                <w:szCs w:val="18"/>
              </w:rPr>
              <w:t>优先</w:t>
            </w: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69"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6" w:right="0"/>
              <w:jc w:val="left"/>
              <w:rPr>
                <w:rFonts w:ascii="宋体" w:hAnsi="宋体" w:cs="宋体" w:eastAsia="宋体" w:hint="default"/>
                <w:sz w:val="18"/>
                <w:szCs w:val="18"/>
              </w:rPr>
            </w:pPr>
            <w:r>
              <w:rPr>
                <w:rFonts w:ascii="宋体" w:hAnsi="宋体" w:cs="宋体" w:eastAsia="宋体" w:hint="default"/>
                <w:sz w:val="18"/>
                <w:szCs w:val="18"/>
              </w:rPr>
              <w:t>其</w:t>
            </w:r>
          </w:p>
        </w:tc>
        <w:tc>
          <w:tcPr>
            <w:tcW w:w="852" w:type="dxa"/>
            <w:vMerge/>
            <w:tcBorders>
              <w:left w:val="single" w:sz="4" w:space="0" w:color="000000"/>
              <w:bottom w:val="single" w:sz="4" w:space="0" w:color="000000"/>
              <w:right w:val="single" w:sz="4" w:space="0" w:color="000000"/>
            </w:tcBorders>
            <w:shd w:val="clear" w:color="auto" w:fill="D2D2D2"/>
          </w:tcPr>
          <w:p>
            <w:pPr/>
          </w:p>
        </w:tc>
        <w:tc>
          <w:tcPr>
            <w:tcW w:w="423"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33" w:footer="977" w:top="960" w:bottom="116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tbl>
      <w:tblPr>
        <w:tblW w:w="0" w:type="auto"/>
        <w:jc w:val="left"/>
        <w:tblInd w:w="122" w:type="dxa"/>
        <w:tblLayout w:type="fixed"/>
        <w:tblCellMar>
          <w:top w:w="0" w:type="dxa"/>
          <w:left w:w="0" w:type="dxa"/>
          <w:bottom w:w="0" w:type="dxa"/>
          <w:right w:w="0" w:type="dxa"/>
        </w:tblCellMar>
        <w:tblLook w:val="01E0"/>
      </w:tblPr>
      <w:tblGrid>
        <w:gridCol w:w="1438"/>
        <w:gridCol w:w="562"/>
        <w:gridCol w:w="553"/>
        <w:gridCol w:w="509"/>
        <w:gridCol w:w="343"/>
        <w:gridCol w:w="852"/>
        <w:gridCol w:w="423"/>
        <w:gridCol w:w="710"/>
        <w:gridCol w:w="566"/>
        <w:gridCol w:w="708"/>
        <w:gridCol w:w="709"/>
        <w:gridCol w:w="710"/>
        <w:gridCol w:w="708"/>
        <w:gridCol w:w="710"/>
      </w:tblGrid>
      <w:tr>
        <w:trPr>
          <w:trHeight w:val="28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8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60" w:right="0"/>
              <w:jc w:val="left"/>
              <w:rPr>
                <w:rFonts w:ascii="宋体" w:hAnsi="宋体" w:cs="宋体" w:eastAsia="宋体" w:hint="default"/>
                <w:sz w:val="18"/>
                <w:szCs w:val="18"/>
              </w:rPr>
            </w:pPr>
            <w:r>
              <w:rPr>
                <w:rFonts w:ascii="宋体" w:hAnsi="宋体" w:cs="宋体" w:eastAsia="宋体" w:hint="default"/>
                <w:sz w:val="18"/>
                <w:szCs w:val="18"/>
              </w:rPr>
              <w:t>债</w:t>
            </w:r>
          </w:p>
        </w:tc>
        <w:tc>
          <w:tcPr>
            <w:tcW w:w="3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76" w:right="0"/>
              <w:jc w:val="left"/>
              <w:rPr>
                <w:rFonts w:ascii="宋体" w:hAnsi="宋体" w:cs="宋体" w:eastAsia="宋体" w:hint="default"/>
                <w:sz w:val="18"/>
                <w:szCs w:val="18"/>
              </w:rPr>
            </w:pPr>
            <w:r>
              <w:rPr>
                <w:rFonts w:ascii="宋体" w:hAnsi="宋体" w:cs="宋体" w:eastAsia="宋体" w:hint="default"/>
                <w:sz w:val="18"/>
                <w:szCs w:val="18"/>
              </w:rPr>
              <w:t>他</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99"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33"/>
              <w:ind w:left="47" w:right="0"/>
              <w:jc w:val="center"/>
              <w:rPr>
                <w:rFonts w:ascii="Times New Roman" w:hAnsi="Times New Roman" w:cs="Times New Roman" w:eastAsia="Times New Roman" w:hint="default"/>
                <w:sz w:val="18"/>
                <w:szCs w:val="18"/>
              </w:rPr>
            </w:pPr>
            <w:r>
              <w:rPr>
                <w:rFonts w:ascii="Times New Roman"/>
                <w:sz w:val="18"/>
              </w:rPr>
              <w:t>1,619,</w:t>
            </w:r>
          </w:p>
          <w:p>
            <w:pPr>
              <w:pStyle w:val="TableParagraph"/>
              <w:spacing w:line="205" w:lineRule="exact" w:before="2"/>
              <w:ind w:left="4" w:right="0"/>
              <w:jc w:val="center"/>
              <w:rPr>
                <w:rFonts w:ascii="Times New Roman" w:hAnsi="Times New Roman" w:cs="Times New Roman" w:eastAsia="Times New Roman" w:hint="default"/>
                <w:sz w:val="18"/>
                <w:szCs w:val="18"/>
              </w:rPr>
            </w:pPr>
            <w:r>
              <w:rPr>
                <w:rFonts w:ascii="Times New Roman"/>
                <w:sz w:val="18"/>
              </w:rPr>
              <w:t>257,15</w:t>
            </w:r>
          </w:p>
          <w:p>
            <w:pPr>
              <w:pStyle w:val="TableParagraph"/>
              <w:spacing w:line="205" w:lineRule="exact"/>
              <w:ind w:left="184" w:right="0"/>
              <w:jc w:val="center"/>
              <w:rPr>
                <w:rFonts w:ascii="Times New Roman" w:hAnsi="Times New Roman" w:cs="Times New Roman" w:eastAsia="Times New Roman" w:hint="default"/>
                <w:sz w:val="18"/>
                <w:szCs w:val="18"/>
              </w:rPr>
            </w:pPr>
            <w:r>
              <w:rPr>
                <w:rFonts w:ascii="Times New Roman"/>
                <w:sz w:val="18"/>
              </w:rPr>
              <w:t>0.00</w:t>
            </w:r>
          </w:p>
        </w:tc>
        <w:tc>
          <w:tcPr>
            <w:tcW w:w="553" w:type="dxa"/>
            <w:vMerge w:val="restart"/>
            <w:tcBorders>
              <w:top w:val="single" w:sz="4" w:space="0" w:color="000000"/>
              <w:left w:val="single" w:sz="4" w:space="0" w:color="000000"/>
              <w:right w:val="single" w:sz="4" w:space="0" w:color="000000"/>
            </w:tcBorders>
          </w:tcPr>
          <w:p>
            <w:pPr/>
          </w:p>
        </w:tc>
        <w:tc>
          <w:tcPr>
            <w:tcW w:w="509" w:type="dxa"/>
            <w:vMerge w:val="restart"/>
            <w:tcBorders>
              <w:top w:val="single" w:sz="4" w:space="0" w:color="000000"/>
              <w:left w:val="single" w:sz="4" w:space="0" w:color="000000"/>
              <w:right w:val="single" w:sz="4" w:space="0" w:color="000000"/>
            </w:tcBorders>
          </w:tcPr>
          <w:p>
            <w:pPr/>
          </w:p>
        </w:tc>
        <w:tc>
          <w:tcPr>
            <w:tcW w:w="343"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07" w:lineRule="exact" w:before="136"/>
              <w:ind w:left="52" w:right="0"/>
              <w:jc w:val="left"/>
              <w:rPr>
                <w:rFonts w:ascii="Times New Roman" w:hAnsi="Times New Roman" w:cs="Times New Roman" w:eastAsia="Times New Roman" w:hint="default"/>
                <w:sz w:val="18"/>
                <w:szCs w:val="18"/>
              </w:rPr>
            </w:pPr>
            <w:r>
              <w:rPr>
                <w:rFonts w:ascii="Times New Roman"/>
                <w:sz w:val="18"/>
              </w:rPr>
              <w:t>3,107,754,</w:t>
            </w:r>
          </w:p>
          <w:p>
            <w:pPr>
              <w:pStyle w:val="TableParagraph"/>
              <w:spacing w:line="207" w:lineRule="exact"/>
              <w:ind w:left="323" w:right="0"/>
              <w:jc w:val="left"/>
              <w:rPr>
                <w:rFonts w:ascii="Times New Roman" w:hAnsi="Times New Roman" w:cs="Times New Roman" w:eastAsia="Times New Roman" w:hint="default"/>
                <w:sz w:val="18"/>
                <w:szCs w:val="18"/>
              </w:rPr>
            </w:pPr>
            <w:r>
              <w:rPr>
                <w:rFonts w:ascii="Times New Roman"/>
                <w:sz w:val="18"/>
              </w:rPr>
              <w:t>394.56</w:t>
            </w:r>
          </w:p>
        </w:tc>
        <w:tc>
          <w:tcPr>
            <w:tcW w:w="423"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Style w:val="TableParagraph"/>
              <w:spacing w:line="207" w:lineRule="exact" w:before="136"/>
              <w:ind w:left="22" w:right="0"/>
              <w:jc w:val="center"/>
              <w:rPr>
                <w:rFonts w:ascii="Times New Roman" w:hAnsi="Times New Roman" w:cs="Times New Roman" w:eastAsia="Times New Roman" w:hint="default"/>
                <w:sz w:val="18"/>
                <w:szCs w:val="18"/>
              </w:rPr>
            </w:pPr>
            <w:r>
              <w:rPr>
                <w:rFonts w:ascii="Times New Roman"/>
                <w:sz w:val="18"/>
              </w:rPr>
              <w:t>129,360,</w:t>
            </w:r>
          </w:p>
          <w:p>
            <w:pPr>
              <w:pStyle w:val="TableParagraph"/>
              <w:spacing w:line="207" w:lineRule="exact"/>
              <w:ind w:left="159" w:right="0"/>
              <w:jc w:val="center"/>
              <w:rPr>
                <w:rFonts w:ascii="Times New Roman" w:hAnsi="Times New Roman" w:cs="Times New Roman" w:eastAsia="Times New Roman" w:hint="default"/>
                <w:sz w:val="18"/>
                <w:szCs w:val="18"/>
              </w:rPr>
            </w:pPr>
            <w:r>
              <w:rPr>
                <w:rFonts w:ascii="Times New Roman"/>
                <w:sz w:val="18"/>
              </w:rPr>
              <w:t>130.26</w:t>
            </w:r>
          </w:p>
        </w:tc>
        <w:tc>
          <w:tcPr>
            <w:tcW w:w="566"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Style w:val="TableParagraph"/>
              <w:spacing w:line="207" w:lineRule="exact" w:before="136"/>
              <w:ind w:left="20" w:right="0"/>
              <w:jc w:val="center"/>
              <w:rPr>
                <w:rFonts w:ascii="Times New Roman" w:hAnsi="Times New Roman" w:cs="Times New Roman" w:eastAsia="Times New Roman" w:hint="default"/>
                <w:sz w:val="18"/>
                <w:szCs w:val="18"/>
              </w:rPr>
            </w:pPr>
            <w:r>
              <w:rPr>
                <w:rFonts w:ascii="Times New Roman"/>
                <w:sz w:val="18"/>
              </w:rPr>
              <w:t>538,883,</w:t>
            </w:r>
          </w:p>
          <w:p>
            <w:pPr>
              <w:pStyle w:val="TableParagraph"/>
              <w:spacing w:line="207" w:lineRule="exact"/>
              <w:ind w:left="156" w:right="0"/>
              <w:jc w:val="center"/>
              <w:rPr>
                <w:rFonts w:ascii="Times New Roman" w:hAnsi="Times New Roman" w:cs="Times New Roman" w:eastAsia="Times New Roman" w:hint="default"/>
                <w:sz w:val="18"/>
                <w:szCs w:val="18"/>
              </w:rPr>
            </w:pPr>
            <w:r>
              <w:rPr>
                <w:rFonts w:ascii="Times New Roman"/>
                <w:sz w:val="18"/>
              </w:rPr>
              <w:t>556.66</w:t>
            </w:r>
          </w:p>
        </w:tc>
        <w:tc>
          <w:tcPr>
            <w:tcW w:w="709"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Style w:val="TableParagraph"/>
              <w:spacing w:line="207" w:lineRule="exact" w:before="136"/>
              <w:ind w:left="45" w:right="0"/>
              <w:jc w:val="left"/>
              <w:rPr>
                <w:rFonts w:ascii="Times New Roman" w:hAnsi="Times New Roman" w:cs="Times New Roman" w:eastAsia="Times New Roman" w:hint="default"/>
                <w:sz w:val="18"/>
                <w:szCs w:val="18"/>
              </w:rPr>
            </w:pPr>
            <w:r>
              <w:rPr>
                <w:rFonts w:ascii="Times New Roman"/>
                <w:sz w:val="18"/>
              </w:rPr>
              <w:t>2,980,30</w:t>
            </w: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1,309.66</w:t>
            </w:r>
          </w:p>
        </w:tc>
        <w:tc>
          <w:tcPr>
            <w:tcW w:w="708" w:type="dxa"/>
            <w:vMerge w:val="restart"/>
            <w:tcBorders>
              <w:top w:val="single" w:sz="4" w:space="0" w:color="000000"/>
              <w:left w:val="single" w:sz="4" w:space="0" w:color="000000"/>
              <w:right w:val="single" w:sz="4" w:space="0" w:color="000000"/>
            </w:tcBorders>
          </w:tcPr>
          <w:p>
            <w:pPr>
              <w:pStyle w:val="TableParagraph"/>
              <w:spacing w:line="207" w:lineRule="exact" w:before="136"/>
              <w:ind w:left="20" w:right="0"/>
              <w:jc w:val="center"/>
              <w:rPr>
                <w:rFonts w:ascii="Times New Roman" w:hAnsi="Times New Roman" w:cs="Times New Roman" w:eastAsia="Times New Roman" w:hint="default"/>
                <w:sz w:val="18"/>
                <w:szCs w:val="18"/>
              </w:rPr>
            </w:pPr>
            <w:r>
              <w:rPr>
                <w:rFonts w:ascii="Times New Roman"/>
                <w:sz w:val="18"/>
              </w:rPr>
              <w:t>494,291,</w:t>
            </w:r>
          </w:p>
          <w:p>
            <w:pPr>
              <w:pStyle w:val="TableParagraph"/>
              <w:spacing w:line="207" w:lineRule="exact"/>
              <w:ind w:left="156" w:right="0"/>
              <w:jc w:val="center"/>
              <w:rPr>
                <w:rFonts w:ascii="Times New Roman" w:hAnsi="Times New Roman" w:cs="Times New Roman" w:eastAsia="Times New Roman" w:hint="default"/>
                <w:sz w:val="18"/>
                <w:szCs w:val="18"/>
              </w:rPr>
            </w:pPr>
            <w:r>
              <w:rPr>
                <w:rFonts w:ascii="Times New Roman"/>
                <w:sz w:val="18"/>
              </w:rPr>
              <w:t>250.18</w:t>
            </w:r>
          </w:p>
        </w:tc>
        <w:tc>
          <w:tcPr>
            <w:tcW w:w="710" w:type="dxa"/>
            <w:vMerge w:val="restart"/>
            <w:tcBorders>
              <w:top w:val="single" w:sz="4" w:space="0" w:color="000000"/>
              <w:left w:val="single" w:sz="4" w:space="0" w:color="000000"/>
              <w:right w:val="single" w:sz="4" w:space="0" w:color="000000"/>
            </w:tcBorders>
          </w:tcPr>
          <w:p>
            <w:pPr>
              <w:pStyle w:val="TableParagraph"/>
              <w:spacing w:line="207" w:lineRule="exact" w:before="136"/>
              <w:ind w:left="43" w:right="0"/>
              <w:jc w:val="left"/>
              <w:rPr>
                <w:rFonts w:ascii="Times New Roman" w:hAnsi="Times New Roman" w:cs="Times New Roman" w:eastAsia="Times New Roman" w:hint="default"/>
                <w:sz w:val="18"/>
                <w:szCs w:val="18"/>
              </w:rPr>
            </w:pPr>
            <w:r>
              <w:rPr>
                <w:rFonts w:ascii="Times New Roman"/>
                <w:sz w:val="18"/>
              </w:rPr>
              <w:t>8,869,84</w:t>
            </w:r>
          </w:p>
          <w:p>
            <w:pPr>
              <w:pStyle w:val="TableParagraph"/>
              <w:spacing w:line="207" w:lineRule="exact"/>
              <w:ind w:left="43" w:right="0"/>
              <w:jc w:val="left"/>
              <w:rPr>
                <w:rFonts w:ascii="Times New Roman" w:hAnsi="Times New Roman" w:cs="Times New Roman" w:eastAsia="Times New Roman" w:hint="default"/>
                <w:sz w:val="18"/>
                <w:szCs w:val="18"/>
              </w:rPr>
            </w:pPr>
            <w:r>
              <w:rPr>
                <w:rFonts w:ascii="Times New Roman"/>
                <w:sz w:val="18"/>
              </w:rPr>
              <w:t>7,791.32</w:t>
            </w:r>
          </w:p>
        </w:tc>
      </w:tr>
      <w:tr>
        <w:trPr>
          <w:trHeight w:val="314" w:hRule="exact"/>
        </w:trPr>
        <w:tc>
          <w:tcPr>
            <w:tcW w:w="1438" w:type="dxa"/>
            <w:tcBorders>
              <w:top w:val="nil" w:sz="6" w:space="0" w:color="auto"/>
              <w:left w:val="single" w:sz="12" w:space="0" w:color="D2D2D2"/>
              <w:bottom w:val="nil" w:sz="6" w:space="0" w:color="auto"/>
              <w:right w:val="single" w:sz="13" w:space="0" w:color="D2D2D2"/>
            </w:tcBorders>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8"/>
                <w:sz w:val="18"/>
                <w:szCs w:val="18"/>
                <w:shd w:fill="D2D2D2" w:color="auto" w:val="clear"/>
              </w:rPr>
              <w:t>一、上年期末余额</w:t>
            </w:r>
            <w:r>
              <w:rPr>
                <w:rFonts w:ascii="宋体" w:hAnsi="宋体" w:cs="宋体" w:eastAsia="宋体" w:hint="default"/>
                <w:spacing w:val="-8"/>
                <w:sz w:val="18"/>
                <w:szCs w:val="18"/>
              </w:rPr>
            </w:r>
          </w:p>
        </w:tc>
        <w:tc>
          <w:tcPr>
            <w:tcW w:w="562" w:type="dxa"/>
            <w:vMerge/>
            <w:tcBorders>
              <w:left w:val="single" w:sz="9" w:space="0" w:color="D2D2D2"/>
              <w:right w:val="single" w:sz="4" w:space="0" w:color="000000"/>
            </w:tcBorders>
          </w:tcPr>
          <w:p>
            <w:pPr/>
          </w:p>
        </w:tc>
        <w:tc>
          <w:tcPr>
            <w:tcW w:w="553"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423"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19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53" w:type="dxa"/>
            <w:vMerge/>
            <w:tcBorders>
              <w:left w:val="single" w:sz="4" w:space="0" w:color="000000"/>
              <w:bottom w:val="single" w:sz="4" w:space="0" w:color="000000"/>
              <w:right w:val="single" w:sz="4" w:space="0" w:color="000000"/>
            </w:tcBorders>
          </w:tcPr>
          <w:p>
            <w:pPr/>
          </w:p>
        </w:tc>
        <w:tc>
          <w:tcPr>
            <w:tcW w:w="509" w:type="dxa"/>
            <w:vMerge/>
            <w:tcBorders>
              <w:left w:val="single" w:sz="4" w:space="0" w:color="000000"/>
              <w:bottom w:val="single" w:sz="4" w:space="0" w:color="000000"/>
              <w:right w:val="single" w:sz="4" w:space="0" w:color="000000"/>
            </w:tcBorders>
          </w:tcPr>
          <w:p>
            <w:pPr/>
          </w:p>
        </w:tc>
        <w:tc>
          <w:tcPr>
            <w:tcW w:w="34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423"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1" w:right="24" w:firstLine="359"/>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3" w:lineRule="exact" w:before="10"/>
              <w:ind w:left="74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33" w:lineRule="exact"/>
              <w:ind w:left="2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before="36"/>
              <w:ind w:left="21" w:right="144" w:firstLine="719"/>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99"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33"/>
              <w:ind w:left="47" w:right="0"/>
              <w:jc w:val="center"/>
              <w:rPr>
                <w:rFonts w:ascii="Times New Roman" w:hAnsi="Times New Roman" w:cs="Times New Roman" w:eastAsia="Times New Roman" w:hint="default"/>
                <w:sz w:val="18"/>
                <w:szCs w:val="18"/>
              </w:rPr>
            </w:pPr>
            <w:r>
              <w:rPr>
                <w:rFonts w:ascii="Times New Roman"/>
                <w:sz w:val="18"/>
              </w:rPr>
              <w:t>1,619,</w:t>
            </w:r>
          </w:p>
          <w:p>
            <w:pPr>
              <w:pStyle w:val="TableParagraph"/>
              <w:spacing w:line="240" w:lineRule="auto" w:before="2"/>
              <w:ind w:left="4" w:right="0"/>
              <w:jc w:val="center"/>
              <w:rPr>
                <w:rFonts w:ascii="Times New Roman" w:hAnsi="Times New Roman" w:cs="Times New Roman" w:eastAsia="Times New Roman" w:hint="default"/>
                <w:sz w:val="18"/>
                <w:szCs w:val="18"/>
              </w:rPr>
            </w:pPr>
            <w:r>
              <w:rPr>
                <w:rFonts w:ascii="Times New Roman"/>
                <w:sz w:val="18"/>
              </w:rPr>
              <w:t>257,15</w:t>
            </w: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0.00</w:t>
            </w:r>
          </w:p>
        </w:tc>
        <w:tc>
          <w:tcPr>
            <w:tcW w:w="553" w:type="dxa"/>
            <w:vMerge w:val="restart"/>
            <w:tcBorders>
              <w:top w:val="single" w:sz="4" w:space="0" w:color="000000"/>
              <w:left w:val="single" w:sz="4" w:space="0" w:color="000000"/>
              <w:right w:val="single" w:sz="4" w:space="0" w:color="000000"/>
            </w:tcBorders>
          </w:tcPr>
          <w:p>
            <w:pPr/>
          </w:p>
        </w:tc>
        <w:tc>
          <w:tcPr>
            <w:tcW w:w="509" w:type="dxa"/>
            <w:vMerge w:val="restart"/>
            <w:tcBorders>
              <w:top w:val="single" w:sz="4" w:space="0" w:color="000000"/>
              <w:left w:val="single" w:sz="4" w:space="0" w:color="000000"/>
              <w:right w:val="single" w:sz="4" w:space="0" w:color="000000"/>
            </w:tcBorders>
          </w:tcPr>
          <w:p>
            <w:pPr/>
          </w:p>
        </w:tc>
        <w:tc>
          <w:tcPr>
            <w:tcW w:w="343"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36"/>
              <w:ind w:left="52" w:right="0"/>
              <w:jc w:val="left"/>
              <w:rPr>
                <w:rFonts w:ascii="Times New Roman" w:hAnsi="Times New Roman" w:cs="Times New Roman" w:eastAsia="Times New Roman" w:hint="default"/>
                <w:sz w:val="18"/>
                <w:szCs w:val="18"/>
              </w:rPr>
            </w:pPr>
            <w:r>
              <w:rPr>
                <w:rFonts w:ascii="Times New Roman"/>
                <w:sz w:val="18"/>
              </w:rPr>
              <w:t>3,107,754,</w:t>
            </w: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394.56</w:t>
            </w:r>
          </w:p>
        </w:tc>
        <w:tc>
          <w:tcPr>
            <w:tcW w:w="423"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136"/>
              <w:ind w:left="22" w:right="0"/>
              <w:jc w:val="center"/>
              <w:rPr>
                <w:rFonts w:ascii="Times New Roman" w:hAnsi="Times New Roman" w:cs="Times New Roman" w:eastAsia="Times New Roman" w:hint="default"/>
                <w:sz w:val="18"/>
                <w:szCs w:val="18"/>
              </w:rPr>
            </w:pPr>
            <w:r>
              <w:rPr>
                <w:rFonts w:ascii="Times New Roman"/>
                <w:sz w:val="18"/>
              </w:rPr>
              <w:t>129,360,</w:t>
            </w: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130.26</w:t>
            </w:r>
          </w:p>
        </w:tc>
        <w:tc>
          <w:tcPr>
            <w:tcW w:w="566"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36"/>
              <w:ind w:left="20" w:right="0"/>
              <w:jc w:val="center"/>
              <w:rPr>
                <w:rFonts w:ascii="Times New Roman" w:hAnsi="Times New Roman" w:cs="Times New Roman" w:eastAsia="Times New Roman" w:hint="default"/>
                <w:sz w:val="18"/>
                <w:szCs w:val="18"/>
              </w:rPr>
            </w:pPr>
            <w:r>
              <w:rPr>
                <w:rFonts w:ascii="Times New Roman"/>
                <w:sz w:val="18"/>
              </w:rPr>
              <w:t>538,883,</w:t>
            </w: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556.66</w:t>
            </w:r>
          </w:p>
        </w:tc>
        <w:tc>
          <w:tcPr>
            <w:tcW w:w="709"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136"/>
              <w:ind w:left="45" w:right="0"/>
              <w:jc w:val="left"/>
              <w:rPr>
                <w:rFonts w:ascii="Times New Roman" w:hAnsi="Times New Roman" w:cs="Times New Roman" w:eastAsia="Times New Roman" w:hint="default"/>
                <w:sz w:val="18"/>
                <w:szCs w:val="18"/>
              </w:rPr>
            </w:pPr>
            <w:r>
              <w:rPr>
                <w:rFonts w:ascii="Times New Roman"/>
                <w:sz w:val="18"/>
              </w:rPr>
              <w:t>2,980,30</w:t>
            </w: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1,309.66</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36"/>
              <w:ind w:left="20" w:right="0"/>
              <w:jc w:val="center"/>
              <w:rPr>
                <w:rFonts w:ascii="Times New Roman" w:hAnsi="Times New Roman" w:cs="Times New Roman" w:eastAsia="Times New Roman" w:hint="default"/>
                <w:sz w:val="18"/>
                <w:szCs w:val="18"/>
              </w:rPr>
            </w:pPr>
            <w:r>
              <w:rPr>
                <w:rFonts w:ascii="Times New Roman"/>
                <w:sz w:val="18"/>
              </w:rPr>
              <w:t>494,291,</w:t>
            </w: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250.18</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136"/>
              <w:ind w:left="43" w:right="0"/>
              <w:jc w:val="left"/>
              <w:rPr>
                <w:rFonts w:ascii="Times New Roman" w:hAnsi="Times New Roman" w:cs="Times New Roman" w:eastAsia="Times New Roman" w:hint="default"/>
                <w:sz w:val="18"/>
                <w:szCs w:val="18"/>
              </w:rPr>
            </w:pPr>
            <w:r>
              <w:rPr>
                <w:rFonts w:ascii="Times New Roman"/>
                <w:sz w:val="18"/>
              </w:rPr>
              <w:t>8,869,84</w:t>
            </w: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7,791.32</w:t>
            </w:r>
          </w:p>
        </w:tc>
      </w:tr>
      <w:tr>
        <w:trPr>
          <w:trHeight w:val="315" w:hRule="exact"/>
        </w:trPr>
        <w:tc>
          <w:tcPr>
            <w:tcW w:w="1438" w:type="dxa"/>
            <w:tcBorders>
              <w:top w:val="nil" w:sz="6" w:space="0" w:color="auto"/>
              <w:left w:val="single" w:sz="12" w:space="0" w:color="D2D2D2"/>
              <w:bottom w:val="nil" w:sz="6" w:space="0" w:color="auto"/>
              <w:right w:val="single" w:sz="13" w:space="0" w:color="D2D2D2"/>
            </w:tcBorders>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8"/>
                <w:sz w:val="18"/>
                <w:szCs w:val="18"/>
                <w:shd w:fill="D2D2D2" w:color="auto" w:val="clear"/>
              </w:rPr>
              <w:t>二、本年期初余额</w:t>
            </w:r>
            <w:r>
              <w:rPr>
                <w:rFonts w:ascii="宋体" w:hAnsi="宋体" w:cs="宋体" w:eastAsia="宋体" w:hint="default"/>
                <w:spacing w:val="-8"/>
                <w:sz w:val="18"/>
                <w:szCs w:val="18"/>
              </w:rPr>
            </w:r>
          </w:p>
        </w:tc>
        <w:tc>
          <w:tcPr>
            <w:tcW w:w="562" w:type="dxa"/>
            <w:vMerge/>
            <w:tcBorders>
              <w:left w:val="single" w:sz="9" w:space="0" w:color="D2D2D2"/>
              <w:right w:val="single" w:sz="4" w:space="0" w:color="000000"/>
            </w:tcBorders>
          </w:tcPr>
          <w:p>
            <w:pPr/>
          </w:p>
        </w:tc>
        <w:tc>
          <w:tcPr>
            <w:tcW w:w="553"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34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423"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r>
      <w:tr>
        <w:trPr>
          <w:trHeight w:val="19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53" w:type="dxa"/>
            <w:vMerge/>
            <w:tcBorders>
              <w:left w:val="single" w:sz="4" w:space="0" w:color="000000"/>
              <w:bottom w:val="single" w:sz="4" w:space="0" w:color="000000"/>
              <w:right w:val="single" w:sz="4" w:space="0" w:color="000000"/>
            </w:tcBorders>
          </w:tcPr>
          <w:p>
            <w:pPr/>
          </w:p>
        </w:tc>
        <w:tc>
          <w:tcPr>
            <w:tcW w:w="509" w:type="dxa"/>
            <w:vMerge/>
            <w:tcBorders>
              <w:left w:val="single" w:sz="4" w:space="0" w:color="000000"/>
              <w:bottom w:val="single" w:sz="4" w:space="0" w:color="000000"/>
              <w:right w:val="single" w:sz="4" w:space="0" w:color="000000"/>
            </w:tcBorders>
          </w:tcPr>
          <w:p>
            <w:pPr/>
          </w:p>
        </w:tc>
        <w:tc>
          <w:tcPr>
            <w:tcW w:w="34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423"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r>
      <w:tr>
        <w:trPr>
          <w:trHeight w:val="79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9"/>
              <w:ind w:left="21" w:right="23"/>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4"/>
              <w:ind w:left="21" w:right="0"/>
              <w:jc w:val="left"/>
              <w:rPr>
                <w:rFonts w:ascii="Times New Roman" w:hAnsi="Times New Roman" w:cs="Times New Roman" w:eastAsia="Times New Roman" w:hint="default"/>
                <w:sz w:val="18"/>
                <w:szCs w:val="18"/>
              </w:rPr>
            </w:pPr>
            <w:r>
              <w:rPr>
                <w:rFonts w:ascii="Times New Roman"/>
                <w:sz w:val="18"/>
              </w:rPr>
              <w:t>809,62</w:t>
            </w:r>
          </w:p>
          <w:p>
            <w:pPr>
              <w:pStyle w:val="TableParagraph"/>
              <w:spacing w:line="205" w:lineRule="exact" w:before="2"/>
              <w:ind w:left="64" w:right="0"/>
              <w:jc w:val="left"/>
              <w:rPr>
                <w:rFonts w:ascii="Times New Roman" w:hAnsi="Times New Roman" w:cs="Times New Roman" w:eastAsia="Times New Roman" w:hint="default"/>
                <w:sz w:val="18"/>
                <w:szCs w:val="18"/>
              </w:rPr>
            </w:pPr>
            <w:r>
              <w:rPr>
                <w:rFonts w:ascii="Times New Roman"/>
                <w:sz w:val="18"/>
              </w:rPr>
              <w:t>8,575.</w:t>
            </w:r>
          </w:p>
          <w:p>
            <w:pPr>
              <w:pStyle w:val="TableParagraph"/>
              <w:spacing w:line="205" w:lineRule="exact"/>
              <w:ind w:left="336" w:right="0"/>
              <w:jc w:val="left"/>
              <w:rPr>
                <w:rFonts w:ascii="Times New Roman" w:hAnsi="Times New Roman" w:cs="Times New Roman" w:eastAsia="Times New Roman" w:hint="default"/>
                <w:sz w:val="18"/>
                <w:szCs w:val="18"/>
              </w:rPr>
            </w:pPr>
            <w:r>
              <w:rPr>
                <w:rFonts w:ascii="Times New Roman"/>
                <w:sz w:val="18"/>
              </w:rPr>
              <w:t>00</w:t>
            </w:r>
          </w:p>
        </w:tc>
        <w:tc>
          <w:tcPr>
            <w:tcW w:w="553"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07" w:lineRule="exact"/>
              <w:ind w:left="38" w:right="0"/>
              <w:jc w:val="left"/>
              <w:rPr>
                <w:rFonts w:ascii="Times New Roman" w:hAnsi="Times New Roman" w:cs="Times New Roman" w:eastAsia="Times New Roman" w:hint="default"/>
                <w:sz w:val="18"/>
                <w:szCs w:val="18"/>
              </w:rPr>
            </w:pPr>
            <w:r>
              <w:rPr>
                <w:rFonts w:ascii="Times New Roman"/>
                <w:sz w:val="18"/>
              </w:rPr>
              <w:t>-809,628,5</w:t>
            </w:r>
          </w:p>
          <w:p>
            <w:pPr>
              <w:pStyle w:val="TableParagraph"/>
              <w:spacing w:line="207" w:lineRule="exact"/>
              <w:ind w:left="412" w:right="0"/>
              <w:jc w:val="left"/>
              <w:rPr>
                <w:rFonts w:ascii="Times New Roman" w:hAnsi="Times New Roman" w:cs="Times New Roman" w:eastAsia="Times New Roman" w:hint="default"/>
                <w:sz w:val="18"/>
                <w:szCs w:val="18"/>
              </w:rPr>
            </w:pPr>
            <w:r>
              <w:rPr>
                <w:rFonts w:ascii="Times New Roman"/>
                <w:sz w:val="18"/>
              </w:rPr>
              <w:t>75.00</w:t>
            </w:r>
          </w:p>
        </w:tc>
        <w:tc>
          <w:tcPr>
            <w:tcW w:w="42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07" w:lineRule="exact"/>
              <w:ind w:left="7" w:right="0"/>
              <w:jc w:val="center"/>
              <w:rPr>
                <w:rFonts w:ascii="Times New Roman" w:hAnsi="Times New Roman" w:cs="Times New Roman" w:eastAsia="Times New Roman" w:hint="default"/>
                <w:sz w:val="18"/>
                <w:szCs w:val="18"/>
              </w:rPr>
            </w:pPr>
            <w:r>
              <w:rPr>
                <w:rFonts w:ascii="Times New Roman"/>
                <w:sz w:val="18"/>
              </w:rPr>
              <w:t>-222,206</w:t>
            </w:r>
          </w:p>
          <w:p>
            <w:pPr>
              <w:pStyle w:val="TableParagraph"/>
              <w:spacing w:line="207" w:lineRule="exact"/>
              <w:ind w:left="113" w:right="0"/>
              <w:jc w:val="center"/>
              <w:rPr>
                <w:rFonts w:ascii="Times New Roman" w:hAnsi="Times New Roman" w:cs="Times New Roman" w:eastAsia="Times New Roman" w:hint="default"/>
                <w:sz w:val="18"/>
                <w:szCs w:val="18"/>
              </w:rPr>
            </w:pPr>
            <w:r>
              <w:rPr>
                <w:rFonts w:ascii="Times New Roman"/>
                <w:sz w:val="18"/>
              </w:rPr>
              <w:t>,577.67</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07" w:lineRule="exact"/>
              <w:ind w:left="43" w:right="0"/>
              <w:jc w:val="left"/>
              <w:rPr>
                <w:rFonts w:ascii="Times New Roman" w:hAnsi="Times New Roman" w:cs="Times New Roman" w:eastAsia="Times New Roman" w:hint="default"/>
                <w:sz w:val="18"/>
                <w:szCs w:val="18"/>
              </w:rPr>
            </w:pPr>
            <w:r>
              <w:rPr>
                <w:rFonts w:ascii="Times New Roman"/>
                <w:sz w:val="18"/>
              </w:rPr>
              <w:t>76,195,9</w:t>
            </w:r>
          </w:p>
          <w:p>
            <w:pPr>
              <w:pStyle w:val="TableParagraph"/>
              <w:spacing w:line="207" w:lineRule="exact"/>
              <w:ind w:left="268" w:right="0"/>
              <w:jc w:val="left"/>
              <w:rPr>
                <w:rFonts w:ascii="Times New Roman" w:hAnsi="Times New Roman" w:cs="Times New Roman" w:eastAsia="Times New Roman" w:hint="default"/>
                <w:sz w:val="18"/>
                <w:szCs w:val="18"/>
              </w:rPr>
            </w:pPr>
            <w:r>
              <w:rPr>
                <w:rFonts w:ascii="Times New Roman"/>
                <w:sz w:val="18"/>
              </w:rPr>
              <w:t>26.85</w:t>
            </w: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07" w:lineRule="exact"/>
              <w:ind w:left="22" w:right="0"/>
              <w:jc w:val="center"/>
              <w:rPr>
                <w:rFonts w:ascii="Times New Roman" w:hAnsi="Times New Roman" w:cs="Times New Roman" w:eastAsia="Times New Roman" w:hint="default"/>
                <w:sz w:val="18"/>
                <w:szCs w:val="18"/>
              </w:rPr>
            </w:pPr>
            <w:r>
              <w:rPr>
                <w:rFonts w:ascii="Times New Roman"/>
                <w:sz w:val="18"/>
              </w:rPr>
              <w:t>661,363,</w:t>
            </w:r>
          </w:p>
          <w:p>
            <w:pPr>
              <w:pStyle w:val="TableParagraph"/>
              <w:spacing w:line="207" w:lineRule="exact"/>
              <w:ind w:left="159" w:right="0"/>
              <w:jc w:val="center"/>
              <w:rPr>
                <w:rFonts w:ascii="Times New Roman" w:hAnsi="Times New Roman" w:cs="Times New Roman" w:eastAsia="Times New Roman" w:hint="default"/>
                <w:sz w:val="18"/>
                <w:szCs w:val="18"/>
              </w:rPr>
            </w:pPr>
            <w:r>
              <w:rPr>
                <w:rFonts w:ascii="Times New Roman"/>
                <w:sz w:val="18"/>
              </w:rPr>
              <w:t>395.58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07" w:lineRule="exact"/>
              <w:ind w:left="43" w:right="0"/>
              <w:jc w:val="left"/>
              <w:rPr>
                <w:rFonts w:ascii="Times New Roman" w:hAnsi="Times New Roman" w:cs="Times New Roman" w:eastAsia="Times New Roman" w:hint="default"/>
                <w:sz w:val="18"/>
                <w:szCs w:val="18"/>
              </w:rPr>
            </w:pPr>
            <w:r>
              <w:rPr>
                <w:rFonts w:ascii="Times New Roman"/>
                <w:sz w:val="18"/>
              </w:rPr>
              <w:t>99,038,5</w:t>
            </w:r>
          </w:p>
          <w:p>
            <w:pPr>
              <w:pStyle w:val="TableParagraph"/>
              <w:spacing w:line="207" w:lineRule="exact"/>
              <w:ind w:left="268" w:right="0"/>
              <w:jc w:val="left"/>
              <w:rPr>
                <w:rFonts w:ascii="Times New Roman" w:hAnsi="Times New Roman" w:cs="Times New Roman" w:eastAsia="Times New Roman" w:hint="default"/>
                <w:sz w:val="18"/>
                <w:szCs w:val="18"/>
              </w:rPr>
            </w:pPr>
            <w:r>
              <w:rPr>
                <w:rFonts w:ascii="Times New Roman"/>
                <w:sz w:val="18"/>
              </w:rPr>
              <w:t>89.10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07" w:lineRule="exact"/>
              <w:ind w:left="17" w:right="0"/>
              <w:jc w:val="center"/>
              <w:rPr>
                <w:rFonts w:ascii="Times New Roman" w:hAnsi="Times New Roman" w:cs="Times New Roman" w:eastAsia="Times New Roman" w:hint="default"/>
                <w:sz w:val="18"/>
                <w:szCs w:val="18"/>
              </w:rPr>
            </w:pPr>
            <w:r>
              <w:rPr>
                <w:rFonts w:ascii="Times New Roman"/>
                <w:sz w:val="18"/>
              </w:rPr>
              <w:t>614,391,</w:t>
            </w:r>
          </w:p>
          <w:p>
            <w:pPr>
              <w:pStyle w:val="TableParagraph"/>
              <w:spacing w:line="207" w:lineRule="exact"/>
              <w:ind w:left="154" w:right="0"/>
              <w:jc w:val="center"/>
              <w:rPr>
                <w:rFonts w:ascii="Times New Roman" w:hAnsi="Times New Roman" w:cs="Times New Roman" w:eastAsia="Times New Roman" w:hint="default"/>
                <w:sz w:val="18"/>
                <w:szCs w:val="18"/>
              </w:rPr>
            </w:pPr>
            <w:r>
              <w:rPr>
                <w:rFonts w:ascii="Times New Roman"/>
                <w:sz w:val="18"/>
              </w:rPr>
              <w:t>333.86</w:t>
            </w: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1" w:right="24"/>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7" w:right="0"/>
              <w:jc w:val="center"/>
              <w:rPr>
                <w:rFonts w:ascii="Times New Roman" w:hAnsi="Times New Roman" w:cs="Times New Roman" w:eastAsia="Times New Roman" w:hint="default"/>
                <w:sz w:val="18"/>
                <w:szCs w:val="18"/>
              </w:rPr>
            </w:pPr>
            <w:r>
              <w:rPr>
                <w:rFonts w:ascii="Times New Roman"/>
                <w:sz w:val="18"/>
              </w:rPr>
              <w:t>-222,206</w:t>
            </w:r>
          </w:p>
          <w:p>
            <w:pPr>
              <w:pStyle w:val="TableParagraph"/>
              <w:spacing w:line="207" w:lineRule="exact"/>
              <w:ind w:left="113" w:right="0"/>
              <w:jc w:val="center"/>
              <w:rPr>
                <w:rFonts w:ascii="Times New Roman" w:hAnsi="Times New Roman" w:cs="Times New Roman" w:eastAsia="Times New Roman" w:hint="default"/>
                <w:sz w:val="18"/>
                <w:szCs w:val="18"/>
              </w:rPr>
            </w:pPr>
            <w:r>
              <w:rPr>
                <w:rFonts w:ascii="Times New Roman"/>
                <w:sz w:val="18"/>
              </w:rPr>
              <w:t>,577.67</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22" w:right="0"/>
              <w:jc w:val="center"/>
              <w:rPr>
                <w:rFonts w:ascii="Times New Roman" w:hAnsi="Times New Roman" w:cs="Times New Roman" w:eastAsia="Times New Roman" w:hint="default"/>
                <w:sz w:val="18"/>
                <w:szCs w:val="18"/>
              </w:rPr>
            </w:pPr>
            <w:r>
              <w:rPr>
                <w:rFonts w:ascii="Times New Roman"/>
                <w:sz w:val="18"/>
              </w:rPr>
              <w:t>899,485,</w:t>
            </w:r>
          </w:p>
          <w:p>
            <w:pPr>
              <w:pStyle w:val="TableParagraph"/>
              <w:spacing w:line="207" w:lineRule="exact"/>
              <w:ind w:left="159" w:right="0"/>
              <w:jc w:val="center"/>
              <w:rPr>
                <w:rFonts w:ascii="Times New Roman" w:hAnsi="Times New Roman" w:cs="Times New Roman" w:eastAsia="Times New Roman" w:hint="default"/>
                <w:sz w:val="18"/>
                <w:szCs w:val="18"/>
              </w:rPr>
            </w:pPr>
            <w:r>
              <w:rPr>
                <w:rFonts w:ascii="Times New Roman"/>
                <w:sz w:val="18"/>
              </w:rPr>
              <w:t>037.43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43" w:right="0"/>
              <w:jc w:val="left"/>
              <w:rPr>
                <w:rFonts w:ascii="Times New Roman" w:hAnsi="Times New Roman" w:cs="Times New Roman" w:eastAsia="Times New Roman" w:hint="default"/>
                <w:sz w:val="18"/>
                <w:szCs w:val="18"/>
              </w:rPr>
            </w:pPr>
            <w:r>
              <w:rPr>
                <w:rFonts w:ascii="Times New Roman"/>
                <w:sz w:val="18"/>
              </w:rPr>
              <w:t>64,514,8</w:t>
            </w:r>
          </w:p>
          <w:p>
            <w:pPr>
              <w:pStyle w:val="TableParagraph"/>
              <w:spacing w:line="207" w:lineRule="exact"/>
              <w:ind w:left="268" w:right="0"/>
              <w:jc w:val="left"/>
              <w:rPr>
                <w:rFonts w:ascii="Times New Roman" w:hAnsi="Times New Roman" w:cs="Times New Roman" w:eastAsia="Times New Roman" w:hint="default"/>
                <w:sz w:val="18"/>
                <w:szCs w:val="18"/>
              </w:rPr>
            </w:pPr>
            <w:r>
              <w:rPr>
                <w:rFonts w:ascii="Times New Roman"/>
                <w:sz w:val="18"/>
              </w:rPr>
              <w:t>62.61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17" w:right="0"/>
              <w:jc w:val="center"/>
              <w:rPr>
                <w:rFonts w:ascii="Times New Roman" w:hAnsi="Times New Roman" w:cs="Times New Roman" w:eastAsia="Times New Roman" w:hint="default"/>
                <w:sz w:val="18"/>
                <w:szCs w:val="18"/>
              </w:rPr>
            </w:pPr>
            <w:r>
              <w:rPr>
                <w:rFonts w:ascii="Times New Roman"/>
                <w:sz w:val="18"/>
              </w:rPr>
              <w:t>741,793,</w:t>
            </w:r>
          </w:p>
          <w:p>
            <w:pPr>
              <w:pStyle w:val="TableParagraph"/>
              <w:spacing w:line="207" w:lineRule="exact"/>
              <w:ind w:left="154" w:right="0"/>
              <w:jc w:val="center"/>
              <w:rPr>
                <w:rFonts w:ascii="Times New Roman" w:hAnsi="Times New Roman" w:cs="Times New Roman" w:eastAsia="Times New Roman" w:hint="default"/>
                <w:sz w:val="18"/>
                <w:szCs w:val="18"/>
              </w:rPr>
            </w:pPr>
            <w:r>
              <w:rPr>
                <w:rFonts w:ascii="Times New Roman"/>
                <w:sz w:val="18"/>
              </w:rPr>
              <w:t>322.37</w:t>
            </w: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1" w:right="24"/>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43" w:right="0"/>
              <w:jc w:val="left"/>
              <w:rPr>
                <w:rFonts w:ascii="Times New Roman" w:hAnsi="Times New Roman" w:cs="Times New Roman" w:eastAsia="Times New Roman" w:hint="default"/>
                <w:sz w:val="18"/>
                <w:szCs w:val="18"/>
              </w:rPr>
            </w:pPr>
            <w:r>
              <w:rPr>
                <w:rFonts w:ascii="Times New Roman"/>
                <w:sz w:val="18"/>
              </w:rPr>
              <w:t>87,408,2</w:t>
            </w:r>
          </w:p>
          <w:p>
            <w:pPr>
              <w:pStyle w:val="TableParagraph"/>
              <w:spacing w:line="207" w:lineRule="exact"/>
              <w:ind w:left="268" w:right="0"/>
              <w:jc w:val="left"/>
              <w:rPr>
                <w:rFonts w:ascii="Times New Roman" w:hAnsi="Times New Roman" w:cs="Times New Roman" w:eastAsia="Times New Roman" w:hint="default"/>
                <w:sz w:val="18"/>
                <w:szCs w:val="18"/>
              </w:rPr>
            </w:pPr>
            <w:r>
              <w:rPr>
                <w:rFonts w:ascii="Times New Roman"/>
                <w:sz w:val="18"/>
              </w:rPr>
              <w:t>26.49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43" w:right="0"/>
              <w:jc w:val="left"/>
              <w:rPr>
                <w:rFonts w:ascii="Times New Roman" w:hAnsi="Times New Roman" w:cs="Times New Roman" w:eastAsia="Times New Roman" w:hint="default"/>
                <w:sz w:val="18"/>
                <w:szCs w:val="18"/>
              </w:rPr>
            </w:pPr>
            <w:r>
              <w:rPr>
                <w:rFonts w:ascii="Times New Roman"/>
                <w:sz w:val="18"/>
              </w:rPr>
              <w:t>87,408,2</w:t>
            </w:r>
          </w:p>
          <w:p>
            <w:pPr>
              <w:pStyle w:val="TableParagraph"/>
              <w:spacing w:line="207" w:lineRule="exact"/>
              <w:ind w:left="268" w:right="0"/>
              <w:jc w:val="left"/>
              <w:rPr>
                <w:rFonts w:ascii="Times New Roman" w:hAnsi="Times New Roman" w:cs="Times New Roman" w:eastAsia="Times New Roman" w:hint="default"/>
                <w:sz w:val="18"/>
                <w:szCs w:val="18"/>
              </w:rPr>
            </w:pPr>
            <w:r>
              <w:rPr>
                <w:rFonts w:ascii="Times New Roman"/>
                <w:sz w:val="18"/>
              </w:rPr>
              <w:t>26.49</w:t>
            </w: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13" w:space="0" w:color="D2D2D2"/>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43" w:right="0"/>
              <w:jc w:val="left"/>
              <w:rPr>
                <w:rFonts w:ascii="Times New Roman" w:hAnsi="Times New Roman" w:cs="Times New Roman" w:eastAsia="Times New Roman" w:hint="default"/>
                <w:sz w:val="18"/>
                <w:szCs w:val="18"/>
              </w:rPr>
            </w:pPr>
            <w:r>
              <w:rPr>
                <w:rFonts w:ascii="Times New Roman"/>
                <w:sz w:val="18"/>
              </w:rPr>
              <w:t>24,970,0</w:t>
            </w:r>
          </w:p>
          <w:p>
            <w:pPr>
              <w:pStyle w:val="TableParagraph"/>
              <w:spacing w:line="207" w:lineRule="exact"/>
              <w:ind w:left="268" w:right="0"/>
              <w:jc w:val="left"/>
              <w:rPr>
                <w:rFonts w:ascii="Times New Roman" w:hAnsi="Times New Roman" w:cs="Times New Roman" w:eastAsia="Times New Roman" w:hint="default"/>
                <w:sz w:val="18"/>
                <w:szCs w:val="18"/>
              </w:rPr>
            </w:pPr>
            <w:r>
              <w:rPr>
                <w:rFonts w:ascii="Times New Roman"/>
                <w:sz w:val="18"/>
              </w:rPr>
              <w:t>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43" w:right="0"/>
              <w:jc w:val="left"/>
              <w:rPr>
                <w:rFonts w:ascii="Times New Roman" w:hAnsi="Times New Roman" w:cs="Times New Roman" w:eastAsia="Times New Roman" w:hint="default"/>
                <w:sz w:val="18"/>
                <w:szCs w:val="18"/>
              </w:rPr>
            </w:pPr>
            <w:r>
              <w:rPr>
                <w:rFonts w:ascii="Times New Roman"/>
                <w:sz w:val="18"/>
              </w:rPr>
              <w:t>24,970,0</w:t>
            </w:r>
          </w:p>
          <w:p>
            <w:pPr>
              <w:pStyle w:val="TableParagraph"/>
              <w:spacing w:line="207" w:lineRule="exact"/>
              <w:ind w:left="268" w:right="0"/>
              <w:jc w:val="left"/>
              <w:rPr>
                <w:rFonts w:ascii="Times New Roman" w:hAnsi="Times New Roman" w:cs="Times New Roman" w:eastAsia="Times New Roman" w:hint="default"/>
                <w:sz w:val="18"/>
                <w:szCs w:val="18"/>
              </w:rPr>
            </w:pPr>
            <w:r>
              <w:rPr>
                <w:rFonts w:ascii="Times New Roman"/>
                <w:sz w:val="18"/>
              </w:rPr>
              <w:t>00.00</w:t>
            </w: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6"/>
              <w:ind w:left="2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96"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3" w:space="0" w:color="D2D2D2"/>
              <w:right w:val="single" w:sz="4" w:space="0" w:color="000000"/>
            </w:tcBorders>
          </w:tcPr>
          <w:p>
            <w:pPr/>
          </w:p>
        </w:tc>
        <w:tc>
          <w:tcPr>
            <w:tcW w:w="553" w:type="dxa"/>
            <w:vMerge w:val="restart"/>
            <w:tcBorders>
              <w:top w:val="single" w:sz="4" w:space="0" w:color="000000"/>
              <w:left w:val="single" w:sz="4" w:space="0" w:color="000000"/>
              <w:right w:val="single" w:sz="4" w:space="0" w:color="000000"/>
            </w:tcBorders>
          </w:tcPr>
          <w:p>
            <w:pPr/>
          </w:p>
        </w:tc>
        <w:tc>
          <w:tcPr>
            <w:tcW w:w="509" w:type="dxa"/>
            <w:vMerge w:val="restart"/>
            <w:tcBorders>
              <w:top w:val="single" w:sz="4" w:space="0" w:color="000000"/>
              <w:left w:val="single" w:sz="4" w:space="0" w:color="000000"/>
              <w:right w:val="single" w:sz="4" w:space="0" w:color="000000"/>
            </w:tcBorders>
          </w:tcPr>
          <w:p>
            <w:pPr/>
          </w:p>
        </w:tc>
        <w:tc>
          <w:tcPr>
            <w:tcW w:w="343"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423"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Style w:val="TableParagraph"/>
              <w:spacing w:line="207" w:lineRule="exact" w:before="33"/>
              <w:ind w:left="43" w:right="0"/>
              <w:jc w:val="left"/>
              <w:rPr>
                <w:rFonts w:ascii="Times New Roman" w:hAnsi="Times New Roman" w:cs="Times New Roman" w:eastAsia="Times New Roman" w:hint="default"/>
                <w:sz w:val="18"/>
                <w:szCs w:val="18"/>
              </w:rPr>
            </w:pPr>
            <w:r>
              <w:rPr>
                <w:rFonts w:ascii="Times New Roman"/>
                <w:sz w:val="18"/>
              </w:rPr>
              <w:t>62,438,2</w:t>
            </w:r>
          </w:p>
          <w:p>
            <w:pPr>
              <w:pStyle w:val="TableParagraph"/>
              <w:spacing w:line="207" w:lineRule="exact"/>
              <w:ind w:left="268" w:right="0"/>
              <w:jc w:val="left"/>
              <w:rPr>
                <w:rFonts w:ascii="Times New Roman" w:hAnsi="Times New Roman" w:cs="Times New Roman" w:eastAsia="Times New Roman" w:hint="default"/>
                <w:sz w:val="18"/>
                <w:szCs w:val="18"/>
              </w:rPr>
            </w:pPr>
            <w:r>
              <w:rPr>
                <w:rFonts w:ascii="Times New Roman"/>
                <w:sz w:val="18"/>
              </w:rPr>
              <w:t>26.49</w:t>
            </w:r>
          </w:p>
        </w:tc>
        <w:tc>
          <w:tcPr>
            <w:tcW w:w="710" w:type="dxa"/>
            <w:vMerge w:val="restart"/>
            <w:tcBorders>
              <w:top w:val="single" w:sz="4" w:space="0" w:color="000000"/>
              <w:left w:val="single" w:sz="4" w:space="0" w:color="000000"/>
              <w:right w:val="single" w:sz="4" w:space="0" w:color="000000"/>
            </w:tcBorders>
          </w:tcPr>
          <w:p>
            <w:pPr>
              <w:pStyle w:val="TableParagraph"/>
              <w:spacing w:line="207" w:lineRule="exact" w:before="33"/>
              <w:ind w:left="43" w:right="0"/>
              <w:jc w:val="left"/>
              <w:rPr>
                <w:rFonts w:ascii="Times New Roman" w:hAnsi="Times New Roman" w:cs="Times New Roman" w:eastAsia="Times New Roman" w:hint="default"/>
                <w:sz w:val="18"/>
                <w:szCs w:val="18"/>
              </w:rPr>
            </w:pPr>
            <w:r>
              <w:rPr>
                <w:rFonts w:ascii="Times New Roman"/>
                <w:sz w:val="18"/>
              </w:rPr>
              <w:t>62,438,2</w:t>
            </w:r>
          </w:p>
          <w:p>
            <w:pPr>
              <w:pStyle w:val="TableParagraph"/>
              <w:spacing w:line="207" w:lineRule="exact"/>
              <w:ind w:left="268" w:right="0"/>
              <w:jc w:val="left"/>
              <w:rPr>
                <w:rFonts w:ascii="Times New Roman" w:hAnsi="Times New Roman" w:cs="Times New Roman" w:eastAsia="Times New Roman" w:hint="default"/>
                <w:sz w:val="18"/>
                <w:szCs w:val="18"/>
              </w:rPr>
            </w:pPr>
            <w:r>
              <w:rPr>
                <w:rFonts w:ascii="Times New Roman"/>
                <w:sz w:val="18"/>
              </w:rPr>
              <w:t>26.49</w:t>
            </w:r>
          </w:p>
        </w:tc>
      </w:tr>
      <w:tr>
        <w:trPr>
          <w:trHeight w:val="408"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vMerge/>
            <w:tcBorders>
              <w:left w:val="single" w:sz="13" w:space="0" w:color="D2D2D2"/>
              <w:bottom w:val="single" w:sz="4" w:space="0" w:color="000000"/>
              <w:right w:val="single" w:sz="4" w:space="0" w:color="000000"/>
            </w:tcBorders>
          </w:tcPr>
          <w:p>
            <w:pPr/>
          </w:p>
        </w:tc>
        <w:tc>
          <w:tcPr>
            <w:tcW w:w="553" w:type="dxa"/>
            <w:vMerge/>
            <w:tcBorders>
              <w:left w:val="single" w:sz="4" w:space="0" w:color="000000"/>
              <w:bottom w:val="single" w:sz="4" w:space="0" w:color="000000"/>
              <w:right w:val="single" w:sz="4" w:space="0" w:color="000000"/>
            </w:tcBorders>
          </w:tcPr>
          <w:p>
            <w:pPr/>
          </w:p>
        </w:tc>
        <w:tc>
          <w:tcPr>
            <w:tcW w:w="509" w:type="dxa"/>
            <w:vMerge/>
            <w:tcBorders>
              <w:left w:val="single" w:sz="4" w:space="0" w:color="000000"/>
              <w:bottom w:val="single" w:sz="4" w:space="0" w:color="000000"/>
              <w:right w:val="single" w:sz="4" w:space="0" w:color="000000"/>
            </w:tcBorders>
          </w:tcPr>
          <w:p>
            <w:pPr/>
          </w:p>
        </w:tc>
        <w:tc>
          <w:tcPr>
            <w:tcW w:w="34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423"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r>
      <w:tr>
        <w:trPr>
          <w:trHeight w:val="96"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3" w:space="0" w:color="D2D2D2"/>
              <w:right w:val="single" w:sz="4" w:space="0" w:color="000000"/>
            </w:tcBorders>
          </w:tcPr>
          <w:p>
            <w:pPr/>
          </w:p>
        </w:tc>
        <w:tc>
          <w:tcPr>
            <w:tcW w:w="553" w:type="dxa"/>
            <w:vMerge w:val="restart"/>
            <w:tcBorders>
              <w:top w:val="single" w:sz="4" w:space="0" w:color="000000"/>
              <w:left w:val="single" w:sz="4" w:space="0" w:color="000000"/>
              <w:right w:val="single" w:sz="4" w:space="0" w:color="000000"/>
            </w:tcBorders>
          </w:tcPr>
          <w:p>
            <w:pPr/>
          </w:p>
        </w:tc>
        <w:tc>
          <w:tcPr>
            <w:tcW w:w="509" w:type="dxa"/>
            <w:vMerge w:val="restart"/>
            <w:tcBorders>
              <w:top w:val="single" w:sz="4" w:space="0" w:color="000000"/>
              <w:left w:val="single" w:sz="4" w:space="0" w:color="000000"/>
              <w:right w:val="single" w:sz="4" w:space="0" w:color="000000"/>
            </w:tcBorders>
          </w:tcPr>
          <w:p>
            <w:pPr/>
          </w:p>
        </w:tc>
        <w:tc>
          <w:tcPr>
            <w:tcW w:w="343"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423"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Style w:val="TableParagraph"/>
              <w:spacing w:line="207" w:lineRule="exact" w:before="33"/>
              <w:ind w:left="43" w:right="0"/>
              <w:jc w:val="left"/>
              <w:rPr>
                <w:rFonts w:ascii="Times New Roman" w:hAnsi="Times New Roman" w:cs="Times New Roman" w:eastAsia="Times New Roman" w:hint="default"/>
                <w:sz w:val="18"/>
                <w:szCs w:val="18"/>
              </w:rPr>
            </w:pPr>
            <w:r>
              <w:rPr>
                <w:rFonts w:ascii="Times New Roman"/>
                <w:sz w:val="18"/>
              </w:rPr>
              <w:t>76,195,9</w:t>
            </w:r>
          </w:p>
          <w:p>
            <w:pPr>
              <w:pStyle w:val="TableParagraph"/>
              <w:spacing w:line="207" w:lineRule="exact"/>
              <w:ind w:left="268" w:right="0"/>
              <w:jc w:val="left"/>
              <w:rPr>
                <w:rFonts w:ascii="Times New Roman" w:hAnsi="Times New Roman" w:cs="Times New Roman" w:eastAsia="Times New Roman" w:hint="default"/>
                <w:sz w:val="18"/>
                <w:szCs w:val="18"/>
              </w:rPr>
            </w:pPr>
            <w:r>
              <w:rPr>
                <w:rFonts w:ascii="Times New Roman"/>
                <w:sz w:val="18"/>
              </w:rPr>
              <w:t>26.85</w:t>
            </w:r>
          </w:p>
        </w:tc>
        <w:tc>
          <w:tcPr>
            <w:tcW w:w="709"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Style w:val="TableParagraph"/>
              <w:spacing w:line="207" w:lineRule="exact" w:before="33"/>
              <w:ind w:left="7" w:right="0"/>
              <w:jc w:val="center"/>
              <w:rPr>
                <w:rFonts w:ascii="Times New Roman" w:hAnsi="Times New Roman" w:cs="Times New Roman" w:eastAsia="Times New Roman" w:hint="default"/>
                <w:sz w:val="18"/>
                <w:szCs w:val="18"/>
              </w:rPr>
            </w:pPr>
            <w:r>
              <w:rPr>
                <w:rFonts w:ascii="Times New Roman"/>
                <w:sz w:val="18"/>
              </w:rPr>
              <w:t>-238,121</w:t>
            </w:r>
          </w:p>
          <w:p>
            <w:pPr>
              <w:pStyle w:val="TableParagraph"/>
              <w:spacing w:line="207" w:lineRule="exact"/>
              <w:ind w:left="113" w:right="0"/>
              <w:jc w:val="center"/>
              <w:rPr>
                <w:rFonts w:ascii="Times New Roman" w:hAnsi="Times New Roman" w:cs="Times New Roman" w:eastAsia="Times New Roman" w:hint="default"/>
                <w:sz w:val="18"/>
                <w:szCs w:val="18"/>
              </w:rPr>
            </w:pPr>
            <w:r>
              <w:rPr>
                <w:rFonts w:ascii="Times New Roman"/>
                <w:sz w:val="18"/>
              </w:rPr>
              <w:t>,641.85</w:t>
            </w:r>
          </w:p>
        </w:tc>
        <w:tc>
          <w:tcPr>
            <w:tcW w:w="708" w:type="dxa"/>
            <w:vMerge w:val="restart"/>
            <w:tcBorders>
              <w:top w:val="single" w:sz="4" w:space="0" w:color="000000"/>
              <w:left w:val="single" w:sz="4" w:space="0" w:color="000000"/>
              <w:right w:val="single" w:sz="4" w:space="0" w:color="000000"/>
            </w:tcBorders>
          </w:tcPr>
          <w:p>
            <w:pPr>
              <w:pStyle w:val="TableParagraph"/>
              <w:spacing w:line="207" w:lineRule="exact" w:before="33"/>
              <w:ind w:left="51" w:right="0"/>
              <w:jc w:val="center"/>
              <w:rPr>
                <w:rFonts w:ascii="Times New Roman" w:hAnsi="Times New Roman" w:cs="Times New Roman" w:eastAsia="Times New Roman" w:hint="default"/>
                <w:sz w:val="18"/>
                <w:szCs w:val="18"/>
              </w:rPr>
            </w:pPr>
            <w:r>
              <w:rPr>
                <w:rFonts w:ascii="Times New Roman"/>
                <w:sz w:val="18"/>
              </w:rPr>
              <w:t>-52,884,</w:t>
            </w:r>
          </w:p>
          <w:p>
            <w:pPr>
              <w:pStyle w:val="TableParagraph"/>
              <w:spacing w:line="207" w:lineRule="exact"/>
              <w:ind w:left="156" w:right="0"/>
              <w:jc w:val="center"/>
              <w:rPr>
                <w:rFonts w:ascii="Times New Roman" w:hAnsi="Times New Roman" w:cs="Times New Roman" w:eastAsia="Times New Roman" w:hint="default"/>
                <w:sz w:val="18"/>
                <w:szCs w:val="18"/>
              </w:rPr>
            </w:pPr>
            <w:r>
              <w:rPr>
                <w:rFonts w:ascii="Times New Roman"/>
                <w:sz w:val="18"/>
              </w:rPr>
              <w:t>500.00</w:t>
            </w:r>
          </w:p>
        </w:tc>
        <w:tc>
          <w:tcPr>
            <w:tcW w:w="710" w:type="dxa"/>
            <w:vMerge w:val="restart"/>
            <w:tcBorders>
              <w:top w:val="single" w:sz="4" w:space="0" w:color="000000"/>
              <w:left w:val="single" w:sz="4" w:space="0" w:color="000000"/>
              <w:right w:val="single" w:sz="4" w:space="0" w:color="000000"/>
            </w:tcBorders>
          </w:tcPr>
          <w:p>
            <w:pPr>
              <w:pStyle w:val="TableParagraph"/>
              <w:spacing w:line="207" w:lineRule="exact" w:before="33"/>
              <w:ind w:left="2" w:right="0"/>
              <w:jc w:val="center"/>
              <w:rPr>
                <w:rFonts w:ascii="Times New Roman" w:hAnsi="Times New Roman" w:cs="Times New Roman" w:eastAsia="Times New Roman" w:hint="default"/>
                <w:sz w:val="18"/>
                <w:szCs w:val="18"/>
              </w:rPr>
            </w:pPr>
            <w:r>
              <w:rPr>
                <w:rFonts w:ascii="Times New Roman"/>
                <w:sz w:val="18"/>
              </w:rPr>
              <w:t>-214,810</w:t>
            </w:r>
          </w:p>
          <w:p>
            <w:pPr>
              <w:pStyle w:val="TableParagraph"/>
              <w:spacing w:line="207" w:lineRule="exact"/>
              <w:ind w:left="108" w:right="0"/>
              <w:jc w:val="center"/>
              <w:rPr>
                <w:rFonts w:ascii="Times New Roman" w:hAnsi="Times New Roman" w:cs="Times New Roman" w:eastAsia="Times New Roman" w:hint="default"/>
                <w:sz w:val="18"/>
                <w:szCs w:val="18"/>
              </w:rPr>
            </w:pPr>
            <w:r>
              <w:rPr>
                <w:rFonts w:ascii="Times New Roman"/>
                <w:sz w:val="18"/>
              </w:rPr>
              <w:t>,215.00</w:t>
            </w:r>
          </w:p>
        </w:tc>
      </w:tr>
      <w:tr>
        <w:trPr>
          <w:trHeight w:val="408"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vMerge/>
            <w:tcBorders>
              <w:left w:val="single" w:sz="13" w:space="0" w:color="D2D2D2"/>
              <w:bottom w:val="single" w:sz="4" w:space="0" w:color="000000"/>
              <w:right w:val="single" w:sz="4" w:space="0" w:color="000000"/>
            </w:tcBorders>
          </w:tcPr>
          <w:p>
            <w:pPr/>
          </w:p>
        </w:tc>
        <w:tc>
          <w:tcPr>
            <w:tcW w:w="553" w:type="dxa"/>
            <w:vMerge/>
            <w:tcBorders>
              <w:left w:val="single" w:sz="4" w:space="0" w:color="000000"/>
              <w:bottom w:val="single" w:sz="4" w:space="0" w:color="000000"/>
              <w:right w:val="single" w:sz="4" w:space="0" w:color="000000"/>
            </w:tcBorders>
          </w:tcPr>
          <w:p>
            <w:pPr/>
          </w:p>
        </w:tc>
        <w:tc>
          <w:tcPr>
            <w:tcW w:w="509" w:type="dxa"/>
            <w:vMerge/>
            <w:tcBorders>
              <w:left w:val="single" w:sz="4" w:space="0" w:color="000000"/>
              <w:bottom w:val="single" w:sz="4" w:space="0" w:color="000000"/>
              <w:right w:val="single" w:sz="4" w:space="0" w:color="000000"/>
            </w:tcBorders>
          </w:tcPr>
          <w:p>
            <w:pPr/>
          </w:p>
        </w:tc>
        <w:tc>
          <w:tcPr>
            <w:tcW w:w="34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423"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r>
      <w:tr>
        <w:trPr>
          <w:trHeight w:val="504" w:hRule="exact"/>
        </w:trPr>
        <w:tc>
          <w:tcPr>
            <w:tcW w:w="1438" w:type="dxa"/>
            <w:tcBorders>
              <w:top w:val="single" w:sz="77" w:space="0" w:color="D2D2D2"/>
              <w:left w:val="single" w:sz="12" w:space="0" w:color="D2D2D2"/>
              <w:bottom w:val="single" w:sz="36" w:space="0" w:color="D2D2D2"/>
              <w:right w:val="single" w:sz="13" w:space="0" w:color="D2D2D2"/>
            </w:tcBorders>
          </w:tcPr>
          <w:p>
            <w:pPr>
              <w:pStyle w:val="TableParagraph"/>
              <w:spacing w:line="240" w:lineRule="auto" w:before="8"/>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2D2D2" w:color="auto" w:val="clear"/>
              </w:rPr>
              <w:t>1</w:t>
            </w:r>
            <w:r>
              <w:rPr>
                <w:rFonts w:ascii="宋体" w:hAnsi="宋体" w:cs="宋体" w:eastAsia="宋体" w:hint="default"/>
                <w:sz w:val="18"/>
                <w:szCs w:val="18"/>
                <w:shd w:fill="D2D2D2" w:color="auto" w:val="clear"/>
              </w:rPr>
              <w:t>．提取盈余公积</w:t>
            </w:r>
            <w:r>
              <w:rPr>
                <w:rFonts w:ascii="宋体" w:hAnsi="宋体" w:cs="宋体" w:eastAsia="宋体" w:hint="default"/>
                <w:sz w:val="18"/>
                <w:szCs w:val="18"/>
              </w:rPr>
            </w:r>
          </w:p>
        </w:tc>
        <w:tc>
          <w:tcPr>
            <w:tcW w:w="562" w:type="dxa"/>
            <w:tcBorders>
              <w:top w:val="single" w:sz="4" w:space="0" w:color="000000"/>
              <w:left w:val="single" w:sz="13" w:space="0" w:color="D2D2D2"/>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43" w:right="0"/>
              <w:jc w:val="left"/>
              <w:rPr>
                <w:rFonts w:ascii="Times New Roman" w:hAnsi="Times New Roman" w:cs="Times New Roman" w:eastAsia="Times New Roman" w:hint="default"/>
                <w:sz w:val="18"/>
                <w:szCs w:val="18"/>
              </w:rPr>
            </w:pPr>
            <w:r>
              <w:rPr>
                <w:rFonts w:ascii="Times New Roman"/>
                <w:sz w:val="18"/>
              </w:rPr>
              <w:t>76,195,9</w:t>
            </w:r>
          </w:p>
          <w:p>
            <w:pPr>
              <w:pStyle w:val="TableParagraph"/>
              <w:spacing w:line="207" w:lineRule="exact"/>
              <w:ind w:left="268" w:right="0"/>
              <w:jc w:val="left"/>
              <w:rPr>
                <w:rFonts w:ascii="Times New Roman" w:hAnsi="Times New Roman" w:cs="Times New Roman" w:eastAsia="Times New Roman" w:hint="default"/>
                <w:sz w:val="18"/>
                <w:szCs w:val="18"/>
              </w:rPr>
            </w:pPr>
            <w:r>
              <w:rPr>
                <w:rFonts w:ascii="Times New Roman"/>
                <w:sz w:val="18"/>
              </w:rPr>
              <w:t>26.85</w:t>
            </w: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54" w:right="0"/>
              <w:jc w:val="center"/>
              <w:rPr>
                <w:rFonts w:ascii="Times New Roman" w:hAnsi="Times New Roman" w:cs="Times New Roman" w:eastAsia="Times New Roman" w:hint="default"/>
                <w:sz w:val="18"/>
                <w:szCs w:val="18"/>
              </w:rPr>
            </w:pPr>
            <w:r>
              <w:rPr>
                <w:rFonts w:ascii="Times New Roman"/>
                <w:sz w:val="18"/>
              </w:rPr>
              <w:t>-76,195,</w:t>
            </w:r>
          </w:p>
          <w:p>
            <w:pPr>
              <w:pStyle w:val="TableParagraph"/>
              <w:spacing w:line="207" w:lineRule="exact"/>
              <w:ind w:left="159" w:right="0"/>
              <w:jc w:val="center"/>
              <w:rPr>
                <w:rFonts w:ascii="Times New Roman" w:hAnsi="Times New Roman" w:cs="Times New Roman" w:eastAsia="Times New Roman" w:hint="default"/>
                <w:sz w:val="18"/>
                <w:szCs w:val="18"/>
              </w:rPr>
            </w:pPr>
            <w:r>
              <w:rPr>
                <w:rFonts w:ascii="Times New Roman"/>
                <w:sz w:val="18"/>
              </w:rPr>
              <w:t>926.85</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13" w:space="0" w:color="D2D2D2"/>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1"/>
              <w:ind w:left="2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13" w:space="0" w:color="D2D2D2"/>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-161,925</w:t>
            </w:r>
          </w:p>
          <w:p>
            <w:pPr>
              <w:pStyle w:val="TableParagraph"/>
              <w:spacing w:line="240" w:lineRule="auto"/>
              <w:ind w:left="113" w:right="0"/>
              <w:jc w:val="center"/>
              <w:rPr>
                <w:rFonts w:ascii="Times New Roman" w:hAnsi="Times New Roman" w:cs="Times New Roman" w:eastAsia="Times New Roman" w:hint="default"/>
                <w:sz w:val="18"/>
                <w:szCs w:val="18"/>
              </w:rPr>
            </w:pPr>
            <w:r>
              <w:rPr>
                <w:rFonts w:ascii="Times New Roman"/>
                <w:sz w:val="18"/>
              </w:rPr>
              <w:t>,715.00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1" w:right="0"/>
              <w:jc w:val="center"/>
              <w:rPr>
                <w:rFonts w:ascii="Times New Roman" w:hAnsi="Times New Roman" w:cs="Times New Roman" w:eastAsia="Times New Roman" w:hint="default"/>
                <w:sz w:val="18"/>
                <w:szCs w:val="18"/>
              </w:rPr>
            </w:pPr>
            <w:r>
              <w:rPr>
                <w:rFonts w:ascii="Times New Roman"/>
                <w:sz w:val="18"/>
              </w:rPr>
              <w:t>-52,884,</w:t>
            </w: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500.00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-214,810</w:t>
            </w:r>
          </w:p>
          <w:p>
            <w:pPr>
              <w:pStyle w:val="TableParagraph"/>
              <w:spacing w:line="240" w:lineRule="auto"/>
              <w:ind w:left="108" w:right="0"/>
              <w:jc w:val="center"/>
              <w:rPr>
                <w:rFonts w:ascii="Times New Roman" w:hAnsi="Times New Roman" w:cs="Times New Roman" w:eastAsia="Times New Roman" w:hint="default"/>
                <w:sz w:val="18"/>
                <w:szCs w:val="18"/>
              </w:rPr>
            </w:pPr>
            <w:r>
              <w:rPr>
                <w:rFonts w:ascii="Times New Roman"/>
                <w:sz w:val="18"/>
              </w:rPr>
              <w:t>,215.00</w:t>
            </w:r>
          </w:p>
        </w:tc>
      </w:tr>
      <w:tr>
        <w:trPr>
          <w:trHeight w:val="365" w:hRule="exact"/>
        </w:trPr>
        <w:tc>
          <w:tcPr>
            <w:tcW w:w="1438"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FFFFFF"/>
              <w:right w:val="single" w:sz="4" w:space="0" w:color="000000"/>
            </w:tcBorders>
          </w:tcPr>
          <w:p>
            <w:pPr/>
          </w:p>
        </w:tc>
        <w:tc>
          <w:tcPr>
            <w:tcW w:w="553" w:type="dxa"/>
            <w:tcBorders>
              <w:top w:val="single" w:sz="4" w:space="0" w:color="000000"/>
              <w:left w:val="single" w:sz="4" w:space="0" w:color="000000"/>
              <w:bottom w:val="single" w:sz="4" w:space="0" w:color="FFFFFF"/>
              <w:right w:val="single" w:sz="4" w:space="0" w:color="000000"/>
            </w:tcBorders>
          </w:tcPr>
          <w:p>
            <w:pPr/>
          </w:p>
        </w:tc>
        <w:tc>
          <w:tcPr>
            <w:tcW w:w="509" w:type="dxa"/>
            <w:tcBorders>
              <w:top w:val="single" w:sz="4" w:space="0" w:color="000000"/>
              <w:left w:val="single" w:sz="4" w:space="0" w:color="000000"/>
              <w:bottom w:val="single" w:sz="4" w:space="0" w:color="FFFFFF"/>
              <w:right w:val="single" w:sz="4" w:space="0" w:color="000000"/>
            </w:tcBorders>
          </w:tcPr>
          <w:p>
            <w:pPr/>
          </w:p>
        </w:tc>
        <w:tc>
          <w:tcPr>
            <w:tcW w:w="343" w:type="dxa"/>
            <w:tcBorders>
              <w:top w:val="single" w:sz="4" w:space="0" w:color="000000"/>
              <w:left w:val="single" w:sz="4" w:space="0" w:color="000000"/>
              <w:bottom w:val="single" w:sz="4" w:space="0" w:color="FFFFFF"/>
              <w:right w:val="single" w:sz="4" w:space="0" w:color="000000"/>
            </w:tcBorders>
          </w:tcPr>
          <w:p>
            <w:pPr/>
          </w:p>
        </w:tc>
        <w:tc>
          <w:tcPr>
            <w:tcW w:w="852" w:type="dxa"/>
            <w:tcBorders>
              <w:top w:val="single" w:sz="4" w:space="0" w:color="000000"/>
              <w:left w:val="single" w:sz="4" w:space="0" w:color="000000"/>
              <w:bottom w:val="single" w:sz="4" w:space="0" w:color="FFFFFF"/>
              <w:right w:val="single" w:sz="4" w:space="0" w:color="000000"/>
            </w:tcBorders>
          </w:tcPr>
          <w:p>
            <w:pPr/>
          </w:p>
        </w:tc>
        <w:tc>
          <w:tcPr>
            <w:tcW w:w="423" w:type="dxa"/>
            <w:tcBorders>
              <w:top w:val="single" w:sz="4" w:space="0" w:color="000000"/>
              <w:left w:val="single" w:sz="4" w:space="0" w:color="000000"/>
              <w:bottom w:val="single" w:sz="4" w:space="0" w:color="FFFFFF"/>
              <w:right w:val="single" w:sz="4" w:space="0" w:color="000000"/>
            </w:tcBorders>
          </w:tcPr>
          <w:p>
            <w:pPr/>
          </w:p>
        </w:tc>
        <w:tc>
          <w:tcPr>
            <w:tcW w:w="710" w:type="dxa"/>
            <w:tcBorders>
              <w:top w:val="single" w:sz="4" w:space="0" w:color="000000"/>
              <w:left w:val="single" w:sz="4" w:space="0" w:color="000000"/>
              <w:bottom w:val="single" w:sz="4" w:space="0" w:color="FFFFFF"/>
              <w:right w:val="single" w:sz="4" w:space="0" w:color="000000"/>
            </w:tcBorders>
          </w:tcPr>
          <w:p>
            <w:pPr/>
          </w:p>
        </w:tc>
        <w:tc>
          <w:tcPr>
            <w:tcW w:w="566" w:type="dxa"/>
            <w:tcBorders>
              <w:top w:val="single" w:sz="4" w:space="0" w:color="000000"/>
              <w:left w:val="single" w:sz="4" w:space="0" w:color="000000"/>
              <w:bottom w:val="single" w:sz="4" w:space="0" w:color="FFFFFF"/>
              <w:right w:val="single" w:sz="4" w:space="0" w:color="000000"/>
            </w:tcBorders>
          </w:tcPr>
          <w:p>
            <w:pPr/>
          </w:p>
        </w:tc>
        <w:tc>
          <w:tcPr>
            <w:tcW w:w="708" w:type="dxa"/>
            <w:tcBorders>
              <w:top w:val="single" w:sz="4" w:space="0" w:color="000000"/>
              <w:left w:val="single" w:sz="4" w:space="0" w:color="000000"/>
              <w:bottom w:val="single" w:sz="4" w:space="0" w:color="FFFFFF"/>
              <w:right w:val="single" w:sz="4" w:space="0" w:color="000000"/>
            </w:tcBorders>
          </w:tcPr>
          <w:p>
            <w:pPr/>
          </w:p>
        </w:tc>
        <w:tc>
          <w:tcPr>
            <w:tcW w:w="709" w:type="dxa"/>
            <w:tcBorders>
              <w:top w:val="single" w:sz="4" w:space="0" w:color="000000"/>
              <w:left w:val="single" w:sz="4" w:space="0" w:color="000000"/>
              <w:bottom w:val="single" w:sz="4" w:space="0" w:color="FFFFFF"/>
              <w:right w:val="single" w:sz="4" w:space="0" w:color="000000"/>
            </w:tcBorders>
          </w:tcPr>
          <w:p>
            <w:pPr/>
          </w:p>
        </w:tc>
        <w:tc>
          <w:tcPr>
            <w:tcW w:w="710" w:type="dxa"/>
            <w:tcBorders>
              <w:top w:val="single" w:sz="4" w:space="0" w:color="000000"/>
              <w:left w:val="single" w:sz="4" w:space="0" w:color="000000"/>
              <w:bottom w:val="single" w:sz="4" w:space="0" w:color="FFFFFF"/>
              <w:right w:val="single" w:sz="4" w:space="0" w:color="000000"/>
            </w:tcBorders>
          </w:tcPr>
          <w:p>
            <w:pPr/>
          </w:p>
        </w:tc>
        <w:tc>
          <w:tcPr>
            <w:tcW w:w="708" w:type="dxa"/>
            <w:tcBorders>
              <w:top w:val="single" w:sz="4" w:space="0" w:color="000000"/>
              <w:left w:val="single" w:sz="4" w:space="0" w:color="000000"/>
              <w:bottom w:val="single" w:sz="4" w:space="0" w:color="FFFFFF"/>
              <w:right w:val="single" w:sz="4" w:space="0" w:color="000000"/>
            </w:tcBorders>
          </w:tcPr>
          <w:p>
            <w:pPr/>
          </w:p>
        </w:tc>
        <w:tc>
          <w:tcPr>
            <w:tcW w:w="710" w:type="dxa"/>
            <w:tcBorders>
              <w:top w:val="single" w:sz="4" w:space="0" w:color="000000"/>
              <w:left w:val="single" w:sz="4" w:space="0" w:color="000000"/>
              <w:bottom w:val="single" w:sz="4" w:space="0" w:color="FFFFFF"/>
              <w:right w:val="single" w:sz="4" w:space="0" w:color="000000"/>
            </w:tcBorders>
          </w:tcPr>
          <w:p>
            <w:pPr/>
          </w:p>
        </w:tc>
      </w:tr>
      <w:tr>
        <w:trPr>
          <w:trHeight w:val="710" w:hRule="exact"/>
        </w:trPr>
        <w:tc>
          <w:tcPr>
            <w:tcW w:w="1438"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32" w:lineRule="exact" w:before="68"/>
              <w:ind w:left="21" w:right="24"/>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FFFFFF"/>
              <w:left w:val="single" w:sz="13" w:space="0" w:color="D2D2D2"/>
              <w:bottom w:val="single" w:sz="4" w:space="0" w:color="FFFFFF"/>
              <w:right w:val="single" w:sz="4" w:space="0" w:color="000000"/>
            </w:tcBorders>
          </w:tcPr>
          <w:p>
            <w:pPr>
              <w:pStyle w:val="TableParagraph"/>
              <w:spacing w:line="200" w:lineRule="exact"/>
              <w:ind w:left="21" w:right="0"/>
              <w:jc w:val="left"/>
              <w:rPr>
                <w:rFonts w:ascii="Times New Roman" w:hAnsi="Times New Roman" w:cs="Times New Roman" w:eastAsia="Times New Roman" w:hint="default"/>
                <w:sz w:val="18"/>
                <w:szCs w:val="18"/>
              </w:rPr>
            </w:pPr>
            <w:r>
              <w:rPr>
                <w:rFonts w:ascii="Times New Roman"/>
                <w:sz w:val="18"/>
              </w:rPr>
              <w:t>809,62</w:t>
            </w:r>
          </w:p>
          <w:p>
            <w:pPr>
              <w:pStyle w:val="TableParagraph"/>
              <w:spacing w:line="205" w:lineRule="exact" w:before="2"/>
              <w:ind w:left="64" w:right="0"/>
              <w:jc w:val="left"/>
              <w:rPr>
                <w:rFonts w:ascii="Times New Roman" w:hAnsi="Times New Roman" w:cs="Times New Roman" w:eastAsia="Times New Roman" w:hint="default"/>
                <w:sz w:val="18"/>
                <w:szCs w:val="18"/>
              </w:rPr>
            </w:pPr>
            <w:r>
              <w:rPr>
                <w:rFonts w:ascii="Times New Roman"/>
                <w:sz w:val="18"/>
              </w:rPr>
              <w:t>8,575.</w:t>
            </w:r>
          </w:p>
          <w:p>
            <w:pPr>
              <w:pStyle w:val="TableParagraph"/>
              <w:spacing w:line="205" w:lineRule="exact"/>
              <w:ind w:left="336" w:right="0"/>
              <w:jc w:val="left"/>
              <w:rPr>
                <w:rFonts w:ascii="Times New Roman" w:hAnsi="Times New Roman" w:cs="Times New Roman" w:eastAsia="Times New Roman" w:hint="default"/>
                <w:sz w:val="18"/>
                <w:szCs w:val="18"/>
              </w:rPr>
            </w:pPr>
            <w:r>
              <w:rPr>
                <w:rFonts w:ascii="Times New Roman"/>
                <w:sz w:val="18"/>
              </w:rPr>
              <w:t>00</w:t>
            </w:r>
          </w:p>
        </w:tc>
        <w:tc>
          <w:tcPr>
            <w:tcW w:w="553" w:type="dxa"/>
            <w:tcBorders>
              <w:top w:val="single" w:sz="4" w:space="0" w:color="FFFFFF"/>
              <w:left w:val="single" w:sz="4" w:space="0" w:color="000000"/>
              <w:bottom w:val="single" w:sz="4" w:space="0" w:color="FFFFFF"/>
              <w:right w:val="single" w:sz="4" w:space="0" w:color="000000"/>
            </w:tcBorders>
          </w:tcPr>
          <w:p>
            <w:pPr/>
          </w:p>
        </w:tc>
        <w:tc>
          <w:tcPr>
            <w:tcW w:w="509" w:type="dxa"/>
            <w:tcBorders>
              <w:top w:val="single" w:sz="4" w:space="0" w:color="FFFFFF"/>
              <w:left w:val="single" w:sz="4" w:space="0" w:color="000000"/>
              <w:bottom w:val="single" w:sz="4" w:space="0" w:color="FFFFFF"/>
              <w:right w:val="single" w:sz="4" w:space="0" w:color="000000"/>
            </w:tcBorders>
          </w:tcPr>
          <w:p>
            <w:pPr/>
          </w:p>
        </w:tc>
        <w:tc>
          <w:tcPr>
            <w:tcW w:w="343" w:type="dxa"/>
            <w:tcBorders>
              <w:top w:val="single" w:sz="4" w:space="0" w:color="FFFFFF"/>
              <w:left w:val="single" w:sz="4" w:space="0" w:color="000000"/>
              <w:bottom w:val="single" w:sz="4" w:space="0" w:color="FFFFFF"/>
              <w:right w:val="single" w:sz="4" w:space="0" w:color="000000"/>
            </w:tcBorders>
          </w:tcPr>
          <w:p>
            <w:pPr/>
          </w:p>
        </w:tc>
        <w:tc>
          <w:tcPr>
            <w:tcW w:w="852" w:type="dxa"/>
            <w:tcBorders>
              <w:top w:val="single" w:sz="4" w:space="0" w:color="FFFFFF"/>
              <w:left w:val="single" w:sz="4" w:space="0" w:color="000000"/>
              <w:bottom w:val="single" w:sz="4" w:space="0" w:color="FFFFFF"/>
              <w:right w:val="single" w:sz="4" w:space="0" w:color="000000"/>
            </w:tcBorders>
          </w:tcPr>
          <w:p>
            <w:pPr>
              <w:pStyle w:val="TableParagraph"/>
              <w:spacing w:line="207" w:lineRule="exact" w:before="96"/>
              <w:ind w:left="38" w:right="0"/>
              <w:jc w:val="left"/>
              <w:rPr>
                <w:rFonts w:ascii="Times New Roman" w:hAnsi="Times New Roman" w:cs="Times New Roman" w:eastAsia="Times New Roman" w:hint="default"/>
                <w:sz w:val="18"/>
                <w:szCs w:val="18"/>
              </w:rPr>
            </w:pPr>
            <w:r>
              <w:rPr>
                <w:rFonts w:ascii="Times New Roman"/>
                <w:sz w:val="18"/>
              </w:rPr>
              <w:t>-809,628,5</w:t>
            </w:r>
          </w:p>
          <w:p>
            <w:pPr>
              <w:pStyle w:val="TableParagraph"/>
              <w:spacing w:line="207" w:lineRule="exact"/>
              <w:ind w:left="412" w:right="0"/>
              <w:jc w:val="left"/>
              <w:rPr>
                <w:rFonts w:ascii="Times New Roman" w:hAnsi="Times New Roman" w:cs="Times New Roman" w:eastAsia="Times New Roman" w:hint="default"/>
                <w:sz w:val="18"/>
                <w:szCs w:val="18"/>
              </w:rPr>
            </w:pPr>
            <w:r>
              <w:rPr>
                <w:rFonts w:ascii="Times New Roman"/>
                <w:sz w:val="18"/>
              </w:rPr>
              <w:t>75.00</w:t>
            </w:r>
          </w:p>
        </w:tc>
        <w:tc>
          <w:tcPr>
            <w:tcW w:w="423" w:type="dxa"/>
            <w:tcBorders>
              <w:top w:val="single" w:sz="4" w:space="0" w:color="FFFFFF"/>
              <w:left w:val="single" w:sz="4" w:space="0" w:color="000000"/>
              <w:bottom w:val="single" w:sz="4" w:space="0" w:color="FFFFFF"/>
              <w:right w:val="single" w:sz="4" w:space="0" w:color="000000"/>
            </w:tcBorders>
          </w:tcPr>
          <w:p>
            <w:pPr/>
          </w:p>
        </w:tc>
        <w:tc>
          <w:tcPr>
            <w:tcW w:w="710" w:type="dxa"/>
            <w:tcBorders>
              <w:top w:val="single" w:sz="4" w:space="0" w:color="FFFFFF"/>
              <w:left w:val="single" w:sz="4" w:space="0" w:color="000000"/>
              <w:bottom w:val="single" w:sz="4" w:space="0" w:color="FFFFFF"/>
              <w:right w:val="single" w:sz="4" w:space="0" w:color="000000"/>
            </w:tcBorders>
          </w:tcPr>
          <w:p>
            <w:pPr/>
          </w:p>
        </w:tc>
        <w:tc>
          <w:tcPr>
            <w:tcW w:w="566" w:type="dxa"/>
            <w:tcBorders>
              <w:top w:val="single" w:sz="4" w:space="0" w:color="FFFFFF"/>
              <w:left w:val="single" w:sz="4" w:space="0" w:color="000000"/>
              <w:bottom w:val="single" w:sz="4" w:space="0" w:color="FFFFFF"/>
              <w:right w:val="single" w:sz="4" w:space="0" w:color="000000"/>
            </w:tcBorders>
          </w:tcPr>
          <w:p>
            <w:pPr/>
          </w:p>
        </w:tc>
        <w:tc>
          <w:tcPr>
            <w:tcW w:w="708" w:type="dxa"/>
            <w:tcBorders>
              <w:top w:val="single" w:sz="4" w:space="0" w:color="FFFFFF"/>
              <w:left w:val="single" w:sz="4" w:space="0" w:color="000000"/>
              <w:bottom w:val="single" w:sz="4" w:space="0" w:color="FFFFFF"/>
              <w:right w:val="single" w:sz="4" w:space="0" w:color="000000"/>
            </w:tcBorders>
          </w:tcPr>
          <w:p>
            <w:pPr/>
          </w:p>
        </w:tc>
        <w:tc>
          <w:tcPr>
            <w:tcW w:w="709" w:type="dxa"/>
            <w:tcBorders>
              <w:top w:val="single" w:sz="4" w:space="0" w:color="FFFFFF"/>
              <w:left w:val="single" w:sz="4" w:space="0" w:color="000000"/>
              <w:bottom w:val="single" w:sz="4" w:space="0" w:color="FFFFFF"/>
              <w:right w:val="single" w:sz="4" w:space="0" w:color="000000"/>
            </w:tcBorders>
          </w:tcPr>
          <w:p>
            <w:pPr/>
          </w:p>
        </w:tc>
        <w:tc>
          <w:tcPr>
            <w:tcW w:w="710" w:type="dxa"/>
            <w:tcBorders>
              <w:top w:val="single" w:sz="4" w:space="0" w:color="FFFFFF"/>
              <w:left w:val="single" w:sz="4" w:space="0" w:color="000000"/>
              <w:bottom w:val="single" w:sz="4" w:space="0" w:color="FFFFFF"/>
              <w:right w:val="single" w:sz="4" w:space="0" w:color="000000"/>
            </w:tcBorders>
          </w:tcPr>
          <w:p>
            <w:pPr/>
          </w:p>
        </w:tc>
        <w:tc>
          <w:tcPr>
            <w:tcW w:w="708" w:type="dxa"/>
            <w:tcBorders>
              <w:top w:val="single" w:sz="4" w:space="0" w:color="FFFFFF"/>
              <w:left w:val="single" w:sz="4" w:space="0" w:color="000000"/>
              <w:bottom w:val="single" w:sz="4" w:space="0" w:color="FFFFFF"/>
              <w:right w:val="single" w:sz="4" w:space="0" w:color="000000"/>
            </w:tcBorders>
          </w:tcPr>
          <w:p>
            <w:pPr/>
          </w:p>
        </w:tc>
        <w:tc>
          <w:tcPr>
            <w:tcW w:w="710" w:type="dxa"/>
            <w:tcBorders>
              <w:top w:val="single" w:sz="4" w:space="0" w:color="FFFFFF"/>
              <w:left w:val="single" w:sz="4" w:space="0" w:color="000000"/>
              <w:bottom w:val="single" w:sz="4" w:space="0" w:color="FFFFFF"/>
              <w:right w:val="single" w:sz="4" w:space="0" w:color="000000"/>
            </w:tcBorders>
          </w:tcPr>
          <w:p>
            <w:pPr/>
          </w:p>
        </w:tc>
      </w:tr>
      <w:tr>
        <w:trPr>
          <w:trHeight w:val="670" w:hRule="exact"/>
        </w:trPr>
        <w:tc>
          <w:tcPr>
            <w:tcW w:w="143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32" w:lineRule="exact" w:before="68"/>
              <w:ind w:left="2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FFFFFF"/>
              <w:left w:val="single" w:sz="13" w:space="0" w:color="D2D2D2"/>
              <w:bottom w:val="single" w:sz="4" w:space="0" w:color="000000"/>
              <w:right w:val="single" w:sz="4" w:space="0" w:color="000000"/>
            </w:tcBorders>
          </w:tcPr>
          <w:p>
            <w:pPr>
              <w:pStyle w:val="TableParagraph"/>
              <w:spacing w:line="200" w:lineRule="exact"/>
              <w:ind w:left="21" w:right="0"/>
              <w:jc w:val="left"/>
              <w:rPr>
                <w:rFonts w:ascii="Times New Roman" w:hAnsi="Times New Roman" w:cs="Times New Roman" w:eastAsia="Times New Roman" w:hint="default"/>
                <w:sz w:val="18"/>
                <w:szCs w:val="18"/>
              </w:rPr>
            </w:pPr>
            <w:r>
              <w:rPr>
                <w:rFonts w:ascii="Times New Roman"/>
                <w:sz w:val="18"/>
              </w:rPr>
              <w:t>809,62</w:t>
            </w:r>
          </w:p>
          <w:p>
            <w:pPr>
              <w:pStyle w:val="TableParagraph"/>
              <w:spacing w:line="205" w:lineRule="exact" w:before="2"/>
              <w:ind w:left="64" w:right="0"/>
              <w:jc w:val="left"/>
              <w:rPr>
                <w:rFonts w:ascii="Times New Roman" w:hAnsi="Times New Roman" w:cs="Times New Roman" w:eastAsia="Times New Roman" w:hint="default"/>
                <w:sz w:val="18"/>
                <w:szCs w:val="18"/>
              </w:rPr>
            </w:pPr>
            <w:r>
              <w:rPr>
                <w:rFonts w:ascii="Times New Roman"/>
                <w:sz w:val="18"/>
              </w:rPr>
              <w:t>8,575.</w:t>
            </w:r>
          </w:p>
          <w:p>
            <w:pPr>
              <w:pStyle w:val="TableParagraph"/>
              <w:spacing w:line="205" w:lineRule="exact"/>
              <w:ind w:left="336" w:right="0"/>
              <w:jc w:val="left"/>
              <w:rPr>
                <w:rFonts w:ascii="Times New Roman" w:hAnsi="Times New Roman" w:cs="Times New Roman" w:eastAsia="Times New Roman" w:hint="default"/>
                <w:sz w:val="18"/>
                <w:szCs w:val="18"/>
              </w:rPr>
            </w:pPr>
            <w:r>
              <w:rPr>
                <w:rFonts w:ascii="Times New Roman"/>
                <w:sz w:val="18"/>
              </w:rPr>
              <w:t>00</w:t>
            </w:r>
          </w:p>
        </w:tc>
        <w:tc>
          <w:tcPr>
            <w:tcW w:w="553" w:type="dxa"/>
            <w:tcBorders>
              <w:top w:val="single" w:sz="4" w:space="0" w:color="FFFFFF"/>
              <w:left w:val="single" w:sz="4" w:space="0" w:color="000000"/>
              <w:bottom w:val="single" w:sz="4" w:space="0" w:color="000000"/>
              <w:right w:val="single" w:sz="4" w:space="0" w:color="000000"/>
            </w:tcBorders>
          </w:tcPr>
          <w:p>
            <w:pPr/>
          </w:p>
        </w:tc>
        <w:tc>
          <w:tcPr>
            <w:tcW w:w="509" w:type="dxa"/>
            <w:tcBorders>
              <w:top w:val="single" w:sz="4" w:space="0" w:color="FFFFFF"/>
              <w:left w:val="single" w:sz="4" w:space="0" w:color="000000"/>
              <w:bottom w:val="single" w:sz="4" w:space="0" w:color="000000"/>
              <w:right w:val="single" w:sz="4" w:space="0" w:color="000000"/>
            </w:tcBorders>
          </w:tcPr>
          <w:p>
            <w:pPr/>
          </w:p>
        </w:tc>
        <w:tc>
          <w:tcPr>
            <w:tcW w:w="343" w:type="dxa"/>
            <w:tcBorders>
              <w:top w:val="single" w:sz="4" w:space="0" w:color="FFFFFF"/>
              <w:left w:val="single" w:sz="4" w:space="0" w:color="000000"/>
              <w:bottom w:val="single" w:sz="4" w:space="0" w:color="000000"/>
              <w:right w:val="single" w:sz="4" w:space="0" w:color="000000"/>
            </w:tcBorders>
          </w:tcPr>
          <w:p>
            <w:pPr/>
          </w:p>
        </w:tc>
        <w:tc>
          <w:tcPr>
            <w:tcW w:w="852" w:type="dxa"/>
            <w:tcBorders>
              <w:top w:val="single" w:sz="4" w:space="0" w:color="FFFFFF"/>
              <w:left w:val="single" w:sz="4" w:space="0" w:color="000000"/>
              <w:bottom w:val="single" w:sz="4" w:space="0" w:color="000000"/>
              <w:right w:val="single" w:sz="4" w:space="0" w:color="000000"/>
            </w:tcBorders>
          </w:tcPr>
          <w:p>
            <w:pPr>
              <w:pStyle w:val="TableParagraph"/>
              <w:spacing w:line="207" w:lineRule="exact" w:before="96"/>
              <w:ind w:left="38" w:right="0"/>
              <w:jc w:val="left"/>
              <w:rPr>
                <w:rFonts w:ascii="Times New Roman" w:hAnsi="Times New Roman" w:cs="Times New Roman" w:eastAsia="Times New Roman" w:hint="default"/>
                <w:sz w:val="18"/>
                <w:szCs w:val="18"/>
              </w:rPr>
            </w:pPr>
            <w:r>
              <w:rPr>
                <w:rFonts w:ascii="Times New Roman"/>
                <w:sz w:val="18"/>
              </w:rPr>
              <w:t>-809,628,5</w:t>
            </w:r>
          </w:p>
          <w:p>
            <w:pPr>
              <w:pStyle w:val="TableParagraph"/>
              <w:spacing w:line="207" w:lineRule="exact"/>
              <w:ind w:left="412" w:right="0"/>
              <w:jc w:val="left"/>
              <w:rPr>
                <w:rFonts w:ascii="Times New Roman" w:hAnsi="Times New Roman" w:cs="Times New Roman" w:eastAsia="Times New Roman" w:hint="default"/>
                <w:sz w:val="18"/>
                <w:szCs w:val="18"/>
              </w:rPr>
            </w:pPr>
            <w:r>
              <w:rPr>
                <w:rFonts w:ascii="Times New Roman"/>
                <w:sz w:val="18"/>
              </w:rPr>
              <w:t>75.00</w:t>
            </w:r>
          </w:p>
        </w:tc>
        <w:tc>
          <w:tcPr>
            <w:tcW w:w="423" w:type="dxa"/>
            <w:tcBorders>
              <w:top w:val="single" w:sz="4" w:space="0" w:color="FFFFFF"/>
              <w:left w:val="single" w:sz="4" w:space="0" w:color="000000"/>
              <w:bottom w:val="single" w:sz="4" w:space="0" w:color="000000"/>
              <w:right w:val="single" w:sz="4" w:space="0" w:color="000000"/>
            </w:tcBorders>
          </w:tcPr>
          <w:p>
            <w:pPr/>
          </w:p>
        </w:tc>
        <w:tc>
          <w:tcPr>
            <w:tcW w:w="710" w:type="dxa"/>
            <w:tcBorders>
              <w:top w:val="single" w:sz="4" w:space="0" w:color="FFFFFF"/>
              <w:left w:val="single" w:sz="4" w:space="0" w:color="000000"/>
              <w:bottom w:val="single" w:sz="4" w:space="0" w:color="000000"/>
              <w:right w:val="single" w:sz="4" w:space="0" w:color="000000"/>
            </w:tcBorders>
          </w:tcPr>
          <w:p>
            <w:pPr/>
          </w:p>
        </w:tc>
        <w:tc>
          <w:tcPr>
            <w:tcW w:w="566" w:type="dxa"/>
            <w:tcBorders>
              <w:top w:val="single" w:sz="4" w:space="0" w:color="FFFFFF"/>
              <w:left w:val="single" w:sz="4" w:space="0" w:color="000000"/>
              <w:bottom w:val="single" w:sz="4" w:space="0" w:color="000000"/>
              <w:right w:val="single" w:sz="4" w:space="0" w:color="000000"/>
            </w:tcBorders>
          </w:tcPr>
          <w:p>
            <w:pPr/>
          </w:p>
        </w:tc>
        <w:tc>
          <w:tcPr>
            <w:tcW w:w="708" w:type="dxa"/>
            <w:tcBorders>
              <w:top w:val="single" w:sz="4" w:space="0" w:color="FFFFFF"/>
              <w:left w:val="single" w:sz="4" w:space="0" w:color="000000"/>
              <w:bottom w:val="single" w:sz="4" w:space="0" w:color="000000"/>
              <w:right w:val="single" w:sz="4" w:space="0" w:color="000000"/>
            </w:tcBorders>
          </w:tcPr>
          <w:p>
            <w:pPr/>
          </w:p>
        </w:tc>
        <w:tc>
          <w:tcPr>
            <w:tcW w:w="709" w:type="dxa"/>
            <w:tcBorders>
              <w:top w:val="single" w:sz="4" w:space="0" w:color="FFFFFF"/>
              <w:left w:val="single" w:sz="4" w:space="0" w:color="000000"/>
              <w:bottom w:val="single" w:sz="4" w:space="0" w:color="000000"/>
              <w:right w:val="single" w:sz="4" w:space="0" w:color="000000"/>
            </w:tcBorders>
          </w:tcPr>
          <w:p>
            <w:pPr/>
          </w:p>
        </w:tc>
        <w:tc>
          <w:tcPr>
            <w:tcW w:w="710" w:type="dxa"/>
            <w:tcBorders>
              <w:top w:val="single" w:sz="4" w:space="0" w:color="FFFFFF"/>
              <w:left w:val="single" w:sz="4" w:space="0" w:color="000000"/>
              <w:bottom w:val="single" w:sz="4" w:space="0" w:color="000000"/>
              <w:right w:val="single" w:sz="4" w:space="0" w:color="000000"/>
            </w:tcBorders>
          </w:tcPr>
          <w:p>
            <w:pPr/>
          </w:p>
        </w:tc>
        <w:tc>
          <w:tcPr>
            <w:tcW w:w="708" w:type="dxa"/>
            <w:tcBorders>
              <w:top w:val="single" w:sz="4" w:space="0" w:color="FFFFFF"/>
              <w:left w:val="single" w:sz="4" w:space="0" w:color="000000"/>
              <w:bottom w:val="single" w:sz="4" w:space="0" w:color="000000"/>
              <w:right w:val="single" w:sz="4" w:space="0" w:color="000000"/>
            </w:tcBorders>
          </w:tcPr>
          <w:p>
            <w:pPr/>
          </w:p>
        </w:tc>
        <w:tc>
          <w:tcPr>
            <w:tcW w:w="710" w:type="dxa"/>
            <w:tcBorders>
              <w:top w:val="single" w:sz="4" w:space="0" w:color="FFFFFF"/>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before="37"/>
              <w:ind w:left="2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13" w:space="0" w:color="D2D2D2"/>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79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9"/>
              <w:ind w:left="2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13" w:space="0" w:color="D2D2D2"/>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33" w:footer="977" w:top="960" w:bottom="116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tbl>
      <w:tblPr>
        <w:tblW w:w="0" w:type="auto"/>
        <w:jc w:val="left"/>
        <w:tblInd w:w="133" w:type="dxa"/>
        <w:tblLayout w:type="fixed"/>
        <w:tblCellMar>
          <w:top w:w="0" w:type="dxa"/>
          <w:left w:w="0" w:type="dxa"/>
          <w:bottom w:w="0" w:type="dxa"/>
          <w:right w:w="0" w:type="dxa"/>
        </w:tblCellMar>
        <w:tblLook w:val="01E0"/>
      </w:tblPr>
      <w:tblGrid>
        <w:gridCol w:w="1436"/>
        <w:gridCol w:w="563"/>
        <w:gridCol w:w="553"/>
        <w:gridCol w:w="509"/>
        <w:gridCol w:w="343"/>
        <w:gridCol w:w="852"/>
        <w:gridCol w:w="423"/>
        <w:gridCol w:w="710"/>
        <w:gridCol w:w="566"/>
        <w:gridCol w:w="708"/>
        <w:gridCol w:w="709"/>
        <w:gridCol w:w="710"/>
        <w:gridCol w:w="708"/>
        <w:gridCol w:w="710"/>
      </w:tblGrid>
      <w:tr>
        <w:trPr>
          <w:trHeight w:val="324"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5" w:right="0"/>
              <w:jc w:val="center"/>
              <w:rPr>
                <w:rFonts w:ascii="Times New Roman" w:hAnsi="Times New Roman" w:cs="Times New Roman" w:eastAsia="Times New Roman" w:hint="default"/>
                <w:sz w:val="18"/>
                <w:szCs w:val="18"/>
              </w:rPr>
            </w:pPr>
            <w:r>
              <w:rPr>
                <w:rFonts w:ascii="Times New Roman"/>
                <w:sz w:val="18"/>
              </w:rPr>
              <w:t>2,428,</w:t>
            </w:r>
          </w:p>
          <w:p>
            <w:pPr>
              <w:pStyle w:val="TableParagraph"/>
              <w:spacing w:line="205" w:lineRule="exact" w:before="2"/>
              <w:ind w:left="11" w:right="0"/>
              <w:jc w:val="center"/>
              <w:rPr>
                <w:rFonts w:ascii="Times New Roman" w:hAnsi="Times New Roman" w:cs="Times New Roman" w:eastAsia="Times New Roman" w:hint="default"/>
                <w:sz w:val="18"/>
                <w:szCs w:val="18"/>
              </w:rPr>
            </w:pPr>
            <w:r>
              <w:rPr>
                <w:rFonts w:ascii="Times New Roman"/>
                <w:sz w:val="18"/>
              </w:rPr>
              <w:t>885,72</w:t>
            </w:r>
          </w:p>
          <w:p>
            <w:pPr>
              <w:pStyle w:val="TableParagraph"/>
              <w:spacing w:line="205" w:lineRule="exact"/>
              <w:ind w:left="191" w:right="0"/>
              <w:jc w:val="center"/>
              <w:rPr>
                <w:rFonts w:ascii="Times New Roman" w:hAnsi="Times New Roman" w:cs="Times New Roman" w:eastAsia="Times New Roman" w:hint="default"/>
                <w:sz w:val="18"/>
                <w:szCs w:val="18"/>
              </w:rPr>
            </w:pPr>
            <w:r>
              <w:rPr>
                <w:rFonts w:ascii="Times New Roman"/>
                <w:sz w:val="18"/>
              </w:rPr>
              <w:t>5.00</w:t>
            </w:r>
          </w:p>
        </w:tc>
        <w:tc>
          <w:tcPr>
            <w:tcW w:w="553"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6"/>
              <w:ind w:left="52" w:right="0"/>
              <w:jc w:val="left"/>
              <w:rPr>
                <w:rFonts w:ascii="Times New Roman" w:hAnsi="Times New Roman" w:cs="Times New Roman" w:eastAsia="Times New Roman" w:hint="default"/>
                <w:sz w:val="18"/>
                <w:szCs w:val="18"/>
              </w:rPr>
            </w:pPr>
            <w:r>
              <w:rPr>
                <w:rFonts w:ascii="Times New Roman"/>
                <w:sz w:val="18"/>
              </w:rPr>
              <w:t>2,298,125,</w:t>
            </w:r>
          </w:p>
          <w:p>
            <w:pPr>
              <w:pStyle w:val="TableParagraph"/>
              <w:spacing w:line="207" w:lineRule="exact"/>
              <w:ind w:left="323" w:right="0"/>
              <w:jc w:val="left"/>
              <w:rPr>
                <w:rFonts w:ascii="Times New Roman" w:hAnsi="Times New Roman" w:cs="Times New Roman" w:eastAsia="Times New Roman" w:hint="default"/>
                <w:sz w:val="18"/>
                <w:szCs w:val="18"/>
              </w:rPr>
            </w:pPr>
            <w:r>
              <w:rPr>
                <w:rFonts w:ascii="Times New Roman"/>
                <w:sz w:val="18"/>
              </w:rPr>
              <w:t>819.56</w:t>
            </w:r>
          </w:p>
        </w:tc>
        <w:tc>
          <w:tcPr>
            <w:tcW w:w="42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6"/>
              <w:ind w:left="54" w:right="0"/>
              <w:jc w:val="center"/>
              <w:rPr>
                <w:rFonts w:ascii="Times New Roman" w:hAnsi="Times New Roman" w:cs="Times New Roman" w:eastAsia="Times New Roman" w:hint="default"/>
                <w:sz w:val="18"/>
                <w:szCs w:val="18"/>
              </w:rPr>
            </w:pPr>
            <w:r>
              <w:rPr>
                <w:rFonts w:ascii="Times New Roman"/>
                <w:sz w:val="18"/>
              </w:rPr>
              <w:t>-92,846,</w:t>
            </w:r>
          </w:p>
          <w:p>
            <w:pPr>
              <w:pStyle w:val="TableParagraph"/>
              <w:spacing w:line="207" w:lineRule="exact"/>
              <w:ind w:left="159" w:right="0"/>
              <w:jc w:val="center"/>
              <w:rPr>
                <w:rFonts w:ascii="Times New Roman" w:hAnsi="Times New Roman" w:cs="Times New Roman" w:eastAsia="Times New Roman" w:hint="default"/>
                <w:sz w:val="18"/>
                <w:szCs w:val="18"/>
              </w:rPr>
            </w:pPr>
            <w:r>
              <w:rPr>
                <w:rFonts w:ascii="Times New Roman"/>
                <w:sz w:val="18"/>
              </w:rPr>
              <w:t>447.41</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6"/>
              <w:ind w:left="20" w:right="0"/>
              <w:jc w:val="center"/>
              <w:rPr>
                <w:rFonts w:ascii="Times New Roman" w:hAnsi="Times New Roman" w:cs="Times New Roman" w:eastAsia="Times New Roman" w:hint="default"/>
                <w:sz w:val="18"/>
                <w:szCs w:val="18"/>
              </w:rPr>
            </w:pPr>
            <w:r>
              <w:rPr>
                <w:rFonts w:ascii="Times New Roman"/>
                <w:sz w:val="18"/>
              </w:rPr>
              <w:t>615,079,</w:t>
            </w:r>
          </w:p>
          <w:p>
            <w:pPr>
              <w:pStyle w:val="TableParagraph"/>
              <w:spacing w:line="207" w:lineRule="exact"/>
              <w:ind w:left="156" w:right="0"/>
              <w:jc w:val="center"/>
              <w:rPr>
                <w:rFonts w:ascii="Times New Roman" w:hAnsi="Times New Roman" w:cs="Times New Roman" w:eastAsia="Times New Roman" w:hint="default"/>
                <w:sz w:val="18"/>
                <w:szCs w:val="18"/>
              </w:rPr>
            </w:pPr>
            <w:r>
              <w:rPr>
                <w:rFonts w:ascii="Times New Roman"/>
                <w:sz w:val="18"/>
              </w:rPr>
              <w:t>483.51</w:t>
            </w: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6"/>
              <w:ind w:left="45" w:right="0"/>
              <w:jc w:val="left"/>
              <w:rPr>
                <w:rFonts w:ascii="Times New Roman" w:hAnsi="Times New Roman" w:cs="Times New Roman" w:eastAsia="Times New Roman" w:hint="default"/>
                <w:sz w:val="18"/>
                <w:szCs w:val="18"/>
              </w:rPr>
            </w:pPr>
            <w:r>
              <w:rPr>
                <w:rFonts w:ascii="Times New Roman"/>
                <w:sz w:val="18"/>
              </w:rPr>
              <w:t>3,641,66</w:t>
            </w:r>
          </w:p>
          <w:p>
            <w:pPr>
              <w:pStyle w:val="TableParagraph"/>
              <w:spacing w:line="207" w:lineRule="exact"/>
              <w:ind w:left="45" w:right="0"/>
              <w:jc w:val="left"/>
              <w:rPr>
                <w:rFonts w:ascii="Times New Roman" w:hAnsi="Times New Roman" w:cs="Times New Roman" w:eastAsia="Times New Roman" w:hint="default"/>
                <w:sz w:val="18"/>
                <w:szCs w:val="18"/>
              </w:rPr>
            </w:pPr>
            <w:r>
              <w:rPr>
                <w:rFonts w:ascii="Times New Roman"/>
                <w:sz w:val="18"/>
              </w:rPr>
              <w:t>4,705.24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6"/>
              <w:ind w:left="20" w:right="0"/>
              <w:jc w:val="center"/>
              <w:rPr>
                <w:rFonts w:ascii="Times New Roman" w:hAnsi="Times New Roman" w:cs="Times New Roman" w:eastAsia="Times New Roman" w:hint="default"/>
                <w:sz w:val="18"/>
                <w:szCs w:val="18"/>
              </w:rPr>
            </w:pPr>
            <w:r>
              <w:rPr>
                <w:rFonts w:ascii="Times New Roman"/>
                <w:sz w:val="18"/>
              </w:rPr>
              <w:t>593,329,</w:t>
            </w:r>
          </w:p>
          <w:p>
            <w:pPr>
              <w:pStyle w:val="TableParagraph"/>
              <w:spacing w:line="207" w:lineRule="exact"/>
              <w:ind w:left="156" w:right="0"/>
              <w:jc w:val="center"/>
              <w:rPr>
                <w:rFonts w:ascii="Times New Roman" w:hAnsi="Times New Roman" w:cs="Times New Roman" w:eastAsia="Times New Roman" w:hint="default"/>
                <w:sz w:val="18"/>
                <w:szCs w:val="18"/>
              </w:rPr>
            </w:pPr>
            <w:r>
              <w:rPr>
                <w:rFonts w:ascii="Times New Roman"/>
                <w:sz w:val="18"/>
              </w:rPr>
              <w:t>839.28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6"/>
              <w:ind w:left="43" w:right="0"/>
              <w:jc w:val="left"/>
              <w:rPr>
                <w:rFonts w:ascii="Times New Roman" w:hAnsi="Times New Roman" w:cs="Times New Roman" w:eastAsia="Times New Roman" w:hint="default"/>
                <w:sz w:val="18"/>
                <w:szCs w:val="18"/>
              </w:rPr>
            </w:pPr>
            <w:r>
              <w:rPr>
                <w:rFonts w:ascii="Times New Roman"/>
                <w:sz w:val="18"/>
              </w:rPr>
              <w:t>9,484,23</w:t>
            </w:r>
          </w:p>
          <w:p>
            <w:pPr>
              <w:pStyle w:val="TableParagraph"/>
              <w:spacing w:line="207" w:lineRule="exact"/>
              <w:ind w:left="43" w:right="0"/>
              <w:jc w:val="left"/>
              <w:rPr>
                <w:rFonts w:ascii="Times New Roman" w:hAnsi="Times New Roman" w:cs="Times New Roman" w:eastAsia="Times New Roman" w:hint="default"/>
                <w:sz w:val="18"/>
                <w:szCs w:val="18"/>
              </w:rPr>
            </w:pPr>
            <w:r>
              <w:rPr>
                <w:rFonts w:ascii="Times New Roman"/>
                <w:sz w:val="18"/>
              </w:rPr>
              <w:t>9,125.18</w:t>
            </w:r>
          </w:p>
        </w:tc>
      </w:tr>
    </w:tbl>
    <w:p>
      <w:pPr>
        <w:spacing w:line="240" w:lineRule="auto" w:before="4"/>
        <w:rPr>
          <w:rFonts w:ascii="Times New Roman" w:hAnsi="Times New Roman" w:cs="Times New Roman" w:eastAsia="Times New Roman" w:hint="default"/>
          <w:sz w:val="19"/>
          <w:szCs w:val="19"/>
        </w:rPr>
      </w:pPr>
    </w:p>
    <w:p>
      <w:pPr>
        <w:pStyle w:val="BodyText"/>
        <w:tabs>
          <w:tab w:pos="3004" w:val="left" w:leader="none"/>
          <w:tab w:pos="6496" w:val="left" w:leader="none"/>
        </w:tabs>
        <w:spacing w:line="240" w:lineRule="auto" w:before="44"/>
        <w:ind w:left="138" w:right="1683"/>
        <w:jc w:val="left"/>
      </w:pPr>
      <w:r>
        <w:rPr>
          <w:spacing w:val="-3"/>
        </w:rPr>
        <w:t>法定代表人：黄跃珍</w:t>
        <w:tab/>
      </w:r>
      <w:r>
        <w:rPr>
          <w:spacing w:val="-2"/>
        </w:rPr>
        <w:t>主管会计工作负责人：蒋春晨</w:t>
        <w:tab/>
      </w:r>
      <w:r>
        <w:rPr>
          <w:spacing w:val="-3"/>
        </w:rPr>
        <w:t>会计机构负责人：惠小绒</w:t>
      </w:r>
    </w:p>
    <w:p>
      <w:pPr>
        <w:spacing w:line="240" w:lineRule="auto" w:before="10"/>
        <w:rPr>
          <w:rFonts w:ascii="宋体" w:hAnsi="宋体" w:cs="宋体" w:eastAsia="宋体" w:hint="default"/>
          <w:sz w:val="22"/>
          <w:szCs w:val="22"/>
        </w:rPr>
      </w:pPr>
    </w:p>
    <w:p>
      <w:pPr>
        <w:pStyle w:val="Heading4"/>
        <w:spacing w:line="240" w:lineRule="auto"/>
        <w:ind w:left="138" w:right="168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5"/>
        <w:rPr>
          <w:rFonts w:ascii="宋体" w:hAnsi="宋体" w:cs="宋体" w:eastAsia="宋体" w:hint="default"/>
          <w:b/>
          <w:bCs/>
          <w:sz w:val="18"/>
          <w:szCs w:val="18"/>
        </w:rPr>
      </w:pPr>
    </w:p>
    <w:p>
      <w:pPr>
        <w:pStyle w:val="BodyText"/>
        <w:spacing w:line="240" w:lineRule="auto" w:before="44"/>
        <w:ind w:left="138" w:right="1683"/>
        <w:jc w:val="left"/>
      </w:pPr>
      <w:r>
        <w:rPr/>
        <w:t>本期金额</w:t>
      </w:r>
    </w:p>
    <w:p>
      <w:pPr>
        <w:pStyle w:val="BodyText"/>
        <w:spacing w:line="240" w:lineRule="auto" w:before="38"/>
        <w:ind w:left="0" w:right="1791"/>
        <w:jc w:val="right"/>
      </w:pPr>
      <w:r>
        <w:rPr/>
        <w:t>单位：元</w:t>
      </w:r>
    </w:p>
    <w:p>
      <w:pPr>
        <w:spacing w:line="240" w:lineRule="auto" w:before="5"/>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1429"/>
        <w:gridCol w:w="692"/>
        <w:gridCol w:w="665"/>
        <w:gridCol w:w="667"/>
        <w:gridCol w:w="506"/>
        <w:gridCol w:w="850"/>
        <w:gridCol w:w="710"/>
        <w:gridCol w:w="850"/>
        <w:gridCol w:w="566"/>
        <w:gridCol w:w="711"/>
        <w:gridCol w:w="708"/>
        <w:gridCol w:w="708"/>
      </w:tblGrid>
      <w:tr>
        <w:trPr>
          <w:trHeight w:val="360" w:hRule="exact"/>
        </w:trPr>
        <w:tc>
          <w:tcPr>
            <w:tcW w:w="1429"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44" w:hRule="exact"/>
        </w:trPr>
        <w:tc>
          <w:tcPr>
            <w:tcW w:w="14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6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83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37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112"/>
              <w:ind w:left="259" w:right="21" w:hanging="236"/>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z w:val="18"/>
                <w:szCs w:val="18"/>
              </w:rPr>
              <w:t> 股</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112"/>
              <w:ind w:left="237" w:right="60"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112"/>
              <w:ind w:left="95" w:right="98"/>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112"/>
              <w:ind w:left="259" w:right="80" w:hanging="181"/>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112"/>
              <w:ind w:left="168" w:right="79"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08" w:lineRule="exact"/>
              <w:ind w:left="76" w:right="0"/>
              <w:jc w:val="left"/>
              <w:rPr>
                <w:rFonts w:ascii="宋体" w:hAnsi="宋体" w:cs="宋体" w:eastAsia="宋体" w:hint="default"/>
                <w:sz w:val="18"/>
                <w:szCs w:val="18"/>
              </w:rPr>
            </w:pPr>
            <w:r>
              <w:rPr>
                <w:rFonts w:ascii="宋体" w:hAnsi="宋体" w:cs="宋体" w:eastAsia="宋体" w:hint="default"/>
                <w:sz w:val="18"/>
                <w:szCs w:val="18"/>
              </w:rPr>
              <w:t>所有者</w:t>
            </w:r>
          </w:p>
          <w:p>
            <w:pPr>
              <w:pStyle w:val="TableParagraph"/>
              <w:spacing w:line="230" w:lineRule="exact" w:before="26"/>
              <w:ind w:left="256" w:right="79" w:hanging="180"/>
              <w:jc w:val="left"/>
              <w:rPr>
                <w:rFonts w:ascii="宋体" w:hAnsi="宋体" w:cs="宋体" w:eastAsia="宋体" w:hint="default"/>
                <w:sz w:val="18"/>
                <w:szCs w:val="18"/>
              </w:rPr>
            </w:pPr>
            <w:r>
              <w:rPr>
                <w:rFonts w:ascii="宋体" w:hAnsi="宋体" w:cs="宋体" w:eastAsia="宋体" w:hint="default"/>
                <w:sz w:val="18"/>
                <w:szCs w:val="18"/>
              </w:rPr>
              <w:t>权益合 计</w:t>
            </w:r>
          </w:p>
        </w:tc>
      </w:tr>
      <w:tr>
        <w:trPr>
          <w:trHeight w:val="93" w:hRule="exact"/>
        </w:trPr>
        <w:tc>
          <w:tcPr>
            <w:tcW w:w="1429" w:type="dxa"/>
            <w:vMerge/>
            <w:tcBorders>
              <w:left w:val="single" w:sz="4" w:space="0" w:color="000000"/>
              <w:bottom w:val="nil" w:sz="6" w:space="0" w:color="auto"/>
              <w:right w:val="single" w:sz="4" w:space="0" w:color="000000"/>
            </w:tcBorders>
            <w:shd w:val="clear" w:color="auto" w:fill="D2D2D2"/>
          </w:tcPr>
          <w:p>
            <w:pPr/>
          </w:p>
        </w:tc>
        <w:tc>
          <w:tcPr>
            <w:tcW w:w="692" w:type="dxa"/>
            <w:vMerge w:val="restart"/>
            <w:tcBorders>
              <w:top w:val="nil" w:sz="6" w:space="0" w:color="auto"/>
              <w:left w:val="single" w:sz="4" w:space="0" w:color="000000"/>
              <w:right w:val="single" w:sz="4" w:space="0" w:color="000000"/>
            </w:tcBorders>
            <w:shd w:val="clear" w:color="auto" w:fill="D2D2D2"/>
          </w:tcPr>
          <w:p>
            <w:pPr>
              <w:pStyle w:val="TableParagraph"/>
              <w:spacing w:line="201" w:lineRule="exact"/>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7" w:type="dxa"/>
            <w:tcBorders>
              <w:top w:val="single" w:sz="4" w:space="0" w:color="000000"/>
              <w:left w:val="single" w:sz="4" w:space="0" w:color="000000"/>
              <w:bottom w:val="nil" w:sz="6" w:space="0" w:color="auto"/>
              <w:right w:val="single" w:sz="4" w:space="0" w:color="000000"/>
            </w:tcBorders>
            <w:shd w:val="clear" w:color="auto" w:fill="D2D2D2"/>
          </w:tcPr>
          <w:p>
            <w:pPr/>
          </w:p>
        </w:tc>
        <w:tc>
          <w:tcPr>
            <w:tcW w:w="50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nil" w:sz="6" w:space="0" w:color="auto"/>
              <w:left w:val="single" w:sz="22" w:space="0" w:color="D2D2D2"/>
              <w:right w:val="single" w:sz="10" w:space="0" w:color="D2D2D2"/>
            </w:tcBorders>
          </w:tcPr>
          <w:p>
            <w:pPr>
              <w:pStyle w:val="TableParagraph"/>
              <w:spacing w:line="201" w:lineRule="exact"/>
              <w:ind w:left="3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资本公积</w:t>
            </w:r>
            <w:r>
              <w:rPr>
                <w:rFonts w:ascii="宋体" w:hAnsi="宋体" w:cs="宋体" w:eastAsia="宋体" w:hint="default"/>
                <w:sz w:val="18"/>
                <w:szCs w:val="18"/>
              </w:rPr>
            </w:r>
          </w:p>
        </w:tc>
        <w:tc>
          <w:tcPr>
            <w:tcW w:w="71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r>
      <w:tr>
        <w:trPr>
          <w:trHeight w:val="179" w:hRule="exact"/>
        </w:trPr>
        <w:tc>
          <w:tcPr>
            <w:tcW w:w="1429" w:type="dxa"/>
            <w:vMerge w:val="restart"/>
            <w:tcBorders>
              <w:top w:val="nil" w:sz="6" w:space="0" w:color="auto"/>
              <w:left w:val="single" w:sz="4" w:space="0" w:color="000000"/>
              <w:right w:val="single" w:sz="4" w:space="0" w:color="000000"/>
            </w:tcBorders>
            <w:shd w:val="clear" w:color="auto" w:fill="D2D2D2"/>
          </w:tcPr>
          <w:p>
            <w:pPr/>
          </w:p>
        </w:tc>
        <w:tc>
          <w:tcPr>
            <w:tcW w:w="69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vMerge/>
            <w:tcBorders>
              <w:left w:val="single" w:sz="22" w:space="0" w:color="D2D2D2"/>
              <w:bottom w:val="nil" w:sz="6" w:space="0" w:color="auto"/>
              <w:right w:val="single" w:sz="10" w:space="0" w:color="D2D2D2"/>
            </w:tcBorders>
          </w:tcPr>
          <w:p>
            <w:pPr/>
          </w:p>
        </w:tc>
        <w:tc>
          <w:tcPr>
            <w:tcW w:w="71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r>
      <w:tr>
        <w:trPr>
          <w:trHeight w:val="115" w:hRule="exact"/>
        </w:trPr>
        <w:tc>
          <w:tcPr>
            <w:tcW w:w="1429" w:type="dxa"/>
            <w:vMerge/>
            <w:tcBorders>
              <w:left w:val="single" w:sz="4" w:space="0" w:color="000000"/>
              <w:right w:val="single" w:sz="4" w:space="0" w:color="000000"/>
            </w:tcBorders>
            <w:shd w:val="clear" w:color="auto" w:fill="D2D2D2"/>
          </w:tcPr>
          <w:p>
            <w:pPr/>
          </w:p>
        </w:tc>
        <w:tc>
          <w:tcPr>
            <w:tcW w:w="692"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506"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711"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r>
      <w:tr>
        <w:trPr>
          <w:trHeight w:val="122" w:hRule="exact"/>
        </w:trPr>
        <w:tc>
          <w:tcPr>
            <w:tcW w:w="1429" w:type="dxa"/>
            <w:vMerge/>
            <w:tcBorders>
              <w:left w:val="single" w:sz="4" w:space="0" w:color="000000"/>
              <w:bottom w:val="single" w:sz="4" w:space="0" w:color="000000"/>
              <w:right w:val="single" w:sz="4" w:space="0" w:color="000000"/>
            </w:tcBorders>
            <w:shd w:val="clear" w:color="auto" w:fill="D2D2D2"/>
          </w:tcPr>
          <w:p>
            <w:pPr/>
          </w:p>
        </w:tc>
        <w:tc>
          <w:tcPr>
            <w:tcW w:w="69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506"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r>
      <w:tr>
        <w:trPr>
          <w:trHeight w:val="504" w:hRule="exact"/>
        </w:trPr>
        <w:tc>
          <w:tcPr>
            <w:tcW w:w="1429" w:type="dxa"/>
            <w:tcBorders>
              <w:top w:val="single" w:sz="40" w:space="0" w:color="D2D2D2"/>
              <w:left w:val="single" w:sz="12" w:space="0" w:color="D2D2D2"/>
              <w:bottom w:val="single" w:sz="36" w:space="0" w:color="D2D2D2"/>
              <w:right w:val="single" w:sz="9" w:space="0" w:color="D2D2D2"/>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7"/>
                <w:sz w:val="18"/>
                <w:szCs w:val="18"/>
                <w:shd w:fill="D2D2D2" w:color="auto" w:val="clear"/>
              </w:rPr>
              <w:t>一、上年期末余额</w:t>
            </w:r>
            <w:r>
              <w:rPr>
                <w:rFonts w:ascii="宋体" w:hAnsi="宋体" w:cs="宋体" w:eastAsia="宋体" w:hint="default"/>
                <w:spacing w:val="-7"/>
                <w:sz w:val="18"/>
                <w:szCs w:val="18"/>
              </w:rPr>
            </w:r>
          </w:p>
        </w:tc>
        <w:tc>
          <w:tcPr>
            <w:tcW w:w="692" w:type="dxa"/>
            <w:tcBorders>
              <w:top w:val="single" w:sz="4" w:space="0" w:color="000000"/>
              <w:left w:val="single" w:sz="9" w:space="0" w:color="D2D2D2"/>
              <w:bottom w:val="single" w:sz="4" w:space="0" w:color="000000"/>
              <w:right w:val="single" w:sz="4" w:space="0" w:color="000000"/>
            </w:tcBorders>
          </w:tcPr>
          <w:p>
            <w:pPr>
              <w:pStyle w:val="TableParagraph"/>
              <w:spacing w:line="207" w:lineRule="exact" w:before="33"/>
              <w:ind w:left="22" w:right="0"/>
              <w:jc w:val="left"/>
              <w:rPr>
                <w:rFonts w:ascii="Times New Roman" w:hAnsi="Times New Roman" w:cs="Times New Roman" w:eastAsia="Times New Roman" w:hint="default"/>
                <w:sz w:val="18"/>
                <w:szCs w:val="18"/>
              </w:rPr>
            </w:pPr>
            <w:r>
              <w:rPr>
                <w:rFonts w:ascii="Times New Roman"/>
                <w:sz w:val="18"/>
              </w:rPr>
              <w:t>2,428,88</w:t>
            </w:r>
          </w:p>
          <w:p>
            <w:pPr>
              <w:pStyle w:val="TableParagraph"/>
              <w:spacing w:line="207" w:lineRule="exact"/>
              <w:ind w:left="22" w:right="0"/>
              <w:jc w:val="left"/>
              <w:rPr>
                <w:rFonts w:ascii="Times New Roman" w:hAnsi="Times New Roman" w:cs="Times New Roman" w:eastAsia="Times New Roman" w:hint="default"/>
                <w:sz w:val="18"/>
                <w:szCs w:val="18"/>
              </w:rPr>
            </w:pPr>
            <w:r>
              <w:rPr>
                <w:rFonts w:ascii="Times New Roman"/>
                <w:sz w:val="18"/>
              </w:rPr>
              <w:t>5,725.00</w:t>
            </w:r>
          </w:p>
        </w:tc>
        <w:tc>
          <w:tcPr>
            <w:tcW w:w="665" w:type="dxa"/>
            <w:tcBorders>
              <w:top w:val="single" w:sz="29" w:space="0" w:color="D2D2D2"/>
              <w:left w:val="single" w:sz="4" w:space="0" w:color="000000"/>
              <w:bottom w:val="single" w:sz="4" w:space="0" w:color="000000"/>
              <w:right w:val="single" w:sz="4" w:space="0" w:color="000000"/>
            </w:tcBorders>
          </w:tcPr>
          <w:p>
            <w:pPr/>
          </w:p>
        </w:tc>
        <w:tc>
          <w:tcPr>
            <w:tcW w:w="667" w:type="dxa"/>
            <w:tcBorders>
              <w:top w:val="single" w:sz="29" w:space="0" w:color="D2D2D2"/>
              <w:left w:val="single" w:sz="4" w:space="0" w:color="000000"/>
              <w:bottom w:val="single" w:sz="4" w:space="0" w:color="000000"/>
              <w:right w:val="single" w:sz="4" w:space="0" w:color="000000"/>
            </w:tcBorders>
          </w:tcPr>
          <w:p>
            <w:pPr/>
          </w:p>
        </w:tc>
        <w:tc>
          <w:tcPr>
            <w:tcW w:w="506" w:type="dxa"/>
            <w:tcBorders>
              <w:top w:val="single" w:sz="29" w:space="0" w:color="D2D2D2"/>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50" w:right="0"/>
              <w:jc w:val="left"/>
              <w:rPr>
                <w:rFonts w:ascii="Times New Roman" w:hAnsi="Times New Roman" w:cs="Times New Roman" w:eastAsia="Times New Roman" w:hint="default"/>
                <w:sz w:val="18"/>
                <w:szCs w:val="18"/>
              </w:rPr>
            </w:pPr>
            <w:r>
              <w:rPr>
                <w:rFonts w:ascii="Times New Roman"/>
                <w:sz w:val="18"/>
              </w:rPr>
              <w:t>2,304,533,</w:t>
            </w:r>
          </w:p>
          <w:p>
            <w:pPr>
              <w:pStyle w:val="TableParagraph"/>
              <w:spacing w:line="207" w:lineRule="exact"/>
              <w:ind w:left="321" w:right="0"/>
              <w:jc w:val="left"/>
              <w:rPr>
                <w:rFonts w:ascii="Times New Roman" w:hAnsi="Times New Roman" w:cs="Times New Roman" w:eastAsia="Times New Roman" w:hint="default"/>
                <w:sz w:val="18"/>
                <w:szCs w:val="18"/>
              </w:rPr>
            </w:pPr>
            <w:r>
              <w:rPr>
                <w:rFonts w:ascii="Times New Roman"/>
                <w:sz w:val="18"/>
              </w:rPr>
              <w:t>814.30</w:t>
            </w:r>
          </w:p>
        </w:tc>
        <w:tc>
          <w:tcPr>
            <w:tcW w:w="710" w:type="dxa"/>
            <w:tcBorders>
              <w:top w:val="single" w:sz="47" w:space="0" w:color="D2D2D2"/>
              <w:left w:val="single" w:sz="4" w:space="0" w:color="000000"/>
              <w:bottom w:val="single" w:sz="4" w:space="0" w:color="000000"/>
              <w:right w:val="single" w:sz="4" w:space="0" w:color="000000"/>
            </w:tcBorders>
          </w:tcPr>
          <w:p>
            <w:pPr/>
          </w:p>
        </w:tc>
        <w:tc>
          <w:tcPr>
            <w:tcW w:w="850" w:type="dxa"/>
            <w:tcBorders>
              <w:top w:val="single" w:sz="47" w:space="0" w:color="D2D2D2"/>
              <w:left w:val="single" w:sz="4" w:space="0" w:color="000000"/>
              <w:bottom w:val="single" w:sz="4" w:space="0" w:color="000000"/>
              <w:right w:val="single" w:sz="4" w:space="0" w:color="000000"/>
            </w:tcBorders>
          </w:tcPr>
          <w:p>
            <w:pPr>
              <w:pStyle w:val="TableParagraph"/>
              <w:spacing w:line="186" w:lineRule="exact"/>
              <w:ind w:left="36" w:right="0"/>
              <w:jc w:val="left"/>
              <w:rPr>
                <w:rFonts w:ascii="Times New Roman" w:hAnsi="Times New Roman" w:cs="Times New Roman" w:eastAsia="Times New Roman" w:hint="default"/>
                <w:sz w:val="18"/>
                <w:szCs w:val="18"/>
              </w:rPr>
            </w:pPr>
            <w:r>
              <w:rPr>
                <w:rFonts w:ascii="Times New Roman"/>
                <w:sz w:val="18"/>
              </w:rPr>
              <w:t>-90,003,75</w:t>
            </w:r>
          </w:p>
          <w:p>
            <w:pPr>
              <w:pStyle w:val="TableParagraph"/>
              <w:spacing w:line="207" w:lineRule="exact"/>
              <w:ind w:left="501" w:right="0"/>
              <w:jc w:val="left"/>
              <w:rPr>
                <w:rFonts w:ascii="Times New Roman" w:hAnsi="Times New Roman" w:cs="Times New Roman" w:eastAsia="Times New Roman" w:hint="default"/>
                <w:sz w:val="18"/>
                <w:szCs w:val="18"/>
              </w:rPr>
            </w:pPr>
            <w:r>
              <w:rPr>
                <w:rFonts w:ascii="Times New Roman"/>
                <w:sz w:val="18"/>
              </w:rPr>
              <w:t>2.37</w:t>
            </w:r>
          </w:p>
        </w:tc>
        <w:tc>
          <w:tcPr>
            <w:tcW w:w="566" w:type="dxa"/>
            <w:tcBorders>
              <w:top w:val="single" w:sz="47" w:space="0" w:color="D2D2D2"/>
              <w:left w:val="single" w:sz="4" w:space="0" w:color="000000"/>
              <w:bottom w:val="single" w:sz="4" w:space="0" w:color="000000"/>
              <w:right w:val="single" w:sz="4" w:space="0" w:color="000000"/>
            </w:tcBorders>
          </w:tcPr>
          <w:p>
            <w:pPr/>
          </w:p>
        </w:tc>
        <w:tc>
          <w:tcPr>
            <w:tcW w:w="711" w:type="dxa"/>
            <w:tcBorders>
              <w:top w:val="single" w:sz="47" w:space="0" w:color="D2D2D2"/>
              <w:left w:val="single" w:sz="4" w:space="0" w:color="000000"/>
              <w:bottom w:val="single" w:sz="4" w:space="0" w:color="000000"/>
              <w:right w:val="single" w:sz="4" w:space="0" w:color="000000"/>
            </w:tcBorders>
          </w:tcPr>
          <w:p>
            <w:pPr>
              <w:pStyle w:val="TableParagraph"/>
              <w:spacing w:line="186" w:lineRule="exact"/>
              <w:ind w:left="21" w:right="0"/>
              <w:jc w:val="center"/>
              <w:rPr>
                <w:rFonts w:ascii="Times New Roman" w:hAnsi="Times New Roman" w:cs="Times New Roman" w:eastAsia="Times New Roman" w:hint="default"/>
                <w:sz w:val="18"/>
                <w:szCs w:val="18"/>
              </w:rPr>
            </w:pPr>
            <w:r>
              <w:rPr>
                <w:rFonts w:ascii="Times New Roman"/>
                <w:sz w:val="18"/>
              </w:rPr>
              <w:t>615,079,</w:t>
            </w:r>
          </w:p>
          <w:p>
            <w:pPr>
              <w:pStyle w:val="TableParagraph"/>
              <w:spacing w:line="207" w:lineRule="exact"/>
              <w:ind w:left="159" w:right="0"/>
              <w:jc w:val="center"/>
              <w:rPr>
                <w:rFonts w:ascii="Times New Roman" w:hAnsi="Times New Roman" w:cs="Times New Roman" w:eastAsia="Times New Roman" w:hint="default"/>
                <w:sz w:val="18"/>
                <w:szCs w:val="18"/>
              </w:rPr>
            </w:pPr>
            <w:r>
              <w:rPr>
                <w:rFonts w:ascii="Times New Roman"/>
                <w:sz w:val="18"/>
              </w:rPr>
              <w:t>483.51</w:t>
            </w:r>
          </w:p>
        </w:tc>
        <w:tc>
          <w:tcPr>
            <w:tcW w:w="708" w:type="dxa"/>
            <w:tcBorders>
              <w:top w:val="single" w:sz="47" w:space="0" w:color="D2D2D2"/>
              <w:left w:val="single" w:sz="4" w:space="0" w:color="000000"/>
              <w:bottom w:val="single" w:sz="4" w:space="0" w:color="000000"/>
              <w:right w:val="single" w:sz="4" w:space="0" w:color="000000"/>
            </w:tcBorders>
          </w:tcPr>
          <w:p>
            <w:pPr>
              <w:pStyle w:val="TableParagraph"/>
              <w:spacing w:line="186" w:lineRule="exact"/>
              <w:ind w:left="43" w:right="0"/>
              <w:jc w:val="left"/>
              <w:rPr>
                <w:rFonts w:ascii="Times New Roman" w:hAnsi="Times New Roman" w:cs="Times New Roman" w:eastAsia="Times New Roman" w:hint="default"/>
                <w:sz w:val="18"/>
                <w:szCs w:val="18"/>
              </w:rPr>
            </w:pPr>
            <w:r>
              <w:rPr>
                <w:rFonts w:ascii="Times New Roman"/>
                <w:sz w:val="18"/>
              </w:rPr>
              <w:t>2,980,70</w:t>
            </w:r>
          </w:p>
          <w:p>
            <w:pPr>
              <w:pStyle w:val="TableParagraph"/>
              <w:spacing w:line="207" w:lineRule="exact"/>
              <w:ind w:left="43" w:right="0"/>
              <w:jc w:val="left"/>
              <w:rPr>
                <w:rFonts w:ascii="Times New Roman" w:hAnsi="Times New Roman" w:cs="Times New Roman" w:eastAsia="Times New Roman" w:hint="default"/>
                <w:sz w:val="18"/>
                <w:szCs w:val="18"/>
              </w:rPr>
            </w:pPr>
            <w:r>
              <w:rPr>
                <w:rFonts w:ascii="Times New Roman"/>
                <w:sz w:val="18"/>
              </w:rPr>
              <w:t>2,629.01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43" w:right="0"/>
              <w:jc w:val="left"/>
              <w:rPr>
                <w:rFonts w:ascii="Times New Roman" w:hAnsi="Times New Roman" w:cs="Times New Roman" w:eastAsia="Times New Roman" w:hint="default"/>
                <w:sz w:val="18"/>
                <w:szCs w:val="18"/>
              </w:rPr>
            </w:pPr>
            <w:r>
              <w:rPr>
                <w:rFonts w:ascii="Times New Roman"/>
                <w:sz w:val="18"/>
              </w:rPr>
              <w:t>8,239,19</w:t>
            </w:r>
          </w:p>
          <w:p>
            <w:pPr>
              <w:pStyle w:val="TableParagraph"/>
              <w:spacing w:line="207" w:lineRule="exact"/>
              <w:ind w:left="43" w:right="0"/>
              <w:jc w:val="left"/>
              <w:rPr>
                <w:rFonts w:ascii="Times New Roman" w:hAnsi="Times New Roman" w:cs="Times New Roman" w:eastAsia="Times New Roman" w:hint="default"/>
                <w:sz w:val="18"/>
                <w:szCs w:val="18"/>
              </w:rPr>
            </w:pPr>
            <w:r>
              <w:rPr>
                <w:rFonts w:ascii="Times New Roman"/>
                <w:sz w:val="18"/>
              </w:rPr>
              <w:t>7,899.45</w:t>
            </w:r>
          </w:p>
        </w:tc>
      </w:tr>
      <w:tr>
        <w:trPr>
          <w:trHeight w:val="557" w:hRule="exact"/>
        </w:trPr>
        <w:tc>
          <w:tcPr>
            <w:tcW w:w="1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0" w:right="22" w:firstLine="359"/>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2" w:type="dxa"/>
            <w:tcBorders>
              <w:top w:val="single" w:sz="4" w:space="0" w:color="000000"/>
              <w:left w:val="single" w:sz="9"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left="730"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34" w:lineRule="exact"/>
              <w:ind w:left="10"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2" w:type="dxa"/>
            <w:tcBorders>
              <w:top w:val="single" w:sz="4" w:space="0" w:color="000000"/>
              <w:left w:val="single" w:sz="9"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2" w:type="dxa"/>
            <w:tcBorders>
              <w:top w:val="single" w:sz="4" w:space="0" w:color="000000"/>
              <w:left w:val="single" w:sz="9"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429" w:type="dxa"/>
            <w:tcBorders>
              <w:top w:val="single" w:sz="40" w:space="0" w:color="D2D2D2"/>
              <w:left w:val="single" w:sz="12" w:space="0" w:color="D2D2D2"/>
              <w:bottom w:val="single" w:sz="36" w:space="0" w:color="D2D2D2"/>
              <w:right w:val="single" w:sz="9" w:space="0" w:color="D2D2D2"/>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7"/>
                <w:sz w:val="18"/>
                <w:szCs w:val="18"/>
                <w:shd w:fill="D2D2D2" w:color="auto" w:val="clear"/>
              </w:rPr>
              <w:t>二、本年期初余额</w:t>
            </w:r>
            <w:r>
              <w:rPr>
                <w:rFonts w:ascii="宋体" w:hAnsi="宋体" w:cs="宋体" w:eastAsia="宋体" w:hint="default"/>
                <w:spacing w:val="-7"/>
                <w:sz w:val="18"/>
                <w:szCs w:val="18"/>
              </w:rPr>
            </w:r>
          </w:p>
        </w:tc>
        <w:tc>
          <w:tcPr>
            <w:tcW w:w="692" w:type="dxa"/>
            <w:tcBorders>
              <w:top w:val="single" w:sz="4" w:space="0" w:color="000000"/>
              <w:left w:val="single" w:sz="9" w:space="0" w:color="D2D2D2"/>
              <w:bottom w:val="single" w:sz="4" w:space="0" w:color="000000"/>
              <w:right w:val="single" w:sz="4" w:space="0" w:color="000000"/>
            </w:tcBorders>
          </w:tcPr>
          <w:p>
            <w:pPr>
              <w:pStyle w:val="TableParagraph"/>
              <w:spacing w:line="207" w:lineRule="exact" w:before="33"/>
              <w:ind w:left="22" w:right="0"/>
              <w:jc w:val="left"/>
              <w:rPr>
                <w:rFonts w:ascii="Times New Roman" w:hAnsi="Times New Roman" w:cs="Times New Roman" w:eastAsia="Times New Roman" w:hint="default"/>
                <w:sz w:val="18"/>
                <w:szCs w:val="18"/>
              </w:rPr>
            </w:pPr>
            <w:r>
              <w:rPr>
                <w:rFonts w:ascii="Times New Roman"/>
                <w:sz w:val="18"/>
              </w:rPr>
              <w:t>2,428,88</w:t>
            </w:r>
          </w:p>
          <w:p>
            <w:pPr>
              <w:pStyle w:val="TableParagraph"/>
              <w:spacing w:line="207" w:lineRule="exact"/>
              <w:ind w:left="22" w:right="0"/>
              <w:jc w:val="left"/>
              <w:rPr>
                <w:rFonts w:ascii="Times New Roman" w:hAnsi="Times New Roman" w:cs="Times New Roman" w:eastAsia="Times New Roman" w:hint="default"/>
                <w:sz w:val="18"/>
                <w:szCs w:val="18"/>
              </w:rPr>
            </w:pPr>
            <w:r>
              <w:rPr>
                <w:rFonts w:ascii="Times New Roman"/>
                <w:sz w:val="18"/>
              </w:rPr>
              <w:t>5,725.00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50" w:right="0"/>
              <w:jc w:val="left"/>
              <w:rPr>
                <w:rFonts w:ascii="Times New Roman" w:hAnsi="Times New Roman" w:cs="Times New Roman" w:eastAsia="Times New Roman" w:hint="default"/>
                <w:sz w:val="18"/>
                <w:szCs w:val="18"/>
              </w:rPr>
            </w:pPr>
            <w:r>
              <w:rPr>
                <w:rFonts w:ascii="Times New Roman"/>
                <w:sz w:val="18"/>
              </w:rPr>
              <w:t>2,304,533,</w:t>
            </w:r>
          </w:p>
          <w:p>
            <w:pPr>
              <w:pStyle w:val="TableParagraph"/>
              <w:spacing w:line="207" w:lineRule="exact"/>
              <w:ind w:left="321" w:right="0"/>
              <w:jc w:val="left"/>
              <w:rPr>
                <w:rFonts w:ascii="Times New Roman" w:hAnsi="Times New Roman" w:cs="Times New Roman" w:eastAsia="Times New Roman" w:hint="default"/>
                <w:sz w:val="18"/>
                <w:szCs w:val="18"/>
              </w:rPr>
            </w:pPr>
            <w:r>
              <w:rPr>
                <w:rFonts w:ascii="Times New Roman"/>
                <w:sz w:val="18"/>
              </w:rPr>
              <w:t>814.30</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36" w:right="0"/>
              <w:jc w:val="left"/>
              <w:rPr>
                <w:rFonts w:ascii="Times New Roman" w:hAnsi="Times New Roman" w:cs="Times New Roman" w:eastAsia="Times New Roman" w:hint="default"/>
                <w:sz w:val="18"/>
                <w:szCs w:val="18"/>
              </w:rPr>
            </w:pPr>
            <w:r>
              <w:rPr>
                <w:rFonts w:ascii="Times New Roman"/>
                <w:sz w:val="18"/>
              </w:rPr>
              <w:t>-90,003,75</w:t>
            </w:r>
          </w:p>
          <w:p>
            <w:pPr>
              <w:pStyle w:val="TableParagraph"/>
              <w:spacing w:line="207" w:lineRule="exact"/>
              <w:ind w:left="501" w:right="0"/>
              <w:jc w:val="left"/>
              <w:rPr>
                <w:rFonts w:ascii="Times New Roman" w:hAnsi="Times New Roman" w:cs="Times New Roman" w:eastAsia="Times New Roman" w:hint="default"/>
                <w:sz w:val="18"/>
                <w:szCs w:val="18"/>
              </w:rPr>
            </w:pPr>
            <w:r>
              <w:rPr>
                <w:rFonts w:ascii="Times New Roman"/>
                <w:sz w:val="18"/>
              </w:rPr>
              <w:t>2.37</w:t>
            </w: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21" w:right="0"/>
              <w:jc w:val="center"/>
              <w:rPr>
                <w:rFonts w:ascii="Times New Roman" w:hAnsi="Times New Roman" w:cs="Times New Roman" w:eastAsia="Times New Roman" w:hint="default"/>
                <w:sz w:val="18"/>
                <w:szCs w:val="18"/>
              </w:rPr>
            </w:pPr>
            <w:r>
              <w:rPr>
                <w:rFonts w:ascii="Times New Roman"/>
                <w:sz w:val="18"/>
              </w:rPr>
              <w:t>615,079,</w:t>
            </w:r>
          </w:p>
          <w:p>
            <w:pPr>
              <w:pStyle w:val="TableParagraph"/>
              <w:spacing w:line="207" w:lineRule="exact"/>
              <w:ind w:left="159" w:right="0"/>
              <w:jc w:val="center"/>
              <w:rPr>
                <w:rFonts w:ascii="Times New Roman" w:hAnsi="Times New Roman" w:cs="Times New Roman" w:eastAsia="Times New Roman" w:hint="default"/>
                <w:sz w:val="18"/>
                <w:szCs w:val="18"/>
              </w:rPr>
            </w:pPr>
            <w:r>
              <w:rPr>
                <w:rFonts w:ascii="Times New Roman"/>
                <w:sz w:val="18"/>
              </w:rPr>
              <w:t>483.51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43" w:right="0"/>
              <w:jc w:val="left"/>
              <w:rPr>
                <w:rFonts w:ascii="Times New Roman" w:hAnsi="Times New Roman" w:cs="Times New Roman" w:eastAsia="Times New Roman" w:hint="default"/>
                <w:sz w:val="18"/>
                <w:szCs w:val="18"/>
              </w:rPr>
            </w:pPr>
            <w:r>
              <w:rPr>
                <w:rFonts w:ascii="Times New Roman"/>
                <w:sz w:val="18"/>
              </w:rPr>
              <w:t>2,980,70</w:t>
            </w:r>
          </w:p>
          <w:p>
            <w:pPr>
              <w:pStyle w:val="TableParagraph"/>
              <w:spacing w:line="207" w:lineRule="exact"/>
              <w:ind w:left="43" w:right="0"/>
              <w:jc w:val="left"/>
              <w:rPr>
                <w:rFonts w:ascii="Times New Roman" w:hAnsi="Times New Roman" w:cs="Times New Roman" w:eastAsia="Times New Roman" w:hint="default"/>
                <w:sz w:val="18"/>
                <w:szCs w:val="18"/>
              </w:rPr>
            </w:pPr>
            <w:r>
              <w:rPr>
                <w:rFonts w:ascii="Times New Roman"/>
                <w:sz w:val="18"/>
              </w:rPr>
              <w:t>2,629.01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43" w:right="0"/>
              <w:jc w:val="left"/>
              <w:rPr>
                <w:rFonts w:ascii="Times New Roman" w:hAnsi="Times New Roman" w:cs="Times New Roman" w:eastAsia="Times New Roman" w:hint="default"/>
                <w:sz w:val="18"/>
                <w:szCs w:val="18"/>
              </w:rPr>
            </w:pPr>
            <w:r>
              <w:rPr>
                <w:rFonts w:ascii="Times New Roman"/>
                <w:sz w:val="18"/>
              </w:rPr>
              <w:t>8,239,19</w:t>
            </w:r>
          </w:p>
          <w:p>
            <w:pPr>
              <w:pStyle w:val="TableParagraph"/>
              <w:spacing w:line="207" w:lineRule="exact"/>
              <w:ind w:left="43" w:right="0"/>
              <w:jc w:val="left"/>
              <w:rPr>
                <w:rFonts w:ascii="Times New Roman" w:hAnsi="Times New Roman" w:cs="Times New Roman" w:eastAsia="Times New Roman" w:hint="default"/>
                <w:sz w:val="18"/>
                <w:szCs w:val="18"/>
              </w:rPr>
            </w:pPr>
            <w:r>
              <w:rPr>
                <w:rFonts w:ascii="Times New Roman"/>
                <w:sz w:val="18"/>
              </w:rPr>
              <w:t>7,899.45</w:t>
            </w:r>
          </w:p>
        </w:tc>
      </w:tr>
      <w:tr>
        <w:trPr>
          <w:trHeight w:val="790" w:hRule="exact"/>
        </w:trPr>
        <w:tc>
          <w:tcPr>
            <w:tcW w:w="1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6"/>
              <w:ind w:left="10"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2" w:type="dxa"/>
            <w:tcBorders>
              <w:top w:val="single" w:sz="4" w:space="0" w:color="000000"/>
              <w:left w:val="single" w:sz="9"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5" w:lineRule="exact"/>
              <w:ind w:left="22" w:right="0"/>
              <w:jc w:val="center"/>
              <w:rPr>
                <w:rFonts w:ascii="Times New Roman" w:hAnsi="Times New Roman" w:cs="Times New Roman" w:eastAsia="Times New Roman" w:hint="default"/>
                <w:sz w:val="18"/>
                <w:szCs w:val="18"/>
              </w:rPr>
            </w:pPr>
            <w:r>
              <w:rPr>
                <w:rFonts w:ascii="Times New Roman"/>
                <w:sz w:val="18"/>
              </w:rPr>
              <w:t>113,006,</w:t>
            </w:r>
          </w:p>
          <w:p>
            <w:pPr>
              <w:pStyle w:val="TableParagraph"/>
              <w:spacing w:line="205" w:lineRule="exact"/>
              <w:ind w:left="158" w:right="0"/>
              <w:jc w:val="center"/>
              <w:rPr>
                <w:rFonts w:ascii="Times New Roman" w:hAnsi="Times New Roman" w:cs="Times New Roman" w:eastAsia="Times New Roman" w:hint="default"/>
                <w:sz w:val="18"/>
                <w:szCs w:val="18"/>
              </w:rPr>
            </w:pPr>
            <w:r>
              <w:rPr>
                <w:rFonts w:ascii="Times New Roman"/>
                <w:sz w:val="18"/>
              </w:rPr>
              <w:t>514.72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5" w:lineRule="exact"/>
              <w:ind w:left="36" w:right="0"/>
              <w:jc w:val="left"/>
              <w:rPr>
                <w:rFonts w:ascii="Times New Roman" w:hAnsi="Times New Roman" w:cs="Times New Roman" w:eastAsia="Times New Roman" w:hint="default"/>
                <w:sz w:val="18"/>
                <w:szCs w:val="18"/>
              </w:rPr>
            </w:pPr>
            <w:r>
              <w:rPr>
                <w:rFonts w:ascii="Times New Roman"/>
                <w:sz w:val="18"/>
              </w:rPr>
              <w:t>-275,396,6</w:t>
            </w:r>
          </w:p>
          <w:p>
            <w:pPr>
              <w:pStyle w:val="TableParagraph"/>
              <w:spacing w:line="205" w:lineRule="exact"/>
              <w:ind w:left="410" w:right="0"/>
              <w:jc w:val="left"/>
              <w:rPr>
                <w:rFonts w:ascii="Times New Roman" w:hAnsi="Times New Roman" w:cs="Times New Roman" w:eastAsia="Times New Roman" w:hint="default"/>
                <w:sz w:val="18"/>
                <w:szCs w:val="18"/>
              </w:rPr>
            </w:pPr>
            <w:r>
              <w:rPr>
                <w:rFonts w:ascii="Times New Roman"/>
                <w:sz w:val="18"/>
              </w:rPr>
              <w:t>85.99</w:t>
            </w: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5" w:lineRule="exact"/>
              <w:ind w:left="45" w:right="0"/>
              <w:jc w:val="left"/>
              <w:rPr>
                <w:rFonts w:ascii="Times New Roman" w:hAnsi="Times New Roman" w:cs="Times New Roman" w:eastAsia="Times New Roman" w:hint="default"/>
                <w:sz w:val="18"/>
                <w:szCs w:val="18"/>
              </w:rPr>
            </w:pPr>
            <w:r>
              <w:rPr>
                <w:rFonts w:ascii="Times New Roman"/>
                <w:sz w:val="18"/>
              </w:rPr>
              <w:t>13,514,0</w:t>
            </w:r>
          </w:p>
          <w:p>
            <w:pPr>
              <w:pStyle w:val="TableParagraph"/>
              <w:spacing w:line="205" w:lineRule="exact"/>
              <w:ind w:left="271" w:right="0"/>
              <w:jc w:val="left"/>
              <w:rPr>
                <w:rFonts w:ascii="Times New Roman" w:hAnsi="Times New Roman" w:cs="Times New Roman" w:eastAsia="Times New Roman" w:hint="default"/>
                <w:sz w:val="18"/>
                <w:szCs w:val="18"/>
              </w:rPr>
            </w:pPr>
            <w:r>
              <w:rPr>
                <w:rFonts w:ascii="Times New Roman"/>
                <w:sz w:val="18"/>
              </w:rPr>
              <w:t>99.90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5" w:lineRule="exact"/>
              <w:ind w:left="5" w:right="0"/>
              <w:jc w:val="center"/>
              <w:rPr>
                <w:rFonts w:ascii="Times New Roman" w:hAnsi="Times New Roman" w:cs="Times New Roman" w:eastAsia="Times New Roman" w:hint="default"/>
                <w:sz w:val="18"/>
                <w:szCs w:val="18"/>
              </w:rPr>
            </w:pPr>
            <w:r>
              <w:rPr>
                <w:rFonts w:ascii="Times New Roman"/>
                <w:sz w:val="18"/>
              </w:rPr>
              <w:t>-364,150</w:t>
            </w:r>
          </w:p>
          <w:p>
            <w:pPr>
              <w:pStyle w:val="TableParagraph"/>
              <w:spacing w:line="205" w:lineRule="exact"/>
              <w:ind w:left="110" w:right="0"/>
              <w:jc w:val="center"/>
              <w:rPr>
                <w:rFonts w:ascii="Times New Roman" w:hAnsi="Times New Roman" w:cs="Times New Roman" w:eastAsia="Times New Roman" w:hint="default"/>
                <w:sz w:val="18"/>
                <w:szCs w:val="18"/>
              </w:rPr>
            </w:pPr>
            <w:r>
              <w:rPr>
                <w:rFonts w:ascii="Times New Roman"/>
                <w:sz w:val="18"/>
              </w:rPr>
              <w:t>,245.94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5" w:lineRule="exact"/>
              <w:ind w:left="5" w:right="0"/>
              <w:jc w:val="center"/>
              <w:rPr>
                <w:rFonts w:ascii="Times New Roman" w:hAnsi="Times New Roman" w:cs="Times New Roman" w:eastAsia="Times New Roman" w:hint="default"/>
                <w:sz w:val="18"/>
                <w:szCs w:val="18"/>
              </w:rPr>
            </w:pPr>
            <w:r>
              <w:rPr>
                <w:rFonts w:ascii="Times New Roman"/>
                <w:sz w:val="18"/>
              </w:rPr>
              <w:t>-739,039</w:t>
            </w:r>
          </w:p>
          <w:p>
            <w:pPr>
              <w:pStyle w:val="TableParagraph"/>
              <w:spacing w:line="205" w:lineRule="exact"/>
              <w:ind w:left="110" w:right="0"/>
              <w:jc w:val="center"/>
              <w:rPr>
                <w:rFonts w:ascii="Times New Roman" w:hAnsi="Times New Roman" w:cs="Times New Roman" w:eastAsia="Times New Roman" w:hint="default"/>
                <w:sz w:val="18"/>
                <w:szCs w:val="18"/>
              </w:rPr>
            </w:pPr>
            <w:r>
              <w:rPr>
                <w:rFonts w:ascii="Times New Roman"/>
                <w:sz w:val="18"/>
              </w:rPr>
              <w:t>,346.75</w:t>
            </w:r>
          </w:p>
        </w:tc>
      </w:tr>
      <w:tr>
        <w:trPr>
          <w:trHeight w:val="557" w:hRule="exact"/>
        </w:trPr>
        <w:tc>
          <w:tcPr>
            <w:tcW w:w="1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0" w:right="21"/>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2" w:type="dxa"/>
            <w:tcBorders>
              <w:top w:val="single" w:sz="4" w:space="0" w:color="000000"/>
              <w:left w:val="single" w:sz="9"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36" w:right="0"/>
              <w:jc w:val="left"/>
              <w:rPr>
                <w:rFonts w:ascii="Times New Roman" w:hAnsi="Times New Roman" w:cs="Times New Roman" w:eastAsia="Times New Roman" w:hint="default"/>
                <w:sz w:val="18"/>
                <w:szCs w:val="18"/>
              </w:rPr>
            </w:pPr>
            <w:r>
              <w:rPr>
                <w:rFonts w:ascii="Times New Roman"/>
                <w:sz w:val="18"/>
              </w:rPr>
              <w:t>-275,396,6</w:t>
            </w:r>
          </w:p>
          <w:p>
            <w:pPr>
              <w:pStyle w:val="TableParagraph"/>
              <w:spacing w:line="207" w:lineRule="exact"/>
              <w:ind w:left="410" w:right="0"/>
              <w:jc w:val="left"/>
              <w:rPr>
                <w:rFonts w:ascii="Times New Roman" w:hAnsi="Times New Roman" w:cs="Times New Roman" w:eastAsia="Times New Roman" w:hint="default"/>
                <w:sz w:val="18"/>
                <w:szCs w:val="18"/>
              </w:rPr>
            </w:pPr>
            <w:r>
              <w:rPr>
                <w:rFonts w:ascii="Times New Roman"/>
                <w:sz w:val="18"/>
              </w:rPr>
              <w:t>85.99</w:t>
            </w: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20" w:right="0"/>
              <w:jc w:val="center"/>
              <w:rPr>
                <w:rFonts w:ascii="Times New Roman" w:hAnsi="Times New Roman" w:cs="Times New Roman" w:eastAsia="Times New Roman" w:hint="default"/>
                <w:sz w:val="18"/>
                <w:szCs w:val="18"/>
              </w:rPr>
            </w:pPr>
            <w:r>
              <w:rPr>
                <w:rFonts w:ascii="Times New Roman"/>
                <w:sz w:val="18"/>
              </w:rPr>
              <w:t>135,140,</w:t>
            </w:r>
          </w:p>
          <w:p>
            <w:pPr>
              <w:pStyle w:val="TableParagraph"/>
              <w:spacing w:line="207" w:lineRule="exact"/>
              <w:ind w:left="156" w:right="0"/>
              <w:jc w:val="center"/>
              <w:rPr>
                <w:rFonts w:ascii="Times New Roman" w:hAnsi="Times New Roman" w:cs="Times New Roman" w:eastAsia="Times New Roman" w:hint="default"/>
                <w:sz w:val="18"/>
                <w:szCs w:val="18"/>
              </w:rPr>
            </w:pPr>
            <w:r>
              <w:rPr>
                <w:rFonts w:ascii="Times New Roman"/>
                <w:sz w:val="18"/>
              </w:rPr>
              <w:t>998.96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5" w:right="0"/>
              <w:jc w:val="center"/>
              <w:rPr>
                <w:rFonts w:ascii="Times New Roman" w:hAnsi="Times New Roman" w:cs="Times New Roman" w:eastAsia="Times New Roman" w:hint="default"/>
                <w:sz w:val="18"/>
                <w:szCs w:val="18"/>
              </w:rPr>
            </w:pPr>
            <w:r>
              <w:rPr>
                <w:rFonts w:ascii="Times New Roman"/>
                <w:sz w:val="18"/>
              </w:rPr>
              <w:t>-140,255</w:t>
            </w:r>
          </w:p>
          <w:p>
            <w:pPr>
              <w:pStyle w:val="TableParagraph"/>
              <w:spacing w:line="207" w:lineRule="exact"/>
              <w:ind w:left="110" w:right="0"/>
              <w:jc w:val="center"/>
              <w:rPr>
                <w:rFonts w:ascii="Times New Roman" w:hAnsi="Times New Roman" w:cs="Times New Roman" w:eastAsia="Times New Roman" w:hint="default"/>
                <w:sz w:val="18"/>
                <w:szCs w:val="18"/>
              </w:rPr>
            </w:pPr>
            <w:r>
              <w:rPr>
                <w:rFonts w:ascii="Times New Roman"/>
                <w:sz w:val="18"/>
              </w:rPr>
              <w:t>,687.03</w:t>
            </w:r>
          </w:p>
        </w:tc>
      </w:tr>
      <w:tr>
        <w:trPr>
          <w:trHeight w:val="557" w:hRule="exact"/>
        </w:trPr>
        <w:tc>
          <w:tcPr>
            <w:tcW w:w="1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0" w:right="21"/>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2" w:type="dxa"/>
            <w:tcBorders>
              <w:top w:val="single" w:sz="4" w:space="0" w:color="000000"/>
              <w:left w:val="single" w:sz="9"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22" w:right="0"/>
              <w:jc w:val="center"/>
              <w:rPr>
                <w:rFonts w:ascii="Times New Roman" w:hAnsi="Times New Roman" w:cs="Times New Roman" w:eastAsia="Times New Roman" w:hint="default"/>
                <w:sz w:val="18"/>
                <w:szCs w:val="18"/>
              </w:rPr>
            </w:pPr>
            <w:r>
              <w:rPr>
                <w:rFonts w:ascii="Times New Roman"/>
                <w:sz w:val="18"/>
              </w:rPr>
              <w:t>113,006,</w:t>
            </w:r>
          </w:p>
          <w:p>
            <w:pPr>
              <w:pStyle w:val="TableParagraph"/>
              <w:spacing w:line="207" w:lineRule="exact"/>
              <w:ind w:left="158" w:right="0"/>
              <w:jc w:val="center"/>
              <w:rPr>
                <w:rFonts w:ascii="Times New Roman" w:hAnsi="Times New Roman" w:cs="Times New Roman" w:eastAsia="Times New Roman" w:hint="default"/>
                <w:sz w:val="18"/>
                <w:szCs w:val="18"/>
              </w:rPr>
            </w:pPr>
            <w:r>
              <w:rPr>
                <w:rFonts w:ascii="Times New Roman"/>
                <w:sz w:val="18"/>
              </w:rPr>
              <w:t>514.72</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5" w:right="0"/>
              <w:jc w:val="center"/>
              <w:rPr>
                <w:rFonts w:ascii="Times New Roman" w:hAnsi="Times New Roman" w:cs="Times New Roman" w:eastAsia="Times New Roman" w:hint="default"/>
                <w:sz w:val="18"/>
                <w:szCs w:val="18"/>
              </w:rPr>
            </w:pPr>
            <w:r>
              <w:rPr>
                <w:rFonts w:ascii="Times New Roman"/>
                <w:sz w:val="18"/>
              </w:rPr>
              <w:t>-113,006</w:t>
            </w:r>
          </w:p>
          <w:p>
            <w:pPr>
              <w:pStyle w:val="TableParagraph"/>
              <w:spacing w:line="207" w:lineRule="exact"/>
              <w:ind w:left="110" w:right="0"/>
              <w:jc w:val="center"/>
              <w:rPr>
                <w:rFonts w:ascii="Times New Roman" w:hAnsi="Times New Roman" w:cs="Times New Roman" w:eastAsia="Times New Roman" w:hint="default"/>
                <w:sz w:val="18"/>
                <w:szCs w:val="18"/>
              </w:rPr>
            </w:pPr>
            <w:r>
              <w:rPr>
                <w:rFonts w:ascii="Times New Roman"/>
                <w:sz w:val="18"/>
              </w:rPr>
              <w:t>,514.72</w:t>
            </w:r>
          </w:p>
        </w:tc>
      </w:tr>
      <w:tr>
        <w:trPr>
          <w:trHeight w:val="557" w:hRule="exact"/>
        </w:trPr>
        <w:tc>
          <w:tcPr>
            <w:tcW w:w="1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0"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2" w:type="dxa"/>
            <w:tcBorders>
              <w:top w:val="single" w:sz="4" w:space="0" w:color="000000"/>
              <w:left w:val="single" w:sz="9"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0"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2" w:type="dxa"/>
            <w:tcBorders>
              <w:top w:val="single" w:sz="4" w:space="0" w:color="000000"/>
              <w:left w:val="single" w:sz="9"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auto" w:before="14"/>
              <w:ind w:left="10"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2" w:type="dxa"/>
            <w:tcBorders>
              <w:top w:val="single" w:sz="4" w:space="0" w:color="000000"/>
              <w:left w:val="single" w:sz="9"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96" w:hRule="exact"/>
        </w:trPr>
        <w:tc>
          <w:tcPr>
            <w:tcW w:w="14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92" w:type="dxa"/>
            <w:vMerge w:val="restart"/>
            <w:tcBorders>
              <w:top w:val="single" w:sz="4" w:space="0" w:color="000000"/>
              <w:left w:val="single" w:sz="9"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506"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Style w:val="TableParagraph"/>
              <w:spacing w:line="207" w:lineRule="exact" w:before="36"/>
              <w:ind w:left="22" w:right="0"/>
              <w:jc w:val="center"/>
              <w:rPr>
                <w:rFonts w:ascii="Times New Roman" w:hAnsi="Times New Roman" w:cs="Times New Roman" w:eastAsia="Times New Roman" w:hint="default"/>
                <w:sz w:val="18"/>
                <w:szCs w:val="18"/>
              </w:rPr>
            </w:pPr>
            <w:r>
              <w:rPr>
                <w:rFonts w:ascii="Times New Roman"/>
                <w:sz w:val="18"/>
              </w:rPr>
              <w:t>113,006,</w:t>
            </w:r>
          </w:p>
          <w:p>
            <w:pPr>
              <w:pStyle w:val="TableParagraph"/>
              <w:spacing w:line="207" w:lineRule="exact"/>
              <w:ind w:left="158" w:right="0"/>
              <w:jc w:val="center"/>
              <w:rPr>
                <w:rFonts w:ascii="Times New Roman" w:hAnsi="Times New Roman" w:cs="Times New Roman" w:eastAsia="Times New Roman" w:hint="default"/>
                <w:sz w:val="18"/>
                <w:szCs w:val="18"/>
              </w:rPr>
            </w:pPr>
            <w:r>
              <w:rPr>
                <w:rFonts w:ascii="Times New Roman"/>
                <w:sz w:val="18"/>
              </w:rPr>
              <w:t>514.72</w:t>
            </w:r>
          </w:p>
        </w:tc>
        <w:tc>
          <w:tcPr>
            <w:tcW w:w="850"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711"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Style w:val="TableParagraph"/>
              <w:spacing w:line="207" w:lineRule="exact" w:before="36"/>
              <w:ind w:left="5" w:right="0"/>
              <w:jc w:val="center"/>
              <w:rPr>
                <w:rFonts w:ascii="Times New Roman" w:hAnsi="Times New Roman" w:cs="Times New Roman" w:eastAsia="Times New Roman" w:hint="default"/>
                <w:sz w:val="18"/>
                <w:szCs w:val="18"/>
              </w:rPr>
            </w:pPr>
            <w:r>
              <w:rPr>
                <w:rFonts w:ascii="Times New Roman"/>
                <w:sz w:val="18"/>
              </w:rPr>
              <w:t>-113,006</w:t>
            </w:r>
          </w:p>
          <w:p>
            <w:pPr>
              <w:pStyle w:val="TableParagraph"/>
              <w:spacing w:line="207" w:lineRule="exact"/>
              <w:ind w:left="110" w:right="0"/>
              <w:jc w:val="center"/>
              <w:rPr>
                <w:rFonts w:ascii="Times New Roman" w:hAnsi="Times New Roman" w:cs="Times New Roman" w:eastAsia="Times New Roman" w:hint="default"/>
                <w:sz w:val="18"/>
                <w:szCs w:val="18"/>
              </w:rPr>
            </w:pPr>
            <w:r>
              <w:rPr>
                <w:rFonts w:ascii="Times New Roman"/>
                <w:sz w:val="18"/>
              </w:rPr>
              <w:t>,514.72</w:t>
            </w:r>
          </w:p>
        </w:tc>
      </w:tr>
      <w:tr>
        <w:trPr>
          <w:trHeight w:val="408" w:hRule="exact"/>
        </w:trPr>
        <w:tc>
          <w:tcPr>
            <w:tcW w:w="142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2" w:type="dxa"/>
            <w:vMerge/>
            <w:tcBorders>
              <w:left w:val="single" w:sz="9"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50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r>
      <w:tr>
        <w:trPr>
          <w:trHeight w:val="96" w:hRule="exact"/>
        </w:trPr>
        <w:tc>
          <w:tcPr>
            <w:tcW w:w="14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92" w:type="dxa"/>
            <w:vMerge w:val="restart"/>
            <w:tcBorders>
              <w:top w:val="single" w:sz="4" w:space="0" w:color="000000"/>
              <w:left w:val="single" w:sz="9"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506"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711" w:type="dxa"/>
            <w:vMerge w:val="restart"/>
            <w:tcBorders>
              <w:top w:val="single" w:sz="4" w:space="0" w:color="000000"/>
              <w:left w:val="single" w:sz="4" w:space="0" w:color="000000"/>
              <w:right w:val="single" w:sz="4" w:space="0" w:color="000000"/>
            </w:tcBorders>
          </w:tcPr>
          <w:p>
            <w:pPr>
              <w:pStyle w:val="TableParagraph"/>
              <w:spacing w:line="207" w:lineRule="exact" w:before="36"/>
              <w:ind w:left="45" w:right="0"/>
              <w:jc w:val="left"/>
              <w:rPr>
                <w:rFonts w:ascii="Times New Roman" w:hAnsi="Times New Roman" w:cs="Times New Roman" w:eastAsia="Times New Roman" w:hint="default"/>
                <w:sz w:val="18"/>
                <w:szCs w:val="18"/>
              </w:rPr>
            </w:pPr>
            <w:r>
              <w:rPr>
                <w:rFonts w:ascii="Times New Roman"/>
                <w:sz w:val="18"/>
              </w:rPr>
              <w:t>13,514,0</w:t>
            </w:r>
          </w:p>
          <w:p>
            <w:pPr>
              <w:pStyle w:val="TableParagraph"/>
              <w:spacing w:line="207" w:lineRule="exact"/>
              <w:ind w:left="271" w:right="0"/>
              <w:jc w:val="left"/>
              <w:rPr>
                <w:rFonts w:ascii="Times New Roman" w:hAnsi="Times New Roman" w:cs="Times New Roman" w:eastAsia="Times New Roman" w:hint="default"/>
                <w:sz w:val="18"/>
                <w:szCs w:val="18"/>
              </w:rPr>
            </w:pPr>
            <w:r>
              <w:rPr>
                <w:rFonts w:ascii="Times New Roman"/>
                <w:sz w:val="18"/>
              </w:rPr>
              <w:t>99.90</w:t>
            </w:r>
          </w:p>
        </w:tc>
        <w:tc>
          <w:tcPr>
            <w:tcW w:w="708" w:type="dxa"/>
            <w:vMerge w:val="restart"/>
            <w:tcBorders>
              <w:top w:val="single" w:sz="4" w:space="0" w:color="000000"/>
              <w:left w:val="single" w:sz="4" w:space="0" w:color="000000"/>
              <w:right w:val="single" w:sz="4" w:space="0" w:color="000000"/>
            </w:tcBorders>
          </w:tcPr>
          <w:p>
            <w:pPr>
              <w:pStyle w:val="TableParagraph"/>
              <w:spacing w:line="207" w:lineRule="exact" w:before="36"/>
              <w:ind w:left="5" w:right="0"/>
              <w:jc w:val="center"/>
              <w:rPr>
                <w:rFonts w:ascii="Times New Roman" w:hAnsi="Times New Roman" w:cs="Times New Roman" w:eastAsia="Times New Roman" w:hint="default"/>
                <w:sz w:val="18"/>
                <w:szCs w:val="18"/>
              </w:rPr>
            </w:pPr>
            <w:r>
              <w:rPr>
                <w:rFonts w:ascii="Times New Roman"/>
                <w:sz w:val="18"/>
              </w:rPr>
              <w:t>-499,291</w:t>
            </w:r>
          </w:p>
          <w:p>
            <w:pPr>
              <w:pStyle w:val="TableParagraph"/>
              <w:spacing w:line="207" w:lineRule="exact"/>
              <w:ind w:left="110" w:right="0"/>
              <w:jc w:val="center"/>
              <w:rPr>
                <w:rFonts w:ascii="Times New Roman" w:hAnsi="Times New Roman" w:cs="Times New Roman" w:eastAsia="Times New Roman" w:hint="default"/>
                <w:sz w:val="18"/>
                <w:szCs w:val="18"/>
              </w:rPr>
            </w:pPr>
            <w:r>
              <w:rPr>
                <w:rFonts w:ascii="Times New Roman"/>
                <w:sz w:val="18"/>
              </w:rPr>
              <w:t>,244.90</w:t>
            </w:r>
          </w:p>
        </w:tc>
        <w:tc>
          <w:tcPr>
            <w:tcW w:w="708" w:type="dxa"/>
            <w:vMerge w:val="restart"/>
            <w:tcBorders>
              <w:top w:val="single" w:sz="4" w:space="0" w:color="000000"/>
              <w:left w:val="single" w:sz="4" w:space="0" w:color="000000"/>
              <w:right w:val="single" w:sz="4" w:space="0" w:color="000000"/>
            </w:tcBorders>
          </w:tcPr>
          <w:p>
            <w:pPr>
              <w:pStyle w:val="TableParagraph"/>
              <w:spacing w:line="207" w:lineRule="exact" w:before="36"/>
              <w:ind w:left="5" w:right="0"/>
              <w:jc w:val="center"/>
              <w:rPr>
                <w:rFonts w:ascii="Times New Roman" w:hAnsi="Times New Roman" w:cs="Times New Roman" w:eastAsia="Times New Roman" w:hint="default"/>
                <w:sz w:val="18"/>
                <w:szCs w:val="18"/>
              </w:rPr>
            </w:pPr>
            <w:r>
              <w:rPr>
                <w:rFonts w:ascii="Times New Roman"/>
                <w:sz w:val="18"/>
              </w:rPr>
              <w:t>-485,777</w:t>
            </w:r>
          </w:p>
          <w:p>
            <w:pPr>
              <w:pStyle w:val="TableParagraph"/>
              <w:spacing w:line="207" w:lineRule="exact"/>
              <w:ind w:left="110" w:right="0"/>
              <w:jc w:val="center"/>
              <w:rPr>
                <w:rFonts w:ascii="Times New Roman" w:hAnsi="Times New Roman" w:cs="Times New Roman" w:eastAsia="Times New Roman" w:hint="default"/>
                <w:sz w:val="18"/>
                <w:szCs w:val="18"/>
              </w:rPr>
            </w:pPr>
            <w:r>
              <w:rPr>
                <w:rFonts w:ascii="Times New Roman"/>
                <w:sz w:val="18"/>
              </w:rPr>
              <w:t>,145.00</w:t>
            </w:r>
          </w:p>
        </w:tc>
      </w:tr>
      <w:tr>
        <w:trPr>
          <w:trHeight w:val="408" w:hRule="exact"/>
        </w:trPr>
        <w:tc>
          <w:tcPr>
            <w:tcW w:w="142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2" w:type="dxa"/>
            <w:vMerge/>
            <w:tcBorders>
              <w:left w:val="single" w:sz="9"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50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r>
      <w:tr>
        <w:trPr>
          <w:trHeight w:val="504" w:hRule="exact"/>
        </w:trPr>
        <w:tc>
          <w:tcPr>
            <w:tcW w:w="1429" w:type="dxa"/>
            <w:tcBorders>
              <w:top w:val="single" w:sz="36" w:space="0" w:color="D2D2D2"/>
              <w:left w:val="single" w:sz="12" w:space="0" w:color="D2D2D2"/>
              <w:bottom w:val="single" w:sz="39" w:space="0" w:color="D2D2D2"/>
              <w:right w:val="single" w:sz="9" w:space="0" w:color="D2D2D2"/>
            </w:tcBorders>
          </w:tcPr>
          <w:p>
            <w:pPr>
              <w:pStyle w:val="TableParagraph"/>
              <w:spacing w:line="240" w:lineRule="auto" w:before="5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2D2D2" w:color="auto" w:val="clear"/>
              </w:rPr>
              <w:t>1</w:t>
            </w:r>
            <w:r>
              <w:rPr>
                <w:rFonts w:ascii="宋体" w:hAnsi="宋体" w:cs="宋体" w:eastAsia="宋体" w:hint="default"/>
                <w:sz w:val="18"/>
                <w:szCs w:val="18"/>
                <w:shd w:fill="D2D2D2" w:color="auto" w:val="clear"/>
              </w:rPr>
              <w:t>．提取盈余公积</w:t>
            </w:r>
            <w:r>
              <w:rPr>
                <w:rFonts w:ascii="宋体" w:hAnsi="宋体" w:cs="宋体" w:eastAsia="宋体" w:hint="default"/>
                <w:sz w:val="18"/>
                <w:szCs w:val="18"/>
              </w:rPr>
            </w:r>
          </w:p>
        </w:tc>
        <w:tc>
          <w:tcPr>
            <w:tcW w:w="692" w:type="dxa"/>
            <w:tcBorders>
              <w:top w:val="single" w:sz="4" w:space="0" w:color="000000"/>
              <w:left w:val="single" w:sz="9"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left="45" w:right="0"/>
              <w:jc w:val="left"/>
              <w:rPr>
                <w:rFonts w:ascii="Times New Roman" w:hAnsi="Times New Roman" w:cs="Times New Roman" w:eastAsia="Times New Roman" w:hint="default"/>
                <w:sz w:val="18"/>
                <w:szCs w:val="18"/>
              </w:rPr>
            </w:pPr>
            <w:r>
              <w:rPr>
                <w:rFonts w:ascii="Times New Roman"/>
                <w:sz w:val="18"/>
              </w:rPr>
              <w:t>13,514,0</w:t>
            </w:r>
          </w:p>
          <w:p>
            <w:pPr>
              <w:pStyle w:val="TableParagraph"/>
              <w:spacing w:line="207" w:lineRule="exact"/>
              <w:ind w:left="271" w:right="0"/>
              <w:jc w:val="left"/>
              <w:rPr>
                <w:rFonts w:ascii="Times New Roman" w:hAnsi="Times New Roman" w:cs="Times New Roman" w:eastAsia="Times New Roman" w:hint="default"/>
                <w:sz w:val="18"/>
                <w:szCs w:val="18"/>
              </w:rPr>
            </w:pPr>
            <w:r>
              <w:rPr>
                <w:rFonts w:ascii="Times New Roman"/>
                <w:sz w:val="18"/>
              </w:rPr>
              <w:t>99.90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left="51" w:right="0"/>
              <w:jc w:val="center"/>
              <w:rPr>
                <w:rFonts w:ascii="Times New Roman" w:hAnsi="Times New Roman" w:cs="Times New Roman" w:eastAsia="Times New Roman" w:hint="default"/>
                <w:sz w:val="18"/>
                <w:szCs w:val="18"/>
              </w:rPr>
            </w:pPr>
            <w:r>
              <w:rPr>
                <w:rFonts w:ascii="Times New Roman"/>
                <w:sz w:val="18"/>
              </w:rPr>
              <w:t>-13,514,</w:t>
            </w:r>
          </w:p>
          <w:p>
            <w:pPr>
              <w:pStyle w:val="TableParagraph"/>
              <w:spacing w:line="207" w:lineRule="exact"/>
              <w:ind w:left="156" w:right="0"/>
              <w:jc w:val="center"/>
              <w:rPr>
                <w:rFonts w:ascii="Times New Roman" w:hAnsi="Times New Roman" w:cs="Times New Roman" w:eastAsia="Times New Roman" w:hint="default"/>
                <w:sz w:val="18"/>
                <w:szCs w:val="18"/>
              </w:rPr>
            </w:pPr>
            <w:r>
              <w:rPr>
                <w:rFonts w:ascii="Times New Roman"/>
                <w:sz w:val="18"/>
              </w:rPr>
              <w:t>099.90</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60" w:hRule="exact"/>
        </w:trPr>
        <w:tc>
          <w:tcPr>
            <w:tcW w:w="1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0"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2" w:type="dxa"/>
            <w:tcBorders>
              <w:top w:val="single" w:sz="4" w:space="0" w:color="000000"/>
              <w:left w:val="single" w:sz="9"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left="5" w:right="0"/>
              <w:jc w:val="center"/>
              <w:rPr>
                <w:rFonts w:ascii="Times New Roman" w:hAnsi="Times New Roman" w:cs="Times New Roman" w:eastAsia="Times New Roman" w:hint="default"/>
                <w:sz w:val="18"/>
                <w:szCs w:val="18"/>
              </w:rPr>
            </w:pPr>
            <w:r>
              <w:rPr>
                <w:rFonts w:ascii="Times New Roman"/>
                <w:sz w:val="18"/>
              </w:rPr>
              <w:t>-485,777</w:t>
            </w:r>
          </w:p>
          <w:p>
            <w:pPr>
              <w:pStyle w:val="TableParagraph"/>
              <w:spacing w:line="207" w:lineRule="exact"/>
              <w:ind w:left="110" w:right="0"/>
              <w:jc w:val="center"/>
              <w:rPr>
                <w:rFonts w:ascii="Times New Roman" w:hAnsi="Times New Roman" w:cs="Times New Roman" w:eastAsia="Times New Roman" w:hint="default"/>
                <w:sz w:val="18"/>
                <w:szCs w:val="18"/>
              </w:rPr>
            </w:pPr>
            <w:r>
              <w:rPr>
                <w:rFonts w:ascii="Times New Roman"/>
                <w:sz w:val="18"/>
              </w:rPr>
              <w:t>,145.00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left="5" w:right="0"/>
              <w:jc w:val="center"/>
              <w:rPr>
                <w:rFonts w:ascii="Times New Roman" w:hAnsi="Times New Roman" w:cs="Times New Roman" w:eastAsia="Times New Roman" w:hint="default"/>
                <w:sz w:val="18"/>
                <w:szCs w:val="18"/>
              </w:rPr>
            </w:pPr>
            <w:r>
              <w:rPr>
                <w:rFonts w:ascii="Times New Roman"/>
                <w:sz w:val="18"/>
              </w:rPr>
              <w:t>-485,777</w:t>
            </w:r>
          </w:p>
          <w:p>
            <w:pPr>
              <w:pStyle w:val="TableParagraph"/>
              <w:spacing w:line="207" w:lineRule="exact"/>
              <w:ind w:left="110" w:right="0"/>
              <w:jc w:val="center"/>
              <w:rPr>
                <w:rFonts w:ascii="Times New Roman" w:hAnsi="Times New Roman" w:cs="Times New Roman" w:eastAsia="Times New Roman" w:hint="default"/>
                <w:sz w:val="18"/>
                <w:szCs w:val="18"/>
              </w:rPr>
            </w:pPr>
            <w:r>
              <w:rPr>
                <w:rFonts w:ascii="Times New Roman"/>
                <w:sz w:val="18"/>
              </w:rPr>
              <w:t>,145.00</w:t>
            </w:r>
          </w:p>
        </w:tc>
      </w:tr>
    </w:tbl>
    <w:p>
      <w:pPr>
        <w:spacing w:after="0" w:line="207" w:lineRule="exact"/>
        <w:jc w:val="center"/>
        <w:rPr>
          <w:rFonts w:ascii="Times New Roman" w:hAnsi="Times New Roman" w:cs="Times New Roman" w:eastAsia="Times New Roman" w:hint="default"/>
          <w:sz w:val="18"/>
          <w:szCs w:val="18"/>
        </w:rPr>
        <w:sectPr>
          <w:pgSz w:w="11910" w:h="16840"/>
          <w:pgMar w:header="733" w:footer="977" w:top="960" w:bottom="1160" w:left="166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1440"/>
        <w:gridCol w:w="692"/>
        <w:gridCol w:w="665"/>
        <w:gridCol w:w="667"/>
        <w:gridCol w:w="506"/>
        <w:gridCol w:w="850"/>
        <w:gridCol w:w="710"/>
        <w:gridCol w:w="850"/>
        <w:gridCol w:w="566"/>
        <w:gridCol w:w="711"/>
        <w:gridCol w:w="708"/>
        <w:gridCol w:w="708"/>
      </w:tblGrid>
      <w:tr>
        <w:trPr>
          <w:trHeight w:val="32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1" w:right="21"/>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1"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1"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1"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6"/>
              <w:ind w:left="21"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1"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28" w:right="0"/>
              <w:jc w:val="left"/>
              <w:rPr>
                <w:rFonts w:ascii="Times New Roman" w:hAnsi="Times New Roman" w:cs="Times New Roman" w:eastAsia="Times New Roman" w:hint="default"/>
                <w:sz w:val="18"/>
                <w:szCs w:val="18"/>
              </w:rPr>
            </w:pPr>
            <w:r>
              <w:rPr>
                <w:rFonts w:ascii="Times New Roman"/>
                <w:sz w:val="18"/>
              </w:rPr>
              <w:t>2,428,88</w:t>
            </w:r>
          </w:p>
          <w:p>
            <w:pPr>
              <w:pStyle w:val="TableParagraph"/>
              <w:spacing w:line="207" w:lineRule="exact"/>
              <w:ind w:left="28" w:right="0"/>
              <w:jc w:val="left"/>
              <w:rPr>
                <w:rFonts w:ascii="Times New Roman" w:hAnsi="Times New Roman" w:cs="Times New Roman" w:eastAsia="Times New Roman" w:hint="default"/>
                <w:sz w:val="18"/>
                <w:szCs w:val="18"/>
              </w:rPr>
            </w:pPr>
            <w:r>
              <w:rPr>
                <w:rFonts w:ascii="Times New Roman"/>
                <w:sz w:val="18"/>
              </w:rPr>
              <w:t>5,725.00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50" w:right="0"/>
              <w:jc w:val="left"/>
              <w:rPr>
                <w:rFonts w:ascii="Times New Roman" w:hAnsi="Times New Roman" w:cs="Times New Roman" w:eastAsia="Times New Roman" w:hint="default"/>
                <w:sz w:val="18"/>
                <w:szCs w:val="18"/>
              </w:rPr>
            </w:pPr>
            <w:r>
              <w:rPr>
                <w:rFonts w:ascii="Times New Roman"/>
                <w:sz w:val="18"/>
              </w:rPr>
              <w:t>2,304,533,</w:t>
            </w:r>
          </w:p>
          <w:p>
            <w:pPr>
              <w:pStyle w:val="TableParagraph"/>
              <w:spacing w:line="207" w:lineRule="exact"/>
              <w:ind w:left="321" w:right="0"/>
              <w:jc w:val="left"/>
              <w:rPr>
                <w:rFonts w:ascii="Times New Roman" w:hAnsi="Times New Roman" w:cs="Times New Roman" w:eastAsia="Times New Roman" w:hint="default"/>
                <w:sz w:val="18"/>
                <w:szCs w:val="18"/>
              </w:rPr>
            </w:pPr>
            <w:r>
              <w:rPr>
                <w:rFonts w:ascii="Times New Roman"/>
                <w:sz w:val="18"/>
              </w:rPr>
              <w:t>814.30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22" w:right="0"/>
              <w:jc w:val="center"/>
              <w:rPr>
                <w:rFonts w:ascii="Times New Roman" w:hAnsi="Times New Roman" w:cs="Times New Roman" w:eastAsia="Times New Roman" w:hint="default"/>
                <w:sz w:val="18"/>
                <w:szCs w:val="18"/>
              </w:rPr>
            </w:pPr>
            <w:r>
              <w:rPr>
                <w:rFonts w:ascii="Times New Roman"/>
                <w:sz w:val="18"/>
              </w:rPr>
              <w:t>113,006,</w:t>
            </w:r>
          </w:p>
          <w:p>
            <w:pPr>
              <w:pStyle w:val="TableParagraph"/>
              <w:spacing w:line="207" w:lineRule="exact"/>
              <w:ind w:left="158" w:right="0"/>
              <w:jc w:val="center"/>
              <w:rPr>
                <w:rFonts w:ascii="Times New Roman" w:hAnsi="Times New Roman" w:cs="Times New Roman" w:eastAsia="Times New Roman" w:hint="default"/>
                <w:sz w:val="18"/>
                <w:szCs w:val="18"/>
              </w:rPr>
            </w:pPr>
            <w:r>
              <w:rPr>
                <w:rFonts w:ascii="Times New Roman"/>
                <w:sz w:val="18"/>
              </w:rPr>
              <w:t>514.72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36" w:right="0"/>
              <w:jc w:val="left"/>
              <w:rPr>
                <w:rFonts w:ascii="Times New Roman" w:hAnsi="Times New Roman" w:cs="Times New Roman" w:eastAsia="Times New Roman" w:hint="default"/>
                <w:sz w:val="18"/>
                <w:szCs w:val="18"/>
              </w:rPr>
            </w:pPr>
            <w:r>
              <w:rPr>
                <w:rFonts w:ascii="Times New Roman"/>
                <w:sz w:val="18"/>
              </w:rPr>
              <w:t>-365,400,4</w:t>
            </w:r>
          </w:p>
          <w:p>
            <w:pPr>
              <w:pStyle w:val="TableParagraph"/>
              <w:spacing w:line="207" w:lineRule="exact"/>
              <w:ind w:left="410" w:right="0"/>
              <w:jc w:val="left"/>
              <w:rPr>
                <w:rFonts w:ascii="Times New Roman" w:hAnsi="Times New Roman" w:cs="Times New Roman" w:eastAsia="Times New Roman" w:hint="default"/>
                <w:sz w:val="18"/>
                <w:szCs w:val="18"/>
              </w:rPr>
            </w:pPr>
            <w:r>
              <w:rPr>
                <w:rFonts w:ascii="Times New Roman"/>
                <w:sz w:val="18"/>
              </w:rPr>
              <w:t>38.36</w:t>
            </w: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21" w:right="0"/>
              <w:jc w:val="center"/>
              <w:rPr>
                <w:rFonts w:ascii="Times New Roman" w:hAnsi="Times New Roman" w:cs="Times New Roman" w:eastAsia="Times New Roman" w:hint="default"/>
                <w:sz w:val="18"/>
                <w:szCs w:val="18"/>
              </w:rPr>
            </w:pPr>
            <w:r>
              <w:rPr>
                <w:rFonts w:ascii="Times New Roman"/>
                <w:sz w:val="18"/>
              </w:rPr>
              <w:t>628,593,</w:t>
            </w:r>
          </w:p>
          <w:p>
            <w:pPr>
              <w:pStyle w:val="TableParagraph"/>
              <w:spacing w:line="207" w:lineRule="exact"/>
              <w:ind w:left="159" w:right="0"/>
              <w:jc w:val="center"/>
              <w:rPr>
                <w:rFonts w:ascii="Times New Roman" w:hAnsi="Times New Roman" w:cs="Times New Roman" w:eastAsia="Times New Roman" w:hint="default"/>
                <w:sz w:val="18"/>
                <w:szCs w:val="18"/>
              </w:rPr>
            </w:pPr>
            <w:r>
              <w:rPr>
                <w:rFonts w:ascii="Times New Roman"/>
                <w:sz w:val="18"/>
              </w:rPr>
              <w:t>583.41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43" w:right="0"/>
              <w:jc w:val="left"/>
              <w:rPr>
                <w:rFonts w:ascii="Times New Roman" w:hAnsi="Times New Roman" w:cs="Times New Roman" w:eastAsia="Times New Roman" w:hint="default"/>
                <w:sz w:val="18"/>
                <w:szCs w:val="18"/>
              </w:rPr>
            </w:pPr>
            <w:r>
              <w:rPr>
                <w:rFonts w:ascii="Times New Roman"/>
                <w:sz w:val="18"/>
              </w:rPr>
              <w:t>2,616,55</w:t>
            </w:r>
          </w:p>
          <w:p>
            <w:pPr>
              <w:pStyle w:val="TableParagraph"/>
              <w:spacing w:line="207" w:lineRule="exact"/>
              <w:ind w:left="43" w:right="0"/>
              <w:jc w:val="left"/>
              <w:rPr>
                <w:rFonts w:ascii="Times New Roman" w:hAnsi="Times New Roman" w:cs="Times New Roman" w:eastAsia="Times New Roman" w:hint="default"/>
                <w:sz w:val="18"/>
                <w:szCs w:val="18"/>
              </w:rPr>
            </w:pPr>
            <w:r>
              <w:rPr>
                <w:rFonts w:ascii="Times New Roman"/>
                <w:sz w:val="18"/>
              </w:rPr>
              <w:t>2,383.07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43" w:right="0"/>
              <w:jc w:val="left"/>
              <w:rPr>
                <w:rFonts w:ascii="Times New Roman" w:hAnsi="Times New Roman" w:cs="Times New Roman" w:eastAsia="Times New Roman" w:hint="default"/>
                <w:sz w:val="18"/>
                <w:szCs w:val="18"/>
              </w:rPr>
            </w:pPr>
            <w:r>
              <w:rPr>
                <w:rFonts w:ascii="Times New Roman"/>
                <w:sz w:val="18"/>
              </w:rPr>
              <w:t>7,500,15</w:t>
            </w:r>
          </w:p>
          <w:p>
            <w:pPr>
              <w:pStyle w:val="TableParagraph"/>
              <w:spacing w:line="207" w:lineRule="exact"/>
              <w:ind w:left="43" w:right="0"/>
              <w:jc w:val="left"/>
              <w:rPr>
                <w:rFonts w:ascii="Times New Roman" w:hAnsi="Times New Roman" w:cs="Times New Roman" w:eastAsia="Times New Roman" w:hint="default"/>
                <w:sz w:val="18"/>
                <w:szCs w:val="18"/>
              </w:rPr>
            </w:pPr>
            <w:r>
              <w:rPr>
                <w:rFonts w:ascii="Times New Roman"/>
                <w:sz w:val="18"/>
              </w:rPr>
              <w:t>8,552.70</w:t>
            </w:r>
          </w:p>
        </w:tc>
      </w:tr>
    </w:tbl>
    <w:p>
      <w:pPr>
        <w:spacing w:line="240" w:lineRule="auto" w:before="0"/>
        <w:rPr>
          <w:rFonts w:ascii="宋体" w:hAnsi="宋体" w:cs="宋体" w:eastAsia="宋体" w:hint="default"/>
          <w:sz w:val="17"/>
          <w:szCs w:val="17"/>
        </w:rPr>
      </w:pPr>
    </w:p>
    <w:p>
      <w:pPr>
        <w:pStyle w:val="BodyText"/>
        <w:tabs>
          <w:tab w:pos="3112" w:val="left" w:leader="none"/>
          <w:tab w:pos="6443" w:val="left" w:leader="none"/>
        </w:tabs>
        <w:spacing w:line="240" w:lineRule="auto" w:before="44"/>
        <w:ind w:left="138" w:right="1683"/>
        <w:jc w:val="left"/>
      </w:pPr>
      <w:r>
        <w:rPr/>
        <w:t>法定代表人：黄跃珍</w:t>
        <w:tab/>
      </w:r>
      <w:r>
        <w:rPr>
          <w:spacing w:val="-1"/>
        </w:rPr>
        <w:t>主管会计工作负责人：蒋春晨</w:t>
        <w:tab/>
        <w:t>会计机构负责人：惠小绒</w:t>
      </w:r>
    </w:p>
    <w:p>
      <w:pPr>
        <w:spacing w:line="240" w:lineRule="auto" w:before="5"/>
        <w:rPr>
          <w:rFonts w:ascii="宋体" w:hAnsi="宋体" w:cs="宋体" w:eastAsia="宋体" w:hint="default"/>
          <w:sz w:val="18"/>
          <w:szCs w:val="18"/>
        </w:rPr>
      </w:pPr>
    </w:p>
    <w:p>
      <w:pPr>
        <w:pStyle w:val="BodyText"/>
        <w:spacing w:line="240" w:lineRule="auto" w:before="44"/>
        <w:ind w:left="138" w:right="1683"/>
        <w:jc w:val="left"/>
      </w:pPr>
      <w:r>
        <w:rPr/>
        <w:t>上期金额</w:t>
      </w:r>
    </w:p>
    <w:p>
      <w:pPr>
        <w:pStyle w:val="BodyText"/>
        <w:spacing w:line="240" w:lineRule="auto" w:before="38"/>
        <w:ind w:left="0" w:right="1791"/>
        <w:jc w:val="right"/>
      </w:pPr>
      <w:r>
        <w:rPr/>
        <w:t>单位：元</w:t>
      </w:r>
    </w:p>
    <w:p>
      <w:pPr>
        <w:spacing w:line="240" w:lineRule="auto" w:before="5"/>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1429"/>
        <w:gridCol w:w="692"/>
        <w:gridCol w:w="665"/>
        <w:gridCol w:w="667"/>
        <w:gridCol w:w="506"/>
        <w:gridCol w:w="850"/>
        <w:gridCol w:w="569"/>
        <w:gridCol w:w="850"/>
        <w:gridCol w:w="566"/>
        <w:gridCol w:w="853"/>
        <w:gridCol w:w="850"/>
        <w:gridCol w:w="850"/>
      </w:tblGrid>
      <w:tr>
        <w:trPr>
          <w:trHeight w:val="324" w:hRule="exact"/>
        </w:trPr>
        <w:tc>
          <w:tcPr>
            <w:tcW w:w="142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7"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66" w:hRule="exact"/>
        </w:trPr>
        <w:tc>
          <w:tcPr>
            <w:tcW w:w="14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6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83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230" w:lineRule="exact" w:before="80"/>
              <w:ind w:left="98" w:right="23" w:hanging="75"/>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30" w:lineRule="exact" w:before="80"/>
              <w:ind w:left="237" w:right="60"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30" w:lineRule="exact" w:before="80"/>
              <w:ind w:left="96" w:right="98"/>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8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30" w:lineRule="exact" w:before="80"/>
              <w:ind w:left="328" w:right="60"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30" w:lineRule="exact" w:before="80"/>
              <w:ind w:left="148" w:right="60"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4" w:hRule="exact"/>
        </w:trPr>
        <w:tc>
          <w:tcPr>
            <w:tcW w:w="1429" w:type="dxa"/>
            <w:vMerge/>
            <w:tcBorders>
              <w:left w:val="single" w:sz="4" w:space="0" w:color="000000"/>
              <w:bottom w:val="nil" w:sz="6" w:space="0" w:color="auto"/>
              <w:right w:val="single" w:sz="4" w:space="0" w:color="000000"/>
            </w:tcBorders>
            <w:shd w:val="clear" w:color="auto" w:fill="D2D2D2"/>
          </w:tcPr>
          <w:p>
            <w:pPr/>
          </w:p>
        </w:tc>
        <w:tc>
          <w:tcPr>
            <w:tcW w:w="6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38" w:type="dxa"/>
            <w:gridSpan w:val="3"/>
            <w:vMerge/>
            <w:tcBorders>
              <w:left w:val="single" w:sz="4" w:space="0" w:color="000000"/>
              <w:bottom w:val="single" w:sz="4" w:space="0" w:color="000000"/>
              <w:right w:val="single" w:sz="4" w:space="0" w:color="000000"/>
            </w:tcBorders>
            <w:shd w:val="clear" w:color="auto" w:fill="D2D2D2"/>
          </w:tcPr>
          <w:p>
            <w:pPr/>
          </w:p>
        </w:tc>
        <w:tc>
          <w:tcPr>
            <w:tcW w:w="850" w:type="dxa"/>
            <w:vMerge w:val="restart"/>
            <w:tcBorders>
              <w:top w:val="nil" w:sz="6" w:space="0" w:color="auto"/>
              <w:left w:val="single" w:sz="22" w:space="0" w:color="D2D2D2"/>
              <w:right w:val="single" w:sz="10" w:space="0" w:color="D2D2D2"/>
            </w:tcBorders>
          </w:tcPr>
          <w:p>
            <w:pPr>
              <w:pStyle w:val="TableParagraph"/>
              <w:spacing w:line="240" w:lineRule="auto" w:before="8"/>
              <w:ind w:left="3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资本公积</w:t>
            </w:r>
            <w:r>
              <w:rPr>
                <w:rFonts w:ascii="宋体" w:hAnsi="宋体" w:cs="宋体" w:eastAsia="宋体" w:hint="default"/>
                <w:sz w:val="18"/>
                <w:szCs w:val="18"/>
              </w:rPr>
            </w:r>
          </w:p>
        </w:tc>
        <w:tc>
          <w:tcPr>
            <w:tcW w:w="569"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853" w:type="dxa"/>
            <w:vMerge w:val="restart"/>
            <w:tcBorders>
              <w:top w:val="nil" w:sz="6" w:space="0" w:color="auto"/>
              <w:left w:val="single" w:sz="10" w:space="0" w:color="D2D2D2"/>
              <w:right w:val="single" w:sz="22" w:space="0" w:color="D2D2D2"/>
            </w:tcBorders>
          </w:tcPr>
          <w:p>
            <w:pPr>
              <w:pStyle w:val="TableParagraph"/>
              <w:spacing w:line="240" w:lineRule="auto" w:before="8"/>
              <w:ind w:left="5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盈余公积</w:t>
            </w:r>
            <w:r>
              <w:rPr>
                <w:rFonts w:ascii="宋体" w:hAnsi="宋体" w:cs="宋体" w:eastAsia="宋体" w:hint="default"/>
                <w:sz w:val="18"/>
                <w:szCs w:val="18"/>
              </w:rPr>
            </w:r>
          </w:p>
        </w:tc>
        <w:tc>
          <w:tcPr>
            <w:tcW w:w="85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r>
      <w:tr>
        <w:trPr>
          <w:trHeight w:val="160" w:hRule="exact"/>
        </w:trPr>
        <w:tc>
          <w:tcPr>
            <w:tcW w:w="1429" w:type="dxa"/>
            <w:vMerge w:val="restart"/>
            <w:tcBorders>
              <w:top w:val="nil" w:sz="6" w:space="0" w:color="auto"/>
              <w:left w:val="single" w:sz="4" w:space="0" w:color="000000"/>
              <w:right w:val="single" w:sz="4" w:space="0" w:color="000000"/>
            </w:tcBorders>
            <w:shd w:val="clear" w:color="auto" w:fill="D2D2D2"/>
          </w:tcPr>
          <w:p>
            <w:pPr/>
          </w:p>
        </w:tc>
        <w:tc>
          <w:tcPr>
            <w:tcW w:w="69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left="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vMerge/>
            <w:tcBorders>
              <w:left w:val="single" w:sz="22" w:space="0" w:color="D2D2D2"/>
              <w:bottom w:val="nil" w:sz="6" w:space="0" w:color="auto"/>
              <w:right w:val="single" w:sz="10" w:space="0" w:color="D2D2D2"/>
            </w:tcBorders>
          </w:tcPr>
          <w:p>
            <w:pPr/>
          </w:p>
        </w:tc>
        <w:tc>
          <w:tcPr>
            <w:tcW w:w="569"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853" w:type="dxa"/>
            <w:vMerge/>
            <w:tcBorders>
              <w:left w:val="single" w:sz="10" w:space="0" w:color="D2D2D2"/>
              <w:bottom w:val="nil" w:sz="6" w:space="0" w:color="auto"/>
              <w:right w:val="single" w:sz="22" w:space="0" w:color="D2D2D2"/>
            </w:tcBorders>
          </w:tcPr>
          <w:p>
            <w:pPr/>
          </w:p>
        </w:tc>
        <w:tc>
          <w:tcPr>
            <w:tcW w:w="85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r>
      <w:tr>
        <w:trPr>
          <w:trHeight w:val="166" w:hRule="exact"/>
        </w:trPr>
        <w:tc>
          <w:tcPr>
            <w:tcW w:w="1429" w:type="dxa"/>
            <w:vMerge/>
            <w:tcBorders>
              <w:left w:val="single" w:sz="4" w:space="0" w:color="000000"/>
              <w:bottom w:val="single" w:sz="4" w:space="0" w:color="000000"/>
              <w:right w:val="single" w:sz="4" w:space="0" w:color="000000"/>
            </w:tcBorders>
            <w:shd w:val="clear" w:color="auto" w:fill="D2D2D2"/>
          </w:tcPr>
          <w:p>
            <w:pPr/>
          </w:p>
        </w:tc>
        <w:tc>
          <w:tcPr>
            <w:tcW w:w="69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506"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r>
      <w:tr>
        <w:trPr>
          <w:trHeight w:val="504" w:hRule="exact"/>
        </w:trPr>
        <w:tc>
          <w:tcPr>
            <w:tcW w:w="1429" w:type="dxa"/>
            <w:tcBorders>
              <w:top w:val="single" w:sz="40" w:space="0" w:color="D2D2D2"/>
              <w:left w:val="single" w:sz="12" w:space="0" w:color="D2D2D2"/>
              <w:bottom w:val="single" w:sz="39" w:space="0" w:color="D2D2D2"/>
              <w:right w:val="single" w:sz="9" w:space="0" w:color="D2D2D2"/>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7"/>
                <w:sz w:val="18"/>
                <w:szCs w:val="18"/>
                <w:shd w:fill="D2D2D2" w:color="auto" w:val="clear"/>
              </w:rPr>
              <w:t>一、上年期末余额</w:t>
            </w:r>
            <w:r>
              <w:rPr>
                <w:rFonts w:ascii="宋体" w:hAnsi="宋体" w:cs="宋体" w:eastAsia="宋体" w:hint="default"/>
                <w:spacing w:val="-7"/>
                <w:sz w:val="18"/>
                <w:szCs w:val="18"/>
              </w:rPr>
            </w:r>
          </w:p>
        </w:tc>
        <w:tc>
          <w:tcPr>
            <w:tcW w:w="692" w:type="dxa"/>
            <w:tcBorders>
              <w:top w:val="single" w:sz="4" w:space="0" w:color="000000"/>
              <w:left w:val="single" w:sz="9" w:space="0" w:color="D2D2D2"/>
              <w:bottom w:val="single" w:sz="4" w:space="0" w:color="000000"/>
              <w:right w:val="single" w:sz="4" w:space="0" w:color="000000"/>
            </w:tcBorders>
          </w:tcPr>
          <w:p>
            <w:pPr>
              <w:pStyle w:val="TableParagraph"/>
              <w:spacing w:line="207" w:lineRule="exact" w:before="33"/>
              <w:ind w:left="22" w:right="0"/>
              <w:jc w:val="left"/>
              <w:rPr>
                <w:rFonts w:ascii="Times New Roman" w:hAnsi="Times New Roman" w:cs="Times New Roman" w:eastAsia="Times New Roman" w:hint="default"/>
                <w:sz w:val="18"/>
                <w:szCs w:val="18"/>
              </w:rPr>
            </w:pPr>
            <w:r>
              <w:rPr>
                <w:rFonts w:ascii="Times New Roman"/>
                <w:sz w:val="18"/>
              </w:rPr>
              <w:t>1,619,25</w:t>
            </w:r>
          </w:p>
          <w:p>
            <w:pPr>
              <w:pStyle w:val="TableParagraph"/>
              <w:spacing w:line="207" w:lineRule="exact"/>
              <w:ind w:left="22" w:right="0"/>
              <w:jc w:val="left"/>
              <w:rPr>
                <w:rFonts w:ascii="Times New Roman" w:hAnsi="Times New Roman" w:cs="Times New Roman" w:eastAsia="Times New Roman" w:hint="default"/>
                <w:sz w:val="18"/>
                <w:szCs w:val="18"/>
              </w:rPr>
            </w:pPr>
            <w:r>
              <w:rPr>
                <w:rFonts w:ascii="Times New Roman"/>
                <w:sz w:val="18"/>
              </w:rPr>
              <w:t>7,150.00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50" w:right="0"/>
              <w:jc w:val="left"/>
              <w:rPr>
                <w:rFonts w:ascii="Times New Roman" w:hAnsi="Times New Roman" w:cs="Times New Roman" w:eastAsia="Times New Roman" w:hint="default"/>
                <w:sz w:val="18"/>
                <w:szCs w:val="18"/>
              </w:rPr>
            </w:pPr>
            <w:r>
              <w:rPr>
                <w:rFonts w:ascii="Times New Roman"/>
                <w:sz w:val="18"/>
              </w:rPr>
              <w:t>3,114,162,</w:t>
            </w:r>
          </w:p>
          <w:p>
            <w:pPr>
              <w:pStyle w:val="TableParagraph"/>
              <w:spacing w:line="207" w:lineRule="exact"/>
              <w:ind w:left="321" w:right="0"/>
              <w:jc w:val="left"/>
              <w:rPr>
                <w:rFonts w:ascii="Times New Roman" w:hAnsi="Times New Roman" w:cs="Times New Roman" w:eastAsia="Times New Roman" w:hint="default"/>
                <w:sz w:val="18"/>
                <w:szCs w:val="18"/>
              </w:rPr>
            </w:pPr>
            <w:r>
              <w:rPr>
                <w:rFonts w:ascii="Times New Roman"/>
                <w:sz w:val="18"/>
              </w:rPr>
              <w:t>389.30</w:t>
            </w:r>
          </w:p>
        </w:tc>
        <w:tc>
          <w:tcPr>
            <w:tcW w:w="569" w:type="dxa"/>
            <w:tcBorders>
              <w:top w:val="single" w:sz="18" w:space="0" w:color="D2D2D2"/>
              <w:left w:val="single" w:sz="4" w:space="0" w:color="000000"/>
              <w:bottom w:val="single" w:sz="4" w:space="0" w:color="000000"/>
              <w:right w:val="single" w:sz="4" w:space="0" w:color="000000"/>
            </w:tcBorders>
          </w:tcPr>
          <w:p>
            <w:pPr/>
          </w:p>
        </w:tc>
        <w:tc>
          <w:tcPr>
            <w:tcW w:w="850" w:type="dxa"/>
            <w:tcBorders>
              <w:top w:val="single" w:sz="18" w:space="0" w:color="D2D2D2"/>
              <w:left w:val="single" w:sz="4" w:space="0" w:color="000000"/>
              <w:bottom w:val="single" w:sz="4" w:space="0" w:color="000000"/>
              <w:right w:val="single" w:sz="4" w:space="0" w:color="000000"/>
            </w:tcBorders>
          </w:tcPr>
          <w:p>
            <w:pPr>
              <w:pStyle w:val="TableParagraph"/>
              <w:spacing w:line="207" w:lineRule="exact" w:before="15"/>
              <w:ind w:left="95" w:right="0"/>
              <w:jc w:val="left"/>
              <w:rPr>
                <w:rFonts w:ascii="Times New Roman" w:hAnsi="Times New Roman" w:cs="Times New Roman" w:eastAsia="Times New Roman" w:hint="default"/>
                <w:sz w:val="18"/>
                <w:szCs w:val="18"/>
              </w:rPr>
            </w:pPr>
            <w:r>
              <w:rPr>
                <w:rFonts w:ascii="Times New Roman"/>
                <w:sz w:val="18"/>
              </w:rPr>
              <w:t>124,224,0</w:t>
            </w:r>
          </w:p>
          <w:p>
            <w:pPr>
              <w:pStyle w:val="TableParagraph"/>
              <w:spacing w:line="207" w:lineRule="exact"/>
              <w:ind w:left="410" w:right="0"/>
              <w:jc w:val="left"/>
              <w:rPr>
                <w:rFonts w:ascii="Times New Roman" w:hAnsi="Times New Roman" w:cs="Times New Roman" w:eastAsia="Times New Roman" w:hint="default"/>
                <w:sz w:val="18"/>
                <w:szCs w:val="18"/>
              </w:rPr>
            </w:pPr>
            <w:r>
              <w:rPr>
                <w:rFonts w:ascii="Times New Roman"/>
                <w:sz w:val="18"/>
              </w:rPr>
              <w:t>43.55</w:t>
            </w:r>
          </w:p>
        </w:tc>
        <w:tc>
          <w:tcPr>
            <w:tcW w:w="566" w:type="dxa"/>
            <w:tcBorders>
              <w:top w:val="single" w:sz="18" w:space="0" w:color="D2D2D2"/>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96" w:right="0"/>
              <w:jc w:val="left"/>
              <w:rPr>
                <w:rFonts w:ascii="Times New Roman" w:hAnsi="Times New Roman" w:cs="Times New Roman" w:eastAsia="Times New Roman" w:hint="default"/>
                <w:sz w:val="18"/>
                <w:szCs w:val="18"/>
              </w:rPr>
            </w:pPr>
            <w:r>
              <w:rPr>
                <w:rFonts w:ascii="Times New Roman"/>
                <w:sz w:val="18"/>
              </w:rPr>
              <w:t>538,883,5</w:t>
            </w:r>
          </w:p>
          <w:p>
            <w:pPr>
              <w:pStyle w:val="TableParagraph"/>
              <w:spacing w:line="207" w:lineRule="exact"/>
              <w:ind w:left="411" w:right="0"/>
              <w:jc w:val="left"/>
              <w:rPr>
                <w:rFonts w:ascii="Times New Roman" w:hAnsi="Times New Roman" w:cs="Times New Roman" w:eastAsia="Times New Roman" w:hint="default"/>
                <w:sz w:val="18"/>
                <w:szCs w:val="18"/>
              </w:rPr>
            </w:pPr>
            <w:r>
              <w:rPr>
                <w:rFonts w:ascii="Times New Roman"/>
                <w:sz w:val="18"/>
              </w:rPr>
              <w:t>56.66</w:t>
            </w:r>
          </w:p>
        </w:tc>
        <w:tc>
          <w:tcPr>
            <w:tcW w:w="850" w:type="dxa"/>
            <w:tcBorders>
              <w:top w:val="single" w:sz="18" w:space="0" w:color="D2D2D2"/>
              <w:left w:val="single" w:sz="4" w:space="0" w:color="000000"/>
              <w:bottom w:val="single" w:sz="4" w:space="0" w:color="000000"/>
              <w:right w:val="single" w:sz="4" w:space="0" w:color="000000"/>
            </w:tcBorders>
          </w:tcPr>
          <w:p>
            <w:pPr>
              <w:pStyle w:val="TableParagraph"/>
              <w:spacing w:line="207" w:lineRule="exact" w:before="15"/>
              <w:ind w:left="50" w:right="0"/>
              <w:jc w:val="left"/>
              <w:rPr>
                <w:rFonts w:ascii="Times New Roman" w:hAnsi="Times New Roman" w:cs="Times New Roman" w:eastAsia="Times New Roman" w:hint="default"/>
                <w:sz w:val="18"/>
                <w:szCs w:val="18"/>
              </w:rPr>
            </w:pPr>
            <w:r>
              <w:rPr>
                <w:rFonts w:ascii="Times New Roman"/>
                <w:sz w:val="18"/>
              </w:rPr>
              <w:t>2,456,865,</w:t>
            </w:r>
          </w:p>
          <w:p>
            <w:pPr>
              <w:pStyle w:val="TableParagraph"/>
              <w:spacing w:line="207" w:lineRule="exact"/>
              <w:ind w:left="321" w:right="0"/>
              <w:jc w:val="left"/>
              <w:rPr>
                <w:rFonts w:ascii="Times New Roman" w:hAnsi="Times New Roman" w:cs="Times New Roman" w:eastAsia="Times New Roman" w:hint="default"/>
                <w:sz w:val="18"/>
                <w:szCs w:val="18"/>
              </w:rPr>
            </w:pPr>
            <w:r>
              <w:rPr>
                <w:rFonts w:ascii="Times New Roman"/>
                <w:sz w:val="18"/>
              </w:rPr>
              <w:t>002.32</w:t>
            </w:r>
          </w:p>
        </w:tc>
        <w:tc>
          <w:tcPr>
            <w:tcW w:w="850" w:type="dxa"/>
            <w:tcBorders>
              <w:top w:val="single" w:sz="18" w:space="0" w:color="D2D2D2"/>
              <w:left w:val="single" w:sz="4" w:space="0" w:color="000000"/>
              <w:bottom w:val="single" w:sz="4" w:space="0" w:color="000000"/>
              <w:right w:val="single" w:sz="4" w:space="0" w:color="000000"/>
            </w:tcBorders>
          </w:tcPr>
          <w:p>
            <w:pPr>
              <w:pStyle w:val="TableParagraph"/>
              <w:spacing w:line="207" w:lineRule="exact" w:before="15"/>
              <w:ind w:left="50" w:right="0"/>
              <w:jc w:val="left"/>
              <w:rPr>
                <w:rFonts w:ascii="Times New Roman" w:hAnsi="Times New Roman" w:cs="Times New Roman" w:eastAsia="Times New Roman" w:hint="default"/>
                <w:sz w:val="18"/>
                <w:szCs w:val="18"/>
              </w:rPr>
            </w:pPr>
            <w:r>
              <w:rPr>
                <w:rFonts w:ascii="Times New Roman"/>
                <w:sz w:val="18"/>
              </w:rPr>
              <w:t>7,853,392,</w:t>
            </w:r>
          </w:p>
          <w:p>
            <w:pPr>
              <w:pStyle w:val="TableParagraph"/>
              <w:spacing w:line="207" w:lineRule="exact"/>
              <w:ind w:left="321" w:right="0"/>
              <w:jc w:val="left"/>
              <w:rPr>
                <w:rFonts w:ascii="Times New Roman" w:hAnsi="Times New Roman" w:cs="Times New Roman" w:eastAsia="Times New Roman" w:hint="default"/>
                <w:sz w:val="18"/>
                <w:szCs w:val="18"/>
              </w:rPr>
            </w:pPr>
            <w:r>
              <w:rPr>
                <w:rFonts w:ascii="Times New Roman"/>
                <w:sz w:val="18"/>
              </w:rPr>
              <w:t>141.83</w:t>
            </w:r>
          </w:p>
        </w:tc>
      </w:tr>
      <w:tr>
        <w:trPr>
          <w:trHeight w:val="557" w:hRule="exact"/>
        </w:trPr>
        <w:tc>
          <w:tcPr>
            <w:tcW w:w="1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0" w:right="22" w:firstLine="359"/>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2" w:type="dxa"/>
            <w:tcBorders>
              <w:top w:val="single" w:sz="4" w:space="0" w:color="000000"/>
              <w:left w:val="single" w:sz="9"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left="730"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34" w:lineRule="exact"/>
              <w:ind w:left="10"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2" w:type="dxa"/>
            <w:tcBorders>
              <w:top w:val="single" w:sz="4" w:space="0" w:color="000000"/>
              <w:left w:val="single" w:sz="9"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2" w:type="dxa"/>
            <w:tcBorders>
              <w:top w:val="single" w:sz="4" w:space="0" w:color="000000"/>
              <w:left w:val="single" w:sz="9"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505" w:hRule="exact"/>
        </w:trPr>
        <w:tc>
          <w:tcPr>
            <w:tcW w:w="1429" w:type="dxa"/>
            <w:tcBorders>
              <w:top w:val="single" w:sz="36" w:space="0" w:color="D2D2D2"/>
              <w:left w:val="single" w:sz="12" w:space="0" w:color="D2D2D2"/>
              <w:bottom w:val="single" w:sz="40" w:space="0" w:color="D2D2D2"/>
              <w:right w:val="single" w:sz="9" w:space="0" w:color="D2D2D2"/>
            </w:tcBorders>
          </w:tcPr>
          <w:p>
            <w:pPr>
              <w:pStyle w:val="TableParagraph"/>
              <w:spacing w:line="240" w:lineRule="auto" w:before="59"/>
              <w:ind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7"/>
                <w:sz w:val="18"/>
                <w:szCs w:val="18"/>
                <w:shd w:fill="D2D2D2" w:color="auto" w:val="clear"/>
              </w:rPr>
              <w:t>二、本年期初余额</w:t>
            </w:r>
            <w:r>
              <w:rPr>
                <w:rFonts w:ascii="宋体" w:hAnsi="宋体" w:cs="宋体" w:eastAsia="宋体" w:hint="default"/>
                <w:spacing w:val="-7"/>
                <w:sz w:val="18"/>
                <w:szCs w:val="18"/>
              </w:rPr>
            </w:r>
          </w:p>
        </w:tc>
        <w:tc>
          <w:tcPr>
            <w:tcW w:w="692" w:type="dxa"/>
            <w:tcBorders>
              <w:top w:val="single" w:sz="4" w:space="0" w:color="000000"/>
              <w:left w:val="single" w:sz="9" w:space="0" w:color="D2D2D2"/>
              <w:bottom w:val="single" w:sz="4" w:space="0" w:color="000000"/>
              <w:right w:val="single" w:sz="4" w:space="0" w:color="000000"/>
            </w:tcBorders>
          </w:tcPr>
          <w:p>
            <w:pPr>
              <w:pStyle w:val="TableParagraph"/>
              <w:spacing w:line="207" w:lineRule="exact" w:before="34"/>
              <w:ind w:left="22" w:right="0"/>
              <w:jc w:val="left"/>
              <w:rPr>
                <w:rFonts w:ascii="Times New Roman" w:hAnsi="Times New Roman" w:cs="Times New Roman" w:eastAsia="Times New Roman" w:hint="default"/>
                <w:sz w:val="18"/>
                <w:szCs w:val="18"/>
              </w:rPr>
            </w:pPr>
            <w:r>
              <w:rPr>
                <w:rFonts w:ascii="Times New Roman"/>
                <w:sz w:val="18"/>
              </w:rPr>
              <w:t>1,619,25</w:t>
            </w:r>
          </w:p>
          <w:p>
            <w:pPr>
              <w:pStyle w:val="TableParagraph"/>
              <w:spacing w:line="207" w:lineRule="exact"/>
              <w:ind w:left="22" w:right="0"/>
              <w:jc w:val="left"/>
              <w:rPr>
                <w:rFonts w:ascii="Times New Roman" w:hAnsi="Times New Roman" w:cs="Times New Roman" w:eastAsia="Times New Roman" w:hint="default"/>
                <w:sz w:val="18"/>
                <w:szCs w:val="18"/>
              </w:rPr>
            </w:pPr>
            <w:r>
              <w:rPr>
                <w:rFonts w:ascii="Times New Roman"/>
                <w:sz w:val="18"/>
              </w:rPr>
              <w:t>7,150.00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left="50" w:right="0"/>
              <w:jc w:val="left"/>
              <w:rPr>
                <w:rFonts w:ascii="Times New Roman" w:hAnsi="Times New Roman" w:cs="Times New Roman" w:eastAsia="Times New Roman" w:hint="default"/>
                <w:sz w:val="18"/>
                <w:szCs w:val="18"/>
              </w:rPr>
            </w:pPr>
            <w:r>
              <w:rPr>
                <w:rFonts w:ascii="Times New Roman"/>
                <w:sz w:val="18"/>
              </w:rPr>
              <w:t>3,114,162,</w:t>
            </w:r>
          </w:p>
          <w:p>
            <w:pPr>
              <w:pStyle w:val="TableParagraph"/>
              <w:spacing w:line="207" w:lineRule="exact"/>
              <w:ind w:left="321" w:right="0"/>
              <w:jc w:val="left"/>
              <w:rPr>
                <w:rFonts w:ascii="Times New Roman" w:hAnsi="Times New Roman" w:cs="Times New Roman" w:eastAsia="Times New Roman" w:hint="default"/>
                <w:sz w:val="18"/>
                <w:szCs w:val="18"/>
              </w:rPr>
            </w:pPr>
            <w:r>
              <w:rPr>
                <w:rFonts w:ascii="Times New Roman"/>
                <w:sz w:val="18"/>
              </w:rPr>
              <w:t>389.30</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left="95" w:right="0"/>
              <w:jc w:val="left"/>
              <w:rPr>
                <w:rFonts w:ascii="Times New Roman" w:hAnsi="Times New Roman" w:cs="Times New Roman" w:eastAsia="Times New Roman" w:hint="default"/>
                <w:sz w:val="18"/>
                <w:szCs w:val="18"/>
              </w:rPr>
            </w:pPr>
            <w:r>
              <w:rPr>
                <w:rFonts w:ascii="Times New Roman"/>
                <w:sz w:val="18"/>
              </w:rPr>
              <w:t>124,224,0</w:t>
            </w:r>
          </w:p>
          <w:p>
            <w:pPr>
              <w:pStyle w:val="TableParagraph"/>
              <w:spacing w:line="207" w:lineRule="exact"/>
              <w:ind w:left="410" w:right="0"/>
              <w:jc w:val="left"/>
              <w:rPr>
                <w:rFonts w:ascii="Times New Roman" w:hAnsi="Times New Roman" w:cs="Times New Roman" w:eastAsia="Times New Roman" w:hint="default"/>
                <w:sz w:val="18"/>
                <w:szCs w:val="18"/>
              </w:rPr>
            </w:pPr>
            <w:r>
              <w:rPr>
                <w:rFonts w:ascii="Times New Roman"/>
                <w:sz w:val="18"/>
              </w:rPr>
              <w:t>43.55</w:t>
            </w: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left="96" w:right="0"/>
              <w:jc w:val="left"/>
              <w:rPr>
                <w:rFonts w:ascii="Times New Roman" w:hAnsi="Times New Roman" w:cs="Times New Roman" w:eastAsia="Times New Roman" w:hint="default"/>
                <w:sz w:val="18"/>
                <w:szCs w:val="18"/>
              </w:rPr>
            </w:pPr>
            <w:r>
              <w:rPr>
                <w:rFonts w:ascii="Times New Roman"/>
                <w:sz w:val="18"/>
              </w:rPr>
              <w:t>538,883,5</w:t>
            </w:r>
          </w:p>
          <w:p>
            <w:pPr>
              <w:pStyle w:val="TableParagraph"/>
              <w:spacing w:line="207" w:lineRule="exact"/>
              <w:ind w:left="411" w:right="0"/>
              <w:jc w:val="left"/>
              <w:rPr>
                <w:rFonts w:ascii="Times New Roman" w:hAnsi="Times New Roman" w:cs="Times New Roman" w:eastAsia="Times New Roman" w:hint="default"/>
                <w:sz w:val="18"/>
                <w:szCs w:val="18"/>
              </w:rPr>
            </w:pPr>
            <w:r>
              <w:rPr>
                <w:rFonts w:ascii="Times New Roman"/>
                <w:sz w:val="18"/>
              </w:rPr>
              <w:t>56.66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left="50" w:right="0"/>
              <w:jc w:val="left"/>
              <w:rPr>
                <w:rFonts w:ascii="Times New Roman" w:hAnsi="Times New Roman" w:cs="Times New Roman" w:eastAsia="Times New Roman" w:hint="default"/>
                <w:sz w:val="18"/>
                <w:szCs w:val="18"/>
              </w:rPr>
            </w:pPr>
            <w:r>
              <w:rPr>
                <w:rFonts w:ascii="Times New Roman"/>
                <w:sz w:val="18"/>
              </w:rPr>
              <w:t>2,456,865,</w:t>
            </w:r>
          </w:p>
          <w:p>
            <w:pPr>
              <w:pStyle w:val="TableParagraph"/>
              <w:spacing w:line="207" w:lineRule="exact"/>
              <w:ind w:left="321" w:right="0"/>
              <w:jc w:val="left"/>
              <w:rPr>
                <w:rFonts w:ascii="Times New Roman" w:hAnsi="Times New Roman" w:cs="Times New Roman" w:eastAsia="Times New Roman" w:hint="default"/>
                <w:sz w:val="18"/>
                <w:szCs w:val="18"/>
              </w:rPr>
            </w:pPr>
            <w:r>
              <w:rPr>
                <w:rFonts w:ascii="Times New Roman"/>
                <w:sz w:val="18"/>
              </w:rPr>
              <w:t>002.32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left="50" w:right="0"/>
              <w:jc w:val="left"/>
              <w:rPr>
                <w:rFonts w:ascii="Times New Roman" w:hAnsi="Times New Roman" w:cs="Times New Roman" w:eastAsia="Times New Roman" w:hint="default"/>
                <w:sz w:val="18"/>
                <w:szCs w:val="18"/>
              </w:rPr>
            </w:pPr>
            <w:r>
              <w:rPr>
                <w:rFonts w:ascii="Times New Roman"/>
                <w:sz w:val="18"/>
              </w:rPr>
              <w:t>7,853,392,</w:t>
            </w:r>
          </w:p>
          <w:p>
            <w:pPr>
              <w:pStyle w:val="TableParagraph"/>
              <w:spacing w:line="207" w:lineRule="exact"/>
              <w:ind w:left="321" w:right="0"/>
              <w:jc w:val="left"/>
              <w:rPr>
                <w:rFonts w:ascii="Times New Roman" w:hAnsi="Times New Roman" w:cs="Times New Roman" w:eastAsia="Times New Roman" w:hint="default"/>
                <w:sz w:val="18"/>
                <w:szCs w:val="18"/>
              </w:rPr>
            </w:pPr>
            <w:r>
              <w:rPr>
                <w:rFonts w:ascii="Times New Roman"/>
                <w:sz w:val="18"/>
              </w:rPr>
              <w:t>141.83</w:t>
            </w:r>
          </w:p>
        </w:tc>
      </w:tr>
      <w:tr>
        <w:trPr>
          <w:trHeight w:val="790" w:hRule="exact"/>
        </w:trPr>
        <w:tc>
          <w:tcPr>
            <w:tcW w:w="1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6"/>
              <w:ind w:left="10"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1" w:right="0"/>
              <w:jc w:val="center"/>
              <w:rPr>
                <w:rFonts w:ascii="Times New Roman" w:hAnsi="Times New Roman" w:cs="Times New Roman" w:eastAsia="Times New Roman" w:hint="default"/>
                <w:sz w:val="18"/>
                <w:szCs w:val="18"/>
              </w:rPr>
            </w:pPr>
            <w:r>
              <w:rPr>
                <w:rFonts w:ascii="Times New Roman"/>
                <w:sz w:val="18"/>
              </w:rPr>
              <w:t>809,628,</w:t>
            </w:r>
          </w:p>
          <w:p>
            <w:pPr>
              <w:pStyle w:val="TableParagraph"/>
              <w:spacing w:line="207" w:lineRule="exact"/>
              <w:ind w:left="138" w:right="0"/>
              <w:jc w:val="center"/>
              <w:rPr>
                <w:rFonts w:ascii="Times New Roman" w:hAnsi="Times New Roman" w:cs="Times New Roman" w:eastAsia="Times New Roman" w:hint="default"/>
                <w:sz w:val="18"/>
                <w:szCs w:val="18"/>
              </w:rPr>
            </w:pPr>
            <w:r>
              <w:rPr>
                <w:rFonts w:ascii="Times New Roman"/>
                <w:sz w:val="18"/>
              </w:rPr>
              <w:t>575.00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35" w:right="0"/>
              <w:jc w:val="left"/>
              <w:rPr>
                <w:rFonts w:ascii="Times New Roman" w:hAnsi="Times New Roman" w:cs="Times New Roman" w:eastAsia="Times New Roman" w:hint="default"/>
                <w:sz w:val="18"/>
                <w:szCs w:val="18"/>
              </w:rPr>
            </w:pPr>
            <w:r>
              <w:rPr>
                <w:rFonts w:ascii="Times New Roman"/>
                <w:sz w:val="18"/>
              </w:rPr>
              <w:t>-809,628,5</w:t>
            </w:r>
          </w:p>
          <w:p>
            <w:pPr>
              <w:pStyle w:val="TableParagraph"/>
              <w:spacing w:line="207" w:lineRule="exact"/>
              <w:ind w:left="410" w:right="0"/>
              <w:jc w:val="left"/>
              <w:rPr>
                <w:rFonts w:ascii="Times New Roman" w:hAnsi="Times New Roman" w:cs="Times New Roman" w:eastAsia="Times New Roman" w:hint="default"/>
                <w:sz w:val="18"/>
                <w:szCs w:val="18"/>
              </w:rPr>
            </w:pPr>
            <w:r>
              <w:rPr>
                <w:rFonts w:ascii="Times New Roman"/>
                <w:sz w:val="18"/>
              </w:rPr>
              <w:t>75.00</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35" w:right="0"/>
              <w:jc w:val="left"/>
              <w:rPr>
                <w:rFonts w:ascii="Times New Roman" w:hAnsi="Times New Roman" w:cs="Times New Roman" w:eastAsia="Times New Roman" w:hint="default"/>
                <w:sz w:val="18"/>
                <w:szCs w:val="18"/>
              </w:rPr>
            </w:pPr>
            <w:r>
              <w:rPr>
                <w:rFonts w:ascii="Times New Roman"/>
                <w:sz w:val="18"/>
              </w:rPr>
              <w:t>-214,227,7</w:t>
            </w:r>
          </w:p>
          <w:p>
            <w:pPr>
              <w:pStyle w:val="TableParagraph"/>
              <w:spacing w:line="207" w:lineRule="exact"/>
              <w:ind w:left="410" w:right="0"/>
              <w:jc w:val="left"/>
              <w:rPr>
                <w:rFonts w:ascii="Times New Roman" w:hAnsi="Times New Roman" w:cs="Times New Roman" w:eastAsia="Times New Roman" w:hint="default"/>
                <w:sz w:val="18"/>
                <w:szCs w:val="18"/>
              </w:rPr>
            </w:pPr>
            <w:r>
              <w:rPr>
                <w:rFonts w:ascii="Times New Roman"/>
                <w:sz w:val="18"/>
              </w:rPr>
              <w:t>95.92</w:t>
            </w: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76,195,92</w:t>
            </w:r>
          </w:p>
          <w:p>
            <w:pPr>
              <w:pStyle w:val="TableParagraph"/>
              <w:spacing w:line="207" w:lineRule="exact"/>
              <w:ind w:left="502" w:right="0"/>
              <w:jc w:val="left"/>
              <w:rPr>
                <w:rFonts w:ascii="Times New Roman" w:hAnsi="Times New Roman" w:cs="Times New Roman" w:eastAsia="Times New Roman" w:hint="default"/>
                <w:sz w:val="18"/>
                <w:szCs w:val="18"/>
              </w:rPr>
            </w:pPr>
            <w:r>
              <w:rPr>
                <w:rFonts w:ascii="Times New Roman"/>
                <w:sz w:val="18"/>
              </w:rPr>
              <w:t>6.85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96" w:right="0"/>
              <w:jc w:val="left"/>
              <w:rPr>
                <w:rFonts w:ascii="Times New Roman" w:hAnsi="Times New Roman" w:cs="Times New Roman" w:eastAsia="Times New Roman" w:hint="default"/>
                <w:sz w:val="18"/>
                <w:szCs w:val="18"/>
              </w:rPr>
            </w:pPr>
            <w:r>
              <w:rPr>
                <w:rFonts w:ascii="Times New Roman"/>
                <w:sz w:val="18"/>
              </w:rPr>
              <w:t>523,837,6</w:t>
            </w:r>
          </w:p>
          <w:p>
            <w:pPr>
              <w:pStyle w:val="TableParagraph"/>
              <w:spacing w:line="207" w:lineRule="exact"/>
              <w:ind w:left="410" w:right="0"/>
              <w:jc w:val="left"/>
              <w:rPr>
                <w:rFonts w:ascii="Times New Roman" w:hAnsi="Times New Roman" w:cs="Times New Roman" w:eastAsia="Times New Roman" w:hint="default"/>
                <w:sz w:val="18"/>
                <w:szCs w:val="18"/>
              </w:rPr>
            </w:pPr>
            <w:r>
              <w:rPr>
                <w:rFonts w:ascii="Times New Roman"/>
                <w:sz w:val="18"/>
              </w:rPr>
              <w:t>26.69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95" w:right="0"/>
              <w:jc w:val="left"/>
              <w:rPr>
                <w:rFonts w:ascii="Times New Roman" w:hAnsi="Times New Roman" w:cs="Times New Roman" w:eastAsia="Times New Roman" w:hint="default"/>
                <w:sz w:val="18"/>
                <w:szCs w:val="18"/>
              </w:rPr>
            </w:pPr>
            <w:r>
              <w:rPr>
                <w:rFonts w:ascii="Times New Roman"/>
                <w:sz w:val="18"/>
              </w:rPr>
              <w:t>385,805,7</w:t>
            </w:r>
          </w:p>
          <w:p>
            <w:pPr>
              <w:pStyle w:val="TableParagraph"/>
              <w:spacing w:line="207" w:lineRule="exact"/>
              <w:ind w:left="410" w:right="0"/>
              <w:jc w:val="left"/>
              <w:rPr>
                <w:rFonts w:ascii="Times New Roman" w:hAnsi="Times New Roman" w:cs="Times New Roman" w:eastAsia="Times New Roman" w:hint="default"/>
                <w:sz w:val="18"/>
                <w:szCs w:val="18"/>
              </w:rPr>
            </w:pPr>
            <w:r>
              <w:rPr>
                <w:rFonts w:ascii="Times New Roman"/>
                <w:sz w:val="18"/>
              </w:rPr>
              <w:t>57.62</w:t>
            </w:r>
          </w:p>
        </w:tc>
      </w:tr>
      <w:tr>
        <w:trPr>
          <w:trHeight w:val="557" w:hRule="exact"/>
        </w:trPr>
        <w:tc>
          <w:tcPr>
            <w:tcW w:w="1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0" w:right="21"/>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2" w:type="dxa"/>
            <w:tcBorders>
              <w:top w:val="single" w:sz="4" w:space="0" w:color="000000"/>
              <w:left w:val="single" w:sz="9"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35" w:right="0"/>
              <w:jc w:val="left"/>
              <w:rPr>
                <w:rFonts w:ascii="Times New Roman" w:hAnsi="Times New Roman" w:cs="Times New Roman" w:eastAsia="Times New Roman" w:hint="default"/>
                <w:sz w:val="18"/>
                <w:szCs w:val="18"/>
              </w:rPr>
            </w:pPr>
            <w:r>
              <w:rPr>
                <w:rFonts w:ascii="Times New Roman"/>
                <w:sz w:val="18"/>
              </w:rPr>
              <w:t>-214,227,7</w:t>
            </w:r>
          </w:p>
          <w:p>
            <w:pPr>
              <w:pStyle w:val="TableParagraph"/>
              <w:spacing w:line="207" w:lineRule="exact"/>
              <w:ind w:left="410" w:right="0"/>
              <w:jc w:val="left"/>
              <w:rPr>
                <w:rFonts w:ascii="Times New Roman" w:hAnsi="Times New Roman" w:cs="Times New Roman" w:eastAsia="Times New Roman" w:hint="default"/>
                <w:sz w:val="18"/>
                <w:szCs w:val="18"/>
              </w:rPr>
            </w:pPr>
            <w:r>
              <w:rPr>
                <w:rFonts w:ascii="Times New Roman"/>
                <w:sz w:val="18"/>
              </w:rPr>
              <w:t>95.92</w:t>
            </w: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96" w:right="0"/>
              <w:jc w:val="left"/>
              <w:rPr>
                <w:rFonts w:ascii="Times New Roman" w:hAnsi="Times New Roman" w:cs="Times New Roman" w:eastAsia="Times New Roman" w:hint="default"/>
                <w:sz w:val="18"/>
                <w:szCs w:val="18"/>
              </w:rPr>
            </w:pPr>
            <w:r>
              <w:rPr>
                <w:rFonts w:ascii="Times New Roman"/>
                <w:sz w:val="18"/>
              </w:rPr>
              <w:t>761,959,2</w:t>
            </w:r>
          </w:p>
          <w:p>
            <w:pPr>
              <w:pStyle w:val="TableParagraph"/>
              <w:spacing w:line="207" w:lineRule="exact"/>
              <w:ind w:left="410" w:right="0"/>
              <w:jc w:val="left"/>
              <w:rPr>
                <w:rFonts w:ascii="Times New Roman" w:hAnsi="Times New Roman" w:cs="Times New Roman" w:eastAsia="Times New Roman" w:hint="default"/>
                <w:sz w:val="18"/>
                <w:szCs w:val="18"/>
              </w:rPr>
            </w:pPr>
            <w:r>
              <w:rPr>
                <w:rFonts w:ascii="Times New Roman"/>
                <w:sz w:val="18"/>
              </w:rPr>
              <w:t>68.54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95" w:right="0"/>
              <w:jc w:val="left"/>
              <w:rPr>
                <w:rFonts w:ascii="Times New Roman" w:hAnsi="Times New Roman" w:cs="Times New Roman" w:eastAsia="Times New Roman" w:hint="default"/>
                <w:sz w:val="18"/>
                <w:szCs w:val="18"/>
              </w:rPr>
            </w:pPr>
            <w:r>
              <w:rPr>
                <w:rFonts w:ascii="Times New Roman"/>
                <w:sz w:val="18"/>
              </w:rPr>
              <w:t>547,731,4</w:t>
            </w:r>
          </w:p>
          <w:p>
            <w:pPr>
              <w:pStyle w:val="TableParagraph"/>
              <w:spacing w:line="207" w:lineRule="exact"/>
              <w:ind w:left="410" w:right="0"/>
              <w:jc w:val="left"/>
              <w:rPr>
                <w:rFonts w:ascii="Times New Roman" w:hAnsi="Times New Roman" w:cs="Times New Roman" w:eastAsia="Times New Roman" w:hint="default"/>
                <w:sz w:val="18"/>
                <w:szCs w:val="18"/>
              </w:rPr>
            </w:pPr>
            <w:r>
              <w:rPr>
                <w:rFonts w:ascii="Times New Roman"/>
                <w:sz w:val="18"/>
              </w:rPr>
              <w:t>72.62</w:t>
            </w:r>
          </w:p>
        </w:tc>
      </w:tr>
      <w:tr>
        <w:trPr>
          <w:trHeight w:val="557" w:hRule="exact"/>
        </w:trPr>
        <w:tc>
          <w:tcPr>
            <w:tcW w:w="1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0" w:right="21"/>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2" w:type="dxa"/>
            <w:tcBorders>
              <w:top w:val="single" w:sz="4" w:space="0" w:color="000000"/>
              <w:left w:val="single" w:sz="9"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0"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2" w:type="dxa"/>
            <w:tcBorders>
              <w:top w:val="single" w:sz="4" w:space="0" w:color="000000"/>
              <w:left w:val="single" w:sz="9"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before="36"/>
              <w:ind w:left="10"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2" w:type="dxa"/>
            <w:tcBorders>
              <w:top w:val="single" w:sz="4" w:space="0" w:color="000000"/>
              <w:left w:val="single" w:sz="9"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518" w:hRule="exact"/>
        </w:trPr>
        <w:tc>
          <w:tcPr>
            <w:tcW w:w="1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0"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692" w:type="dxa"/>
            <w:tcBorders>
              <w:top w:val="single" w:sz="4" w:space="0" w:color="000000"/>
              <w:left w:val="single" w:sz="9"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33" w:footer="977" w:top="960" w:bottom="1160" w:left="166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1440"/>
        <w:gridCol w:w="692"/>
        <w:gridCol w:w="665"/>
        <w:gridCol w:w="667"/>
        <w:gridCol w:w="506"/>
        <w:gridCol w:w="850"/>
        <w:gridCol w:w="569"/>
        <w:gridCol w:w="850"/>
        <w:gridCol w:w="566"/>
        <w:gridCol w:w="853"/>
        <w:gridCol w:w="850"/>
        <w:gridCol w:w="850"/>
      </w:tblGrid>
      <w:tr>
        <w:trPr>
          <w:trHeight w:val="28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96" w:right="0"/>
              <w:jc w:val="left"/>
              <w:rPr>
                <w:rFonts w:ascii="Times New Roman" w:hAnsi="Times New Roman" w:cs="Times New Roman" w:eastAsia="Times New Roman" w:hint="default"/>
                <w:sz w:val="18"/>
                <w:szCs w:val="18"/>
              </w:rPr>
            </w:pPr>
            <w:r>
              <w:rPr>
                <w:rFonts w:ascii="Times New Roman"/>
                <w:sz w:val="18"/>
              </w:rPr>
              <w:t>76,195,92</w:t>
            </w:r>
          </w:p>
          <w:p>
            <w:pPr>
              <w:pStyle w:val="TableParagraph"/>
              <w:spacing w:line="207" w:lineRule="exact"/>
              <w:ind w:left="502" w:right="0"/>
              <w:jc w:val="left"/>
              <w:rPr>
                <w:rFonts w:ascii="Times New Roman" w:hAnsi="Times New Roman" w:cs="Times New Roman" w:eastAsia="Times New Roman" w:hint="default"/>
                <w:sz w:val="18"/>
                <w:szCs w:val="18"/>
              </w:rPr>
            </w:pPr>
            <w:r>
              <w:rPr>
                <w:rFonts w:ascii="Times New Roman"/>
                <w:sz w:val="18"/>
              </w:rPr>
              <w:t>6.85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36" w:right="0"/>
              <w:jc w:val="left"/>
              <w:rPr>
                <w:rFonts w:ascii="Times New Roman" w:hAnsi="Times New Roman" w:cs="Times New Roman" w:eastAsia="Times New Roman" w:hint="default"/>
                <w:sz w:val="18"/>
                <w:szCs w:val="18"/>
              </w:rPr>
            </w:pPr>
            <w:r>
              <w:rPr>
                <w:rFonts w:ascii="Times New Roman"/>
                <w:sz w:val="18"/>
              </w:rPr>
              <w:t>-238,121,6</w:t>
            </w:r>
          </w:p>
          <w:p>
            <w:pPr>
              <w:pStyle w:val="TableParagraph"/>
              <w:spacing w:line="207" w:lineRule="exact"/>
              <w:ind w:left="410" w:right="0"/>
              <w:jc w:val="left"/>
              <w:rPr>
                <w:rFonts w:ascii="Times New Roman" w:hAnsi="Times New Roman" w:cs="Times New Roman" w:eastAsia="Times New Roman" w:hint="default"/>
                <w:sz w:val="18"/>
                <w:szCs w:val="18"/>
              </w:rPr>
            </w:pPr>
            <w:r>
              <w:rPr>
                <w:rFonts w:ascii="Times New Roman"/>
                <w:sz w:val="18"/>
              </w:rPr>
              <w:t>41.85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35" w:right="0"/>
              <w:jc w:val="left"/>
              <w:rPr>
                <w:rFonts w:ascii="Times New Roman" w:hAnsi="Times New Roman" w:cs="Times New Roman" w:eastAsia="Times New Roman" w:hint="default"/>
                <w:sz w:val="18"/>
                <w:szCs w:val="18"/>
              </w:rPr>
            </w:pPr>
            <w:r>
              <w:rPr>
                <w:rFonts w:ascii="Times New Roman"/>
                <w:sz w:val="18"/>
              </w:rPr>
              <w:t>-161,925,7</w:t>
            </w:r>
          </w:p>
          <w:p>
            <w:pPr>
              <w:pStyle w:val="TableParagraph"/>
              <w:spacing w:line="207" w:lineRule="exact"/>
              <w:ind w:left="410" w:right="0"/>
              <w:jc w:val="left"/>
              <w:rPr>
                <w:rFonts w:ascii="Times New Roman" w:hAnsi="Times New Roman" w:cs="Times New Roman" w:eastAsia="Times New Roman" w:hint="default"/>
                <w:sz w:val="18"/>
                <w:szCs w:val="18"/>
              </w:rPr>
            </w:pPr>
            <w:r>
              <w:rPr>
                <w:rFonts w:ascii="Times New Roman"/>
                <w:sz w:val="18"/>
              </w:rPr>
              <w:t>15.00</w:t>
            </w:r>
          </w:p>
        </w:tc>
      </w:tr>
      <w:tr>
        <w:trPr>
          <w:trHeight w:val="50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96" w:right="0"/>
              <w:jc w:val="left"/>
              <w:rPr>
                <w:rFonts w:ascii="Times New Roman" w:hAnsi="Times New Roman" w:cs="Times New Roman" w:eastAsia="Times New Roman" w:hint="default"/>
                <w:sz w:val="18"/>
                <w:szCs w:val="18"/>
              </w:rPr>
            </w:pPr>
            <w:r>
              <w:rPr>
                <w:rFonts w:ascii="Times New Roman"/>
                <w:sz w:val="18"/>
              </w:rPr>
              <w:t>76,195,92</w:t>
            </w:r>
          </w:p>
          <w:p>
            <w:pPr>
              <w:pStyle w:val="TableParagraph"/>
              <w:spacing w:line="207" w:lineRule="exact"/>
              <w:ind w:left="502" w:right="0"/>
              <w:jc w:val="left"/>
              <w:rPr>
                <w:rFonts w:ascii="Times New Roman" w:hAnsi="Times New Roman" w:cs="Times New Roman" w:eastAsia="Times New Roman" w:hint="default"/>
                <w:sz w:val="18"/>
                <w:szCs w:val="18"/>
              </w:rPr>
            </w:pPr>
            <w:r>
              <w:rPr>
                <w:rFonts w:ascii="Times New Roman"/>
                <w:sz w:val="18"/>
              </w:rPr>
              <w:t>6.85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36" w:right="0"/>
              <w:jc w:val="left"/>
              <w:rPr>
                <w:rFonts w:ascii="Times New Roman" w:hAnsi="Times New Roman" w:cs="Times New Roman" w:eastAsia="Times New Roman" w:hint="default"/>
                <w:sz w:val="18"/>
                <w:szCs w:val="18"/>
              </w:rPr>
            </w:pPr>
            <w:r>
              <w:rPr>
                <w:rFonts w:ascii="Times New Roman"/>
                <w:sz w:val="18"/>
              </w:rPr>
              <w:t>-76,195,92</w:t>
            </w:r>
          </w:p>
          <w:p>
            <w:pPr>
              <w:pStyle w:val="TableParagraph"/>
              <w:spacing w:line="207" w:lineRule="exact"/>
              <w:ind w:left="501" w:right="0"/>
              <w:jc w:val="left"/>
              <w:rPr>
                <w:rFonts w:ascii="Times New Roman" w:hAnsi="Times New Roman" w:cs="Times New Roman" w:eastAsia="Times New Roman" w:hint="default"/>
                <w:sz w:val="18"/>
                <w:szCs w:val="18"/>
              </w:rPr>
            </w:pPr>
            <w:r>
              <w:rPr>
                <w:rFonts w:ascii="Times New Roman"/>
                <w:sz w:val="18"/>
              </w:rPr>
              <w:t>6.85</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1"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36" w:right="0"/>
              <w:jc w:val="left"/>
              <w:rPr>
                <w:rFonts w:ascii="Times New Roman" w:hAnsi="Times New Roman" w:cs="Times New Roman" w:eastAsia="Times New Roman" w:hint="default"/>
                <w:sz w:val="18"/>
                <w:szCs w:val="18"/>
              </w:rPr>
            </w:pPr>
            <w:r>
              <w:rPr>
                <w:rFonts w:ascii="Times New Roman"/>
                <w:sz w:val="18"/>
              </w:rPr>
              <w:t>-161,925,7</w:t>
            </w:r>
          </w:p>
          <w:p>
            <w:pPr>
              <w:pStyle w:val="TableParagraph"/>
              <w:spacing w:line="207" w:lineRule="exact"/>
              <w:ind w:left="410" w:right="0"/>
              <w:jc w:val="left"/>
              <w:rPr>
                <w:rFonts w:ascii="Times New Roman" w:hAnsi="Times New Roman" w:cs="Times New Roman" w:eastAsia="Times New Roman" w:hint="default"/>
                <w:sz w:val="18"/>
                <w:szCs w:val="18"/>
              </w:rPr>
            </w:pPr>
            <w:r>
              <w:rPr>
                <w:rFonts w:ascii="Times New Roman"/>
                <w:sz w:val="18"/>
              </w:rPr>
              <w:t>15.00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35" w:right="0"/>
              <w:jc w:val="left"/>
              <w:rPr>
                <w:rFonts w:ascii="Times New Roman" w:hAnsi="Times New Roman" w:cs="Times New Roman" w:eastAsia="Times New Roman" w:hint="default"/>
                <w:sz w:val="18"/>
                <w:szCs w:val="18"/>
              </w:rPr>
            </w:pPr>
            <w:r>
              <w:rPr>
                <w:rFonts w:ascii="Times New Roman"/>
                <w:sz w:val="18"/>
              </w:rPr>
              <w:t>-161,925,7</w:t>
            </w:r>
          </w:p>
          <w:p>
            <w:pPr>
              <w:pStyle w:val="TableParagraph"/>
              <w:spacing w:line="207" w:lineRule="exact"/>
              <w:ind w:left="410" w:right="0"/>
              <w:jc w:val="left"/>
              <w:rPr>
                <w:rFonts w:ascii="Times New Roman" w:hAnsi="Times New Roman" w:cs="Times New Roman" w:eastAsia="Times New Roman" w:hint="default"/>
                <w:sz w:val="18"/>
                <w:szCs w:val="18"/>
              </w:rPr>
            </w:pPr>
            <w:r>
              <w:rPr>
                <w:rFonts w:ascii="Times New Roman"/>
                <w:sz w:val="18"/>
              </w:rPr>
              <w:t>15.00</w:t>
            </w:r>
          </w:p>
        </w:tc>
      </w:tr>
      <w:tr>
        <w:trPr>
          <w:trHeight w:val="32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1" w:right="21"/>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7" w:right="0"/>
              <w:jc w:val="center"/>
              <w:rPr>
                <w:rFonts w:ascii="Times New Roman" w:hAnsi="Times New Roman" w:cs="Times New Roman" w:eastAsia="Times New Roman" w:hint="default"/>
                <w:sz w:val="18"/>
                <w:szCs w:val="18"/>
              </w:rPr>
            </w:pPr>
            <w:r>
              <w:rPr>
                <w:rFonts w:ascii="Times New Roman"/>
                <w:sz w:val="18"/>
              </w:rPr>
              <w:t>809,628,</w:t>
            </w:r>
          </w:p>
          <w:p>
            <w:pPr>
              <w:pStyle w:val="TableParagraph"/>
              <w:spacing w:line="207" w:lineRule="exact"/>
              <w:ind w:left="144" w:right="0"/>
              <w:jc w:val="center"/>
              <w:rPr>
                <w:rFonts w:ascii="Times New Roman" w:hAnsi="Times New Roman" w:cs="Times New Roman" w:eastAsia="Times New Roman" w:hint="default"/>
                <w:sz w:val="18"/>
                <w:szCs w:val="18"/>
              </w:rPr>
            </w:pPr>
            <w:r>
              <w:rPr>
                <w:rFonts w:ascii="Times New Roman"/>
                <w:sz w:val="18"/>
              </w:rPr>
              <w:t>575.00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35" w:right="0"/>
              <w:jc w:val="left"/>
              <w:rPr>
                <w:rFonts w:ascii="Times New Roman" w:hAnsi="Times New Roman" w:cs="Times New Roman" w:eastAsia="Times New Roman" w:hint="default"/>
                <w:sz w:val="18"/>
                <w:szCs w:val="18"/>
              </w:rPr>
            </w:pPr>
            <w:r>
              <w:rPr>
                <w:rFonts w:ascii="Times New Roman"/>
                <w:sz w:val="18"/>
              </w:rPr>
              <w:t>-809,628,5</w:t>
            </w:r>
          </w:p>
          <w:p>
            <w:pPr>
              <w:pStyle w:val="TableParagraph"/>
              <w:spacing w:line="207" w:lineRule="exact"/>
              <w:ind w:left="410" w:right="0"/>
              <w:jc w:val="left"/>
              <w:rPr>
                <w:rFonts w:ascii="Times New Roman" w:hAnsi="Times New Roman" w:cs="Times New Roman" w:eastAsia="Times New Roman" w:hint="default"/>
                <w:sz w:val="18"/>
                <w:szCs w:val="18"/>
              </w:rPr>
            </w:pPr>
            <w:r>
              <w:rPr>
                <w:rFonts w:ascii="Times New Roman"/>
                <w:sz w:val="18"/>
              </w:rPr>
              <w:t>75.00</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1"/>
              <w:ind w:left="21"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809,628,</w:t>
            </w:r>
          </w:p>
          <w:p>
            <w:pPr>
              <w:pStyle w:val="TableParagraph"/>
              <w:spacing w:line="240" w:lineRule="auto"/>
              <w:ind w:left="144" w:right="0"/>
              <w:jc w:val="center"/>
              <w:rPr>
                <w:rFonts w:ascii="Times New Roman" w:hAnsi="Times New Roman" w:cs="Times New Roman" w:eastAsia="Times New Roman" w:hint="default"/>
                <w:sz w:val="18"/>
                <w:szCs w:val="18"/>
              </w:rPr>
            </w:pPr>
            <w:r>
              <w:rPr>
                <w:rFonts w:ascii="Times New Roman"/>
                <w:sz w:val="18"/>
              </w:rPr>
              <w:t>575.00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5" w:right="0"/>
              <w:jc w:val="left"/>
              <w:rPr>
                <w:rFonts w:ascii="Times New Roman" w:hAnsi="Times New Roman" w:cs="Times New Roman" w:eastAsia="Times New Roman" w:hint="default"/>
                <w:sz w:val="18"/>
                <w:szCs w:val="18"/>
              </w:rPr>
            </w:pPr>
            <w:r>
              <w:rPr>
                <w:rFonts w:ascii="Times New Roman"/>
                <w:sz w:val="18"/>
              </w:rPr>
              <w:t>-809,628,5</w:t>
            </w:r>
          </w:p>
          <w:p>
            <w:pPr>
              <w:pStyle w:val="TableParagraph"/>
              <w:spacing w:line="240" w:lineRule="auto"/>
              <w:ind w:left="410" w:right="0"/>
              <w:jc w:val="left"/>
              <w:rPr>
                <w:rFonts w:ascii="Times New Roman" w:hAnsi="Times New Roman" w:cs="Times New Roman" w:eastAsia="Times New Roman" w:hint="default"/>
                <w:sz w:val="18"/>
                <w:szCs w:val="18"/>
              </w:rPr>
            </w:pPr>
            <w:r>
              <w:rPr>
                <w:rFonts w:ascii="Times New Roman"/>
                <w:sz w:val="18"/>
              </w:rPr>
              <w:t>75.00</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1"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1"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6"/>
              <w:ind w:left="21"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1"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28" w:right="0"/>
              <w:jc w:val="left"/>
              <w:rPr>
                <w:rFonts w:ascii="Times New Roman" w:hAnsi="Times New Roman" w:cs="Times New Roman" w:eastAsia="Times New Roman" w:hint="default"/>
                <w:sz w:val="18"/>
                <w:szCs w:val="18"/>
              </w:rPr>
            </w:pPr>
            <w:r>
              <w:rPr>
                <w:rFonts w:ascii="Times New Roman"/>
                <w:sz w:val="18"/>
              </w:rPr>
              <w:t>2,428,88</w:t>
            </w:r>
          </w:p>
          <w:p>
            <w:pPr>
              <w:pStyle w:val="TableParagraph"/>
              <w:spacing w:line="207" w:lineRule="exact"/>
              <w:ind w:left="28" w:right="0"/>
              <w:jc w:val="left"/>
              <w:rPr>
                <w:rFonts w:ascii="Times New Roman" w:hAnsi="Times New Roman" w:cs="Times New Roman" w:eastAsia="Times New Roman" w:hint="default"/>
                <w:sz w:val="18"/>
                <w:szCs w:val="18"/>
              </w:rPr>
            </w:pPr>
            <w:r>
              <w:rPr>
                <w:rFonts w:ascii="Times New Roman"/>
                <w:sz w:val="18"/>
              </w:rPr>
              <w:t>5,725.00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50" w:right="0"/>
              <w:jc w:val="left"/>
              <w:rPr>
                <w:rFonts w:ascii="Times New Roman" w:hAnsi="Times New Roman" w:cs="Times New Roman" w:eastAsia="Times New Roman" w:hint="default"/>
                <w:sz w:val="18"/>
                <w:szCs w:val="18"/>
              </w:rPr>
            </w:pPr>
            <w:r>
              <w:rPr>
                <w:rFonts w:ascii="Times New Roman"/>
                <w:sz w:val="18"/>
              </w:rPr>
              <w:t>2,304,533,</w:t>
            </w:r>
          </w:p>
          <w:p>
            <w:pPr>
              <w:pStyle w:val="TableParagraph"/>
              <w:spacing w:line="207" w:lineRule="exact"/>
              <w:ind w:left="321" w:right="0"/>
              <w:jc w:val="left"/>
              <w:rPr>
                <w:rFonts w:ascii="Times New Roman" w:hAnsi="Times New Roman" w:cs="Times New Roman" w:eastAsia="Times New Roman" w:hint="default"/>
                <w:sz w:val="18"/>
                <w:szCs w:val="18"/>
              </w:rPr>
            </w:pPr>
            <w:r>
              <w:rPr>
                <w:rFonts w:ascii="Times New Roman"/>
                <w:sz w:val="18"/>
              </w:rPr>
              <w:t>814.30</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35" w:right="0"/>
              <w:jc w:val="left"/>
              <w:rPr>
                <w:rFonts w:ascii="Times New Roman" w:hAnsi="Times New Roman" w:cs="Times New Roman" w:eastAsia="Times New Roman" w:hint="default"/>
                <w:sz w:val="18"/>
                <w:szCs w:val="18"/>
              </w:rPr>
            </w:pPr>
            <w:r>
              <w:rPr>
                <w:rFonts w:ascii="Times New Roman"/>
                <w:sz w:val="18"/>
              </w:rPr>
              <w:t>-90,003,75</w:t>
            </w:r>
          </w:p>
          <w:p>
            <w:pPr>
              <w:pStyle w:val="TableParagraph"/>
              <w:spacing w:line="207" w:lineRule="exact"/>
              <w:ind w:left="501" w:right="0"/>
              <w:jc w:val="left"/>
              <w:rPr>
                <w:rFonts w:ascii="Times New Roman" w:hAnsi="Times New Roman" w:cs="Times New Roman" w:eastAsia="Times New Roman" w:hint="default"/>
                <w:sz w:val="18"/>
                <w:szCs w:val="18"/>
              </w:rPr>
            </w:pPr>
            <w:r>
              <w:rPr>
                <w:rFonts w:ascii="Times New Roman"/>
                <w:sz w:val="18"/>
              </w:rPr>
              <w:t>2.37</w:t>
            </w: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96" w:right="0"/>
              <w:jc w:val="left"/>
              <w:rPr>
                <w:rFonts w:ascii="Times New Roman" w:hAnsi="Times New Roman" w:cs="Times New Roman" w:eastAsia="Times New Roman" w:hint="default"/>
                <w:sz w:val="18"/>
                <w:szCs w:val="18"/>
              </w:rPr>
            </w:pPr>
            <w:r>
              <w:rPr>
                <w:rFonts w:ascii="Times New Roman"/>
                <w:sz w:val="18"/>
              </w:rPr>
              <w:t>615,079,4</w:t>
            </w:r>
          </w:p>
          <w:p>
            <w:pPr>
              <w:pStyle w:val="TableParagraph"/>
              <w:spacing w:line="207" w:lineRule="exact"/>
              <w:ind w:left="411" w:right="0"/>
              <w:jc w:val="left"/>
              <w:rPr>
                <w:rFonts w:ascii="Times New Roman" w:hAnsi="Times New Roman" w:cs="Times New Roman" w:eastAsia="Times New Roman" w:hint="default"/>
                <w:sz w:val="18"/>
                <w:szCs w:val="18"/>
              </w:rPr>
            </w:pPr>
            <w:r>
              <w:rPr>
                <w:rFonts w:ascii="Times New Roman"/>
                <w:sz w:val="18"/>
              </w:rPr>
              <w:t>83.51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50" w:right="0"/>
              <w:jc w:val="left"/>
              <w:rPr>
                <w:rFonts w:ascii="Times New Roman" w:hAnsi="Times New Roman" w:cs="Times New Roman" w:eastAsia="Times New Roman" w:hint="default"/>
                <w:sz w:val="18"/>
                <w:szCs w:val="18"/>
              </w:rPr>
            </w:pPr>
            <w:r>
              <w:rPr>
                <w:rFonts w:ascii="Times New Roman"/>
                <w:sz w:val="18"/>
              </w:rPr>
              <w:t>2,980,702,</w:t>
            </w:r>
          </w:p>
          <w:p>
            <w:pPr>
              <w:pStyle w:val="TableParagraph"/>
              <w:spacing w:line="207" w:lineRule="exact"/>
              <w:ind w:left="321" w:right="0"/>
              <w:jc w:val="left"/>
              <w:rPr>
                <w:rFonts w:ascii="Times New Roman" w:hAnsi="Times New Roman" w:cs="Times New Roman" w:eastAsia="Times New Roman" w:hint="default"/>
                <w:sz w:val="18"/>
                <w:szCs w:val="18"/>
              </w:rPr>
            </w:pPr>
            <w:r>
              <w:rPr>
                <w:rFonts w:ascii="Times New Roman"/>
                <w:sz w:val="18"/>
              </w:rPr>
              <w:t>629.01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left="50" w:right="0"/>
              <w:jc w:val="left"/>
              <w:rPr>
                <w:rFonts w:ascii="Times New Roman" w:hAnsi="Times New Roman" w:cs="Times New Roman" w:eastAsia="Times New Roman" w:hint="default"/>
                <w:sz w:val="18"/>
                <w:szCs w:val="18"/>
              </w:rPr>
            </w:pPr>
            <w:r>
              <w:rPr>
                <w:rFonts w:ascii="Times New Roman"/>
                <w:sz w:val="18"/>
              </w:rPr>
              <w:t>8,239,197,</w:t>
            </w:r>
          </w:p>
          <w:p>
            <w:pPr>
              <w:pStyle w:val="TableParagraph"/>
              <w:spacing w:line="207" w:lineRule="exact"/>
              <w:ind w:left="321" w:right="0"/>
              <w:jc w:val="left"/>
              <w:rPr>
                <w:rFonts w:ascii="Times New Roman" w:hAnsi="Times New Roman" w:cs="Times New Roman" w:eastAsia="Times New Roman" w:hint="default"/>
                <w:sz w:val="18"/>
                <w:szCs w:val="18"/>
              </w:rPr>
            </w:pPr>
            <w:r>
              <w:rPr>
                <w:rFonts w:ascii="Times New Roman"/>
                <w:sz w:val="18"/>
              </w:rPr>
              <w:t>899.45</w:t>
            </w:r>
          </w:p>
        </w:tc>
      </w:tr>
    </w:tbl>
    <w:p>
      <w:pPr>
        <w:spacing w:line="240" w:lineRule="auto" w:before="0"/>
        <w:rPr>
          <w:rFonts w:ascii="宋体" w:hAnsi="宋体" w:cs="宋体" w:eastAsia="宋体" w:hint="default"/>
          <w:sz w:val="17"/>
          <w:szCs w:val="17"/>
        </w:rPr>
      </w:pPr>
    </w:p>
    <w:p>
      <w:pPr>
        <w:pStyle w:val="BodyText"/>
        <w:tabs>
          <w:tab w:pos="3272" w:val="left" w:leader="none"/>
          <w:tab w:pos="6494" w:val="left" w:leader="none"/>
        </w:tabs>
        <w:spacing w:line="240" w:lineRule="auto" w:before="44"/>
        <w:ind w:left="138" w:right="1683"/>
        <w:jc w:val="left"/>
      </w:pPr>
      <w:r>
        <w:rPr>
          <w:spacing w:val="-3"/>
        </w:rPr>
        <w:t>法定代表人：黄跃珍</w:t>
        <w:tab/>
      </w:r>
      <w:r>
        <w:rPr>
          <w:spacing w:val="-2"/>
        </w:rPr>
        <w:t>主管会计工作负责人：蒋春晨</w:t>
        <w:tab/>
      </w:r>
      <w:r>
        <w:rPr>
          <w:spacing w:val="-3"/>
        </w:rPr>
        <w:t>会计机构负责人：惠小绒</w:t>
      </w:r>
    </w:p>
    <w:p>
      <w:pPr>
        <w:pStyle w:val="Heading2"/>
        <w:spacing w:line="240" w:lineRule="auto" w:before="30"/>
        <w:ind w:left="138" w:right="1683"/>
        <w:jc w:val="left"/>
        <w:rPr>
          <w:b w:val="0"/>
          <w:bCs w:val="0"/>
        </w:rPr>
      </w:pPr>
      <w:r>
        <w:rPr/>
        <w:t>三、公司基本情况</w:t>
      </w:r>
      <w:r>
        <w:rPr>
          <w:b w:val="0"/>
          <w:bCs w:val="0"/>
        </w:rPr>
      </w:r>
    </w:p>
    <w:p>
      <w:pPr>
        <w:pStyle w:val="Heading2"/>
        <w:spacing w:line="240" w:lineRule="auto" w:before="151"/>
        <w:ind w:left="620" w:right="1683"/>
        <w:jc w:val="left"/>
        <w:rPr>
          <w:b w:val="0"/>
          <w:bCs w:val="0"/>
        </w:rPr>
      </w:pPr>
      <w:r>
        <w:rPr>
          <w:rFonts w:ascii="Times New Roman" w:hAnsi="Times New Roman" w:cs="Times New Roman" w:eastAsia="Times New Roman" w:hint="default"/>
        </w:rPr>
        <w:t>1</w:t>
      </w:r>
      <w:r>
        <w:rPr/>
        <w:t>、公司概况</w:t>
      </w:r>
      <w:r>
        <w:rPr>
          <w:b w:val="0"/>
          <w:bCs w:val="0"/>
        </w:rPr>
      </w:r>
    </w:p>
    <w:p>
      <w:pPr>
        <w:pStyle w:val="Heading3"/>
        <w:spacing w:line="357" w:lineRule="auto" w:before="142"/>
        <w:ind w:right="1683" w:firstLine="537"/>
        <w:jc w:val="left"/>
      </w:pPr>
      <w:r>
        <w:rPr/>
        <w:t>广州广电运通金融电子股份有限公司</w:t>
      </w:r>
      <w:r>
        <w:rPr>
          <w:rFonts w:ascii="宋体" w:hAnsi="宋体" w:cs="宋体" w:eastAsia="宋体" w:hint="default"/>
        </w:rPr>
        <w:t>(</w:t>
      </w:r>
      <w:r>
        <w:rPr/>
        <w:t>以下简称“本公司或公司”</w:t>
      </w:r>
      <w:r>
        <w:rPr>
          <w:rFonts w:ascii="宋体" w:hAnsi="宋体" w:cs="宋体" w:eastAsia="宋体" w:hint="default"/>
        </w:rPr>
        <w:t>)</w:t>
      </w:r>
      <w:r>
        <w:rPr/>
        <w:t>前身系广州广电运</w:t>
      </w:r>
      <w:r>
        <w:rPr>
          <w:w w:val="100"/>
        </w:rPr>
        <w:t> </w:t>
      </w:r>
      <w:r>
        <w:rPr>
          <w:spacing w:val="-4"/>
        </w:rPr>
        <w:t>通金融电子有限公司，成立于</w:t>
      </w:r>
      <w:r>
        <w:rPr>
          <w:rFonts w:ascii="宋体" w:hAnsi="宋体" w:cs="宋体" w:eastAsia="宋体" w:hint="default"/>
          <w:spacing w:val="-4"/>
        </w:rPr>
        <w:t>1999</w:t>
      </w:r>
      <w:r>
        <w:rPr>
          <w:spacing w:val="-4"/>
        </w:rPr>
        <w:t>年</w:t>
      </w:r>
      <w:r>
        <w:rPr>
          <w:rFonts w:ascii="宋体" w:hAnsi="宋体" w:cs="宋体" w:eastAsia="宋体" w:hint="default"/>
          <w:spacing w:val="-4"/>
        </w:rPr>
        <w:t>7</w:t>
      </w:r>
      <w:r>
        <w:rPr>
          <w:spacing w:val="-4"/>
        </w:rPr>
        <w:t>月</w:t>
      </w:r>
      <w:r>
        <w:rPr>
          <w:rFonts w:ascii="宋体" w:hAnsi="宋体" w:cs="宋体" w:eastAsia="宋体" w:hint="default"/>
          <w:spacing w:val="-4"/>
        </w:rPr>
        <w:t>8</w:t>
      </w:r>
      <w:r>
        <w:rPr>
          <w:spacing w:val="-4"/>
        </w:rPr>
        <w:t>日，</w:t>
      </w:r>
      <w:r>
        <w:rPr>
          <w:rFonts w:ascii="宋体" w:hAnsi="宋体" w:cs="宋体" w:eastAsia="宋体" w:hint="default"/>
          <w:spacing w:val="-4"/>
        </w:rPr>
        <w:t>2005</w:t>
      </w:r>
      <w:r>
        <w:rPr>
          <w:spacing w:val="-4"/>
        </w:rPr>
        <w:t>年</w:t>
      </w:r>
      <w:r>
        <w:rPr>
          <w:rFonts w:ascii="宋体" w:hAnsi="宋体" w:cs="宋体" w:eastAsia="宋体" w:hint="default"/>
          <w:spacing w:val="-4"/>
        </w:rPr>
        <w:t>10</w:t>
      </w:r>
      <w:r>
        <w:rPr>
          <w:spacing w:val="-4"/>
        </w:rPr>
        <w:t>月经广州市人民政府办公厅穗府办函</w:t>
      </w:r>
      <w:r>
        <w:rPr>
          <w:spacing w:val="-18"/>
        </w:rPr>
        <w:t> </w:t>
      </w:r>
      <w:r>
        <w:rPr>
          <w:spacing w:val="-18"/>
        </w:rPr>
      </w:r>
      <w:r>
        <w:rPr>
          <w:rFonts w:ascii="宋体" w:hAnsi="宋体" w:cs="宋体" w:eastAsia="宋体" w:hint="default"/>
          <w:spacing w:val="-3"/>
        </w:rPr>
        <w:t>[2005]161</w:t>
      </w:r>
      <w:r>
        <w:rPr>
          <w:spacing w:val="-3"/>
        </w:rPr>
        <w:t>号文批准，广州市经济贸易委员会穗经贸函</w:t>
      </w:r>
      <w:r>
        <w:rPr>
          <w:rFonts w:ascii="宋体" w:hAnsi="宋体" w:cs="宋体" w:eastAsia="宋体" w:hint="default"/>
          <w:spacing w:val="-3"/>
        </w:rPr>
        <w:t>[2005]492</w:t>
      </w:r>
      <w:r>
        <w:rPr>
          <w:spacing w:val="-3"/>
        </w:rPr>
        <w:t>号文批复，由广州无线电集</w:t>
      </w:r>
      <w:r>
        <w:rPr>
          <w:spacing w:val="-55"/>
        </w:rPr>
        <w:t> </w:t>
      </w:r>
      <w:r>
        <w:rPr>
          <w:spacing w:val="-55"/>
        </w:rPr>
      </w:r>
      <w:r>
        <w:rPr>
          <w:spacing w:val="-4"/>
        </w:rPr>
        <w:t>团有限公司、深圳市德通投资有限公司、盈富泰克创业投资有限公司、梅州敬基金属制品有</w:t>
      </w:r>
      <w:r>
        <w:rPr>
          <w:spacing w:val="-44"/>
        </w:rPr>
        <w:t> </w:t>
      </w:r>
      <w:r>
        <w:rPr>
          <w:spacing w:val="-44"/>
        </w:rPr>
      </w:r>
      <w:r>
        <w:rPr>
          <w:spacing w:val="-4"/>
        </w:rPr>
        <w:t>限公司、广州藤川科技有限公司作为发起人，以发起设立方式将广州广电运通金融电子有限</w:t>
      </w:r>
      <w:r>
        <w:rPr>
          <w:spacing w:val="-41"/>
        </w:rPr>
        <w:t> </w:t>
      </w:r>
      <w:r>
        <w:rPr>
          <w:spacing w:val="-41"/>
        </w:rPr>
      </w:r>
      <w:r>
        <w:rPr/>
        <w:t>公司整体变更为广州广电运通金融电子股份有限公司。注册资本为</w:t>
      </w:r>
      <w:r>
        <w:rPr>
          <w:rFonts w:ascii="宋体" w:hAnsi="宋体" w:cs="宋体" w:eastAsia="宋体" w:hint="default"/>
        </w:rPr>
        <w:t>106,559,010.00</w:t>
      </w:r>
      <w:r>
        <w:rPr/>
        <w:t>元，于</w:t>
      </w:r>
      <w:r>
        <w:rPr>
          <w:w w:val="100"/>
        </w:rPr>
        <w:t> </w:t>
      </w:r>
      <w:r>
        <w:rPr>
          <w:rFonts w:ascii="宋体" w:hAnsi="宋体" w:cs="宋体" w:eastAsia="宋体" w:hint="default"/>
          <w:spacing w:val="-1"/>
        </w:rPr>
        <w:t>2005</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18</w:t>
      </w:r>
      <w:r>
        <w:rPr>
          <w:spacing w:val="-1"/>
        </w:rPr>
        <w:t>日取得广州市工商行政管理局核发的变更后的企业法人营业执照，注册号为：</w:t>
      </w:r>
    </w:p>
    <w:p>
      <w:pPr>
        <w:pStyle w:val="Heading3"/>
        <w:spacing w:line="240" w:lineRule="auto" w:before="32"/>
        <w:ind w:right="1683"/>
        <w:jc w:val="left"/>
      </w:pPr>
      <w:r>
        <w:rPr>
          <w:rFonts w:ascii="宋体" w:hAnsi="宋体" w:cs="宋体" w:eastAsia="宋体" w:hint="default"/>
        </w:rPr>
        <w:t>4401011103795</w:t>
      </w:r>
      <w:r>
        <w:rPr/>
        <w:t>。</w:t>
      </w:r>
    </w:p>
    <w:p>
      <w:pPr>
        <w:pStyle w:val="Heading3"/>
        <w:spacing w:line="357" w:lineRule="auto" w:before="133"/>
        <w:ind w:right="1805" w:firstLine="736"/>
        <w:jc w:val="both"/>
      </w:pPr>
      <w:r>
        <w:rPr>
          <w:rFonts w:ascii="宋体" w:hAnsi="宋体" w:cs="宋体" w:eastAsia="宋体" w:hint="default"/>
          <w:spacing w:val="-2"/>
        </w:rPr>
        <w:t>2006</w:t>
      </w:r>
      <w:r>
        <w:rPr>
          <w:spacing w:val="-2"/>
        </w:rPr>
        <w:t>年</w:t>
      </w:r>
      <w:r>
        <w:rPr>
          <w:rFonts w:ascii="宋体" w:hAnsi="宋体" w:cs="宋体" w:eastAsia="宋体" w:hint="default"/>
          <w:spacing w:val="-2"/>
        </w:rPr>
        <w:t>12</w:t>
      </w:r>
      <w:r>
        <w:rPr>
          <w:spacing w:val="-2"/>
        </w:rPr>
        <w:t>月，经本公司股东大会审议通过，股东盈富泰克创业投资有限公司将持有</w:t>
      </w:r>
      <w:r>
        <w:rPr>
          <w:w w:val="100"/>
        </w:rPr>
        <w:t> </w:t>
      </w:r>
      <w:r>
        <w:rPr>
          <w:spacing w:val="-2"/>
        </w:rPr>
        <w:t>本公司</w:t>
      </w:r>
      <w:r>
        <w:rPr>
          <w:rFonts w:ascii="宋体" w:hAnsi="宋体" w:cs="宋体" w:eastAsia="宋体" w:hint="default"/>
          <w:spacing w:val="-2"/>
        </w:rPr>
        <w:t>10.657%</w:t>
      </w:r>
      <w:r>
        <w:rPr>
          <w:spacing w:val="-2"/>
        </w:rPr>
        <w:t>股权中的</w:t>
      </w:r>
      <w:r>
        <w:rPr>
          <w:rFonts w:ascii="宋体" w:hAnsi="宋体" w:cs="宋体" w:eastAsia="宋体" w:hint="default"/>
          <w:spacing w:val="-2"/>
        </w:rPr>
        <w:t>5.026%</w:t>
      </w:r>
      <w:r>
        <w:rPr>
          <w:spacing w:val="-2"/>
        </w:rPr>
        <w:t>转让给股东广州无线电集团有限公司，股东深圳市德通投资</w:t>
      </w:r>
      <w:r>
        <w:rPr>
          <w:spacing w:val="-22"/>
        </w:rPr>
        <w:t> </w:t>
      </w:r>
      <w:r>
        <w:rPr>
          <w:spacing w:val="-22"/>
        </w:rPr>
      </w:r>
      <w:r>
        <w:rPr/>
        <w:t>有限公司将持有本公司</w:t>
      </w:r>
      <w:r>
        <w:rPr>
          <w:rFonts w:ascii="宋体" w:hAnsi="宋体" w:cs="宋体" w:eastAsia="宋体" w:hint="default"/>
        </w:rPr>
        <w:t>17.762%</w:t>
      </w:r>
      <w:r>
        <w:rPr/>
        <w:t>的股权全部转让给自然人股东叶子瑜等</w:t>
      </w:r>
      <w:r>
        <w:rPr>
          <w:rFonts w:ascii="宋体" w:hAnsi="宋体" w:cs="宋体" w:eastAsia="宋体" w:hint="default"/>
        </w:rPr>
        <w:t>48</w:t>
      </w:r>
      <w:r>
        <w:rPr/>
        <w:t>人。</w:t>
      </w:r>
    </w:p>
    <w:p>
      <w:pPr>
        <w:pStyle w:val="Heading3"/>
        <w:spacing w:line="240" w:lineRule="auto"/>
        <w:ind w:left="874" w:right="1683"/>
        <w:jc w:val="left"/>
      </w:pPr>
      <w:r>
        <w:rPr>
          <w:spacing w:val="-3"/>
          <w:w w:val="100"/>
        </w:rPr>
        <w:t>经</w:t>
      </w:r>
      <w:r>
        <w:rPr>
          <w:w w:val="100"/>
        </w:rPr>
        <w:t>中</w:t>
      </w:r>
      <w:r>
        <w:rPr>
          <w:spacing w:val="-3"/>
          <w:w w:val="100"/>
        </w:rPr>
        <w:t>国</w:t>
      </w:r>
      <w:r>
        <w:rPr>
          <w:w w:val="100"/>
        </w:rPr>
        <w:t>证</w:t>
      </w:r>
      <w:r>
        <w:rPr>
          <w:spacing w:val="-3"/>
          <w:w w:val="100"/>
        </w:rPr>
        <w:t>券</w:t>
      </w:r>
      <w:r>
        <w:rPr>
          <w:w w:val="100"/>
        </w:rPr>
        <w:t>监</w:t>
      </w:r>
      <w:r>
        <w:rPr>
          <w:spacing w:val="-3"/>
          <w:w w:val="100"/>
        </w:rPr>
        <w:t>督管</w:t>
      </w:r>
      <w:r>
        <w:rPr>
          <w:w w:val="100"/>
        </w:rPr>
        <w:t>理委</w:t>
      </w:r>
      <w:r>
        <w:rPr>
          <w:spacing w:val="-3"/>
          <w:w w:val="100"/>
        </w:rPr>
        <w:t>员</w:t>
      </w:r>
      <w:r>
        <w:rPr>
          <w:w w:val="100"/>
        </w:rPr>
        <w:t>会</w:t>
      </w:r>
      <w:r>
        <w:rPr>
          <w:spacing w:val="-3"/>
          <w:w w:val="100"/>
        </w:rPr>
        <w:t>证</w:t>
      </w:r>
      <w:r>
        <w:rPr>
          <w:w w:val="100"/>
        </w:rPr>
        <w:t>监</w:t>
      </w:r>
      <w:r>
        <w:rPr>
          <w:spacing w:val="-3"/>
          <w:w w:val="100"/>
        </w:rPr>
        <w:t>发</w:t>
      </w:r>
      <w:r>
        <w:rPr>
          <w:w w:val="100"/>
        </w:rPr>
        <w:t>行</w:t>
      </w:r>
      <w:r>
        <w:rPr>
          <w:spacing w:val="-3"/>
          <w:w w:val="100"/>
        </w:rPr>
        <w:t>字</w:t>
      </w:r>
      <w:r>
        <w:rPr>
          <w:rFonts w:ascii="宋体" w:hAnsi="宋体" w:cs="宋体" w:eastAsia="宋体" w:hint="default"/>
          <w:w w:val="100"/>
        </w:rPr>
        <w:t>[20</w:t>
      </w:r>
      <w:r>
        <w:rPr>
          <w:rFonts w:ascii="宋体" w:hAnsi="宋体" w:cs="宋体" w:eastAsia="宋体" w:hint="default"/>
          <w:spacing w:val="-3"/>
          <w:w w:val="100"/>
        </w:rPr>
        <w:t>07</w:t>
      </w:r>
      <w:r>
        <w:rPr>
          <w:rFonts w:ascii="宋体" w:hAnsi="宋体" w:cs="宋体" w:eastAsia="宋体" w:hint="default"/>
          <w:w w:val="100"/>
        </w:rPr>
        <w:t>]188</w:t>
      </w:r>
      <w:r>
        <w:rPr>
          <w:spacing w:val="-89"/>
          <w:w w:val="100"/>
        </w:rPr>
        <w:t>号</w:t>
      </w:r>
      <w:r>
        <w:rPr>
          <w:spacing w:val="-3"/>
          <w:w w:val="100"/>
        </w:rPr>
        <w:t>《</w:t>
      </w:r>
      <w:r>
        <w:rPr>
          <w:w w:val="100"/>
        </w:rPr>
        <w:t>关</w:t>
      </w:r>
      <w:r>
        <w:rPr>
          <w:spacing w:val="-3"/>
          <w:w w:val="100"/>
        </w:rPr>
        <w:t>于</w:t>
      </w:r>
      <w:r>
        <w:rPr>
          <w:w w:val="100"/>
        </w:rPr>
        <w:t>核</w:t>
      </w:r>
      <w:r>
        <w:rPr>
          <w:spacing w:val="-3"/>
          <w:w w:val="100"/>
        </w:rPr>
        <w:t>准</w:t>
      </w:r>
      <w:r>
        <w:rPr>
          <w:w w:val="100"/>
        </w:rPr>
        <w:t>广</w:t>
      </w:r>
      <w:r>
        <w:rPr>
          <w:spacing w:val="-3"/>
          <w:w w:val="100"/>
        </w:rPr>
        <w:t>州</w:t>
      </w:r>
      <w:r>
        <w:rPr>
          <w:w w:val="100"/>
        </w:rPr>
        <w:t>广</w:t>
      </w:r>
      <w:r>
        <w:rPr>
          <w:spacing w:val="-3"/>
          <w:w w:val="100"/>
        </w:rPr>
        <w:t>电</w:t>
      </w:r>
      <w:r>
        <w:rPr>
          <w:w w:val="100"/>
        </w:rPr>
        <w:t>运通</w:t>
      </w:r>
      <w:r>
        <w:rPr>
          <w:spacing w:val="-3"/>
          <w:w w:val="100"/>
        </w:rPr>
        <w:t>金</w:t>
      </w:r>
      <w:r>
        <w:rPr>
          <w:w w:val="100"/>
        </w:rPr>
        <w:t>融电</w:t>
      </w:r>
    </w:p>
    <w:p>
      <w:pPr>
        <w:spacing w:after="0" w:line="240" w:lineRule="auto"/>
        <w:jc w:val="left"/>
        <w:sectPr>
          <w:pgSz w:w="11910" w:h="16840"/>
          <w:pgMar w:header="733" w:footer="977" w:top="960" w:bottom="1160" w:left="1660" w:right="0"/>
        </w:sectPr>
      </w:pPr>
    </w:p>
    <w:p>
      <w:pPr>
        <w:spacing w:line="240" w:lineRule="auto" w:before="0"/>
        <w:rPr>
          <w:rFonts w:ascii="宋体" w:hAnsi="宋体" w:cs="宋体" w:eastAsia="宋体" w:hint="default"/>
          <w:sz w:val="20"/>
          <w:szCs w:val="20"/>
        </w:rPr>
      </w:pPr>
    </w:p>
    <w:p>
      <w:pPr>
        <w:pStyle w:val="Heading3"/>
        <w:spacing w:line="240" w:lineRule="auto" w:before="168"/>
        <w:ind w:right="1683"/>
        <w:jc w:val="left"/>
      </w:pPr>
      <w:r>
        <w:rPr>
          <w:spacing w:val="-4"/>
        </w:rPr>
        <w:t>子股份有限公司首次公开发行股票的通知》核准，本公司获准向社会公开发行人民币普通股</w:t>
      </w:r>
    </w:p>
    <w:p>
      <w:pPr>
        <w:pStyle w:val="Heading3"/>
        <w:spacing w:line="357" w:lineRule="auto" w:before="133"/>
        <w:ind w:right="1786"/>
        <w:jc w:val="both"/>
      </w:pPr>
      <w:r>
        <w:rPr>
          <w:spacing w:val="-4"/>
        </w:rPr>
        <w:t>（</w:t>
      </w:r>
      <w:r>
        <w:rPr>
          <w:rFonts w:ascii="宋体" w:hAnsi="宋体" w:cs="宋体" w:eastAsia="宋体" w:hint="default"/>
          <w:spacing w:val="-4"/>
        </w:rPr>
        <w:t>A</w:t>
      </w:r>
      <w:r>
        <w:rPr>
          <w:spacing w:val="-4"/>
        </w:rPr>
        <w:t>股）</w:t>
      </w:r>
      <w:r>
        <w:rPr>
          <w:rFonts w:ascii="宋体" w:hAnsi="宋体" w:cs="宋体" w:eastAsia="宋体" w:hint="default"/>
          <w:spacing w:val="-4"/>
        </w:rPr>
        <w:t>3600</w:t>
      </w:r>
      <w:r>
        <w:rPr>
          <w:spacing w:val="-4"/>
        </w:rPr>
        <w:t>万股。并于</w:t>
      </w:r>
      <w:r>
        <w:rPr>
          <w:rFonts w:ascii="宋体" w:hAnsi="宋体" w:cs="宋体" w:eastAsia="宋体" w:hint="default"/>
          <w:spacing w:val="-4"/>
        </w:rPr>
        <w:t>2007</w:t>
      </w:r>
      <w:r>
        <w:rPr>
          <w:spacing w:val="-4"/>
        </w:rPr>
        <w:t>年</w:t>
      </w:r>
      <w:r>
        <w:rPr>
          <w:rFonts w:ascii="宋体" w:hAnsi="宋体" w:cs="宋体" w:eastAsia="宋体" w:hint="default"/>
          <w:spacing w:val="-4"/>
        </w:rPr>
        <w:t>8</w:t>
      </w:r>
      <w:r>
        <w:rPr>
          <w:spacing w:val="-4"/>
        </w:rPr>
        <w:t>月</w:t>
      </w:r>
      <w:r>
        <w:rPr>
          <w:rFonts w:ascii="宋体" w:hAnsi="宋体" w:cs="宋体" w:eastAsia="宋体" w:hint="default"/>
          <w:spacing w:val="-4"/>
        </w:rPr>
        <w:t>13</w:t>
      </w:r>
      <w:r>
        <w:rPr>
          <w:spacing w:val="-4"/>
        </w:rPr>
        <w:t>日在深圳证券交易所挂牌交易，发行上市后注册资本由</w:t>
      </w:r>
      <w:r>
        <w:rPr>
          <w:spacing w:val="-22"/>
        </w:rPr>
        <w:t> </w:t>
      </w:r>
      <w:r>
        <w:rPr>
          <w:spacing w:val="-22"/>
        </w:rPr>
      </w:r>
      <w:r>
        <w:rPr>
          <w:spacing w:val="-3"/>
        </w:rPr>
        <w:t>人民币</w:t>
      </w:r>
      <w:r>
        <w:rPr>
          <w:rFonts w:ascii="宋体" w:hAnsi="宋体" w:cs="宋体" w:eastAsia="宋体" w:hint="default"/>
          <w:spacing w:val="-3"/>
        </w:rPr>
        <w:t>106,559,010.00</w:t>
      </w:r>
      <w:r>
        <w:rPr>
          <w:spacing w:val="-3"/>
        </w:rPr>
        <w:t>元增加至</w:t>
      </w:r>
      <w:r>
        <w:rPr>
          <w:rFonts w:ascii="宋体" w:hAnsi="宋体" w:cs="宋体" w:eastAsia="宋体" w:hint="default"/>
          <w:spacing w:val="-3"/>
        </w:rPr>
        <w:t>142,559,010.00</w:t>
      </w:r>
      <w:r>
        <w:rPr>
          <w:spacing w:val="-3"/>
        </w:rPr>
        <w:t>元。证券简称为“广电运通”，证券代码为</w:t>
      </w:r>
      <w:r>
        <w:rPr>
          <w:spacing w:val="-37"/>
        </w:rPr>
        <w:t> </w:t>
      </w:r>
      <w:r>
        <w:rPr>
          <w:spacing w:val="-37"/>
        </w:rPr>
      </w:r>
      <w:r>
        <w:rPr/>
        <w:t>“</w:t>
      </w:r>
      <w:r>
        <w:rPr>
          <w:rFonts w:ascii="宋体" w:hAnsi="宋体" w:cs="宋体" w:eastAsia="宋体" w:hint="default"/>
        </w:rPr>
        <w:t>002152</w:t>
      </w:r>
      <w:r>
        <w:rPr/>
        <w:t>”，所属行业为通用设备制造业。</w:t>
      </w:r>
    </w:p>
    <w:p>
      <w:pPr>
        <w:pStyle w:val="Heading3"/>
        <w:spacing w:line="355" w:lineRule="auto"/>
        <w:ind w:right="1683" w:firstLine="631"/>
        <w:jc w:val="left"/>
      </w:pPr>
      <w:r>
        <w:rPr>
          <w:spacing w:val="-2"/>
        </w:rPr>
        <w:t>经本公司第一届董事会第十五次会议、</w:t>
      </w:r>
      <w:r>
        <w:rPr>
          <w:rFonts w:ascii="宋体" w:hAnsi="宋体" w:cs="宋体" w:eastAsia="宋体" w:hint="default"/>
          <w:spacing w:val="-2"/>
        </w:rPr>
        <w:t>2008</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18</w:t>
      </w:r>
      <w:r>
        <w:rPr>
          <w:spacing w:val="-2"/>
        </w:rPr>
        <w:t>日股东大会决议通过，本公司以</w:t>
      </w:r>
      <w:r>
        <w:rPr>
          <w:w w:val="100"/>
        </w:rPr>
        <w:t> </w:t>
      </w:r>
      <w:r>
        <w:rPr>
          <w:rFonts w:ascii="宋体" w:hAnsi="宋体" w:cs="宋体" w:eastAsia="宋体" w:hint="default"/>
        </w:rPr>
        <w:t>2007</w:t>
      </w:r>
      <w:r>
        <w:rPr/>
        <w:t>年末总股本为基数，以资本公积向全体股东每</w:t>
      </w:r>
      <w:r>
        <w:rPr>
          <w:rFonts w:ascii="宋体" w:hAnsi="宋体" w:cs="宋体" w:eastAsia="宋体" w:hint="default"/>
        </w:rPr>
        <w:t>10</w:t>
      </w:r>
      <w:r>
        <w:rPr/>
        <w:t>股转增</w:t>
      </w:r>
      <w:r>
        <w:rPr>
          <w:rFonts w:ascii="宋体" w:hAnsi="宋体" w:cs="宋体" w:eastAsia="宋体" w:hint="default"/>
        </w:rPr>
        <w:t>10</w:t>
      </w:r>
      <w:r>
        <w:rPr/>
        <w:t>股股本。</w:t>
      </w:r>
    </w:p>
    <w:p>
      <w:pPr>
        <w:pStyle w:val="Heading3"/>
        <w:spacing w:line="357" w:lineRule="auto" w:before="32"/>
        <w:ind w:right="1683" w:firstLine="631"/>
        <w:jc w:val="left"/>
      </w:pPr>
      <w:r>
        <w:rPr>
          <w:spacing w:val="-6"/>
          <w:w w:val="100"/>
        </w:rPr>
        <w:t>经本公司第二届董事会第二次会议、</w:t>
      </w:r>
      <w:r>
        <w:rPr>
          <w:rFonts w:ascii="宋体" w:hAnsi="宋体" w:cs="宋体" w:eastAsia="宋体" w:hint="default"/>
          <w:spacing w:val="-6"/>
          <w:w w:val="100"/>
        </w:rPr>
        <w:t>2009</w:t>
      </w:r>
      <w:r>
        <w:rPr>
          <w:spacing w:val="-6"/>
          <w:w w:val="100"/>
        </w:rPr>
        <w:t>年</w:t>
      </w:r>
      <w:r>
        <w:rPr>
          <w:rFonts w:ascii="宋体" w:hAnsi="宋体" w:cs="宋体" w:eastAsia="宋体" w:hint="default"/>
          <w:spacing w:val="-6"/>
          <w:w w:val="100"/>
        </w:rPr>
        <w:t>4</w:t>
      </w:r>
      <w:r>
        <w:rPr>
          <w:spacing w:val="-6"/>
          <w:w w:val="100"/>
        </w:rPr>
        <w:t>月</w:t>
      </w:r>
      <w:r>
        <w:rPr>
          <w:rFonts w:ascii="宋体" w:hAnsi="宋体" w:cs="宋体" w:eastAsia="宋体" w:hint="default"/>
          <w:spacing w:val="-6"/>
          <w:w w:val="100"/>
        </w:rPr>
        <w:t>28</w:t>
      </w:r>
      <w:r>
        <w:rPr>
          <w:spacing w:val="-6"/>
          <w:w w:val="100"/>
        </w:rPr>
        <w:t>日股东大会决议通过，本公司以</w:t>
      </w:r>
      <w:r>
        <w:rPr>
          <w:rFonts w:ascii="宋体" w:hAnsi="宋体" w:cs="宋体" w:eastAsia="宋体" w:hint="default"/>
          <w:spacing w:val="-6"/>
          <w:w w:val="100"/>
        </w:rPr>
        <w:t>2008</w:t>
      </w:r>
      <w:r>
        <w:rPr>
          <w:rFonts w:ascii="宋体" w:hAnsi="宋体" w:cs="宋体" w:eastAsia="宋体" w:hint="default"/>
          <w:w w:val="100"/>
        </w:rPr>
        <w:t> </w:t>
      </w:r>
      <w:r>
        <w:rPr/>
        <w:t>年末总股本为基数，以资本公积向全体股东每</w:t>
      </w:r>
      <w:r>
        <w:rPr>
          <w:rFonts w:ascii="宋体" w:hAnsi="宋体" w:cs="宋体" w:eastAsia="宋体" w:hint="default"/>
        </w:rPr>
        <w:t>10</w:t>
      </w:r>
      <w:r>
        <w:rPr/>
        <w:t>股转增</w:t>
      </w:r>
      <w:r>
        <w:rPr>
          <w:rFonts w:ascii="宋体" w:hAnsi="宋体" w:cs="宋体" w:eastAsia="宋体" w:hint="default"/>
        </w:rPr>
        <w:t>2</w:t>
      </w:r>
      <w:r>
        <w:rPr/>
        <w:t>股股本。</w:t>
      </w:r>
    </w:p>
    <w:p>
      <w:pPr>
        <w:pStyle w:val="Heading3"/>
        <w:spacing w:line="355" w:lineRule="auto" w:before="31"/>
        <w:ind w:right="1683" w:firstLine="631"/>
        <w:jc w:val="left"/>
      </w:pPr>
      <w:r>
        <w:rPr>
          <w:spacing w:val="-2"/>
        </w:rPr>
        <w:t>经本公司第二届董事会第十二次会议、</w:t>
      </w:r>
      <w:r>
        <w:rPr>
          <w:rFonts w:ascii="宋体" w:hAnsi="宋体" w:cs="宋体" w:eastAsia="宋体" w:hint="default"/>
          <w:spacing w:val="-2"/>
        </w:rPr>
        <w:t>2011</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15</w:t>
      </w:r>
      <w:r>
        <w:rPr>
          <w:spacing w:val="-2"/>
        </w:rPr>
        <w:t>日股东大会决议通过，本公司以</w:t>
      </w:r>
      <w:r>
        <w:rPr>
          <w:w w:val="100"/>
        </w:rPr>
        <w:t> </w:t>
      </w:r>
      <w:r>
        <w:rPr>
          <w:rFonts w:ascii="宋体" w:hAnsi="宋体" w:cs="宋体" w:eastAsia="宋体" w:hint="default"/>
        </w:rPr>
        <w:t>2010</w:t>
      </w:r>
      <w:r>
        <w:rPr/>
        <w:t>年末总股本为基数，以未分配利润向全体股东每</w:t>
      </w:r>
      <w:r>
        <w:rPr>
          <w:rFonts w:ascii="宋体" w:hAnsi="宋体" w:cs="宋体" w:eastAsia="宋体" w:hint="default"/>
        </w:rPr>
        <w:t>10</w:t>
      </w:r>
      <w:r>
        <w:rPr/>
        <w:t>股送</w:t>
      </w:r>
      <w:r>
        <w:rPr>
          <w:rFonts w:ascii="宋体" w:hAnsi="宋体" w:cs="宋体" w:eastAsia="宋体" w:hint="default"/>
        </w:rPr>
        <w:t>3</w:t>
      </w:r>
      <w:r>
        <w:rPr/>
        <w:t>股红股。</w:t>
      </w:r>
    </w:p>
    <w:p>
      <w:pPr>
        <w:pStyle w:val="Heading3"/>
        <w:spacing w:line="355" w:lineRule="auto" w:before="32"/>
        <w:ind w:right="1683" w:firstLine="631"/>
        <w:jc w:val="left"/>
      </w:pPr>
      <w:r>
        <w:rPr>
          <w:spacing w:val="-6"/>
          <w:w w:val="100"/>
        </w:rPr>
        <w:t>经本公司第三届董事会第二次会议、</w:t>
      </w:r>
      <w:r>
        <w:rPr>
          <w:rFonts w:ascii="宋体" w:hAnsi="宋体" w:cs="宋体" w:eastAsia="宋体" w:hint="default"/>
          <w:spacing w:val="-6"/>
          <w:w w:val="100"/>
        </w:rPr>
        <w:t>2012</w:t>
      </w:r>
      <w:r>
        <w:rPr>
          <w:spacing w:val="-6"/>
          <w:w w:val="100"/>
        </w:rPr>
        <w:t>年</w:t>
      </w:r>
      <w:r>
        <w:rPr>
          <w:rFonts w:ascii="宋体" w:hAnsi="宋体" w:cs="宋体" w:eastAsia="宋体" w:hint="default"/>
          <w:spacing w:val="-6"/>
          <w:w w:val="100"/>
        </w:rPr>
        <w:t>4</w:t>
      </w:r>
      <w:r>
        <w:rPr>
          <w:spacing w:val="-6"/>
          <w:w w:val="100"/>
        </w:rPr>
        <w:t>月</w:t>
      </w:r>
      <w:r>
        <w:rPr>
          <w:rFonts w:ascii="宋体" w:hAnsi="宋体" w:cs="宋体" w:eastAsia="宋体" w:hint="default"/>
          <w:spacing w:val="-6"/>
          <w:w w:val="100"/>
        </w:rPr>
        <w:t>19</w:t>
      </w:r>
      <w:r>
        <w:rPr>
          <w:spacing w:val="-6"/>
          <w:w w:val="100"/>
        </w:rPr>
        <w:t>日股东大会决议通过，本公司以</w:t>
      </w:r>
      <w:r>
        <w:rPr>
          <w:rFonts w:ascii="宋体" w:hAnsi="宋体" w:cs="宋体" w:eastAsia="宋体" w:hint="default"/>
          <w:spacing w:val="-6"/>
          <w:w w:val="100"/>
        </w:rPr>
        <w:t>2011</w:t>
      </w:r>
      <w:r>
        <w:rPr>
          <w:rFonts w:ascii="宋体" w:hAnsi="宋体" w:cs="宋体" w:eastAsia="宋体" w:hint="default"/>
          <w:w w:val="100"/>
        </w:rPr>
        <w:t> </w:t>
      </w:r>
      <w:r>
        <w:rPr/>
        <w:t>年末总股本为基数，以资本公积向全体股东每</w:t>
      </w:r>
      <w:r>
        <w:rPr>
          <w:rFonts w:ascii="宋体" w:hAnsi="宋体" w:cs="宋体" w:eastAsia="宋体" w:hint="default"/>
        </w:rPr>
        <w:t>10</w:t>
      </w:r>
      <w:r>
        <w:rPr/>
        <w:t>股转增</w:t>
      </w:r>
      <w:r>
        <w:rPr>
          <w:rFonts w:ascii="宋体" w:hAnsi="宋体" w:cs="宋体" w:eastAsia="宋体" w:hint="default"/>
        </w:rPr>
        <w:t>4</w:t>
      </w:r>
      <w:r>
        <w:rPr/>
        <w:t>股股本。</w:t>
      </w:r>
    </w:p>
    <w:p>
      <w:pPr>
        <w:pStyle w:val="Heading3"/>
        <w:spacing w:line="355" w:lineRule="auto" w:before="34"/>
        <w:ind w:right="1683" w:firstLine="631"/>
        <w:jc w:val="left"/>
      </w:pPr>
      <w:r>
        <w:rPr>
          <w:spacing w:val="-6"/>
          <w:w w:val="100"/>
        </w:rPr>
        <w:t>经本公司第三届董事会第十次会议、</w:t>
      </w:r>
      <w:r>
        <w:rPr>
          <w:rFonts w:ascii="宋体" w:hAnsi="宋体" w:cs="宋体" w:eastAsia="宋体" w:hint="default"/>
          <w:spacing w:val="-6"/>
          <w:w w:val="100"/>
        </w:rPr>
        <w:t>2013</w:t>
      </w:r>
      <w:r>
        <w:rPr>
          <w:spacing w:val="-6"/>
          <w:w w:val="100"/>
        </w:rPr>
        <w:t>年</w:t>
      </w:r>
      <w:r>
        <w:rPr>
          <w:rFonts w:ascii="宋体" w:hAnsi="宋体" w:cs="宋体" w:eastAsia="宋体" w:hint="default"/>
          <w:spacing w:val="-6"/>
          <w:w w:val="100"/>
        </w:rPr>
        <w:t>4</w:t>
      </w:r>
      <w:r>
        <w:rPr>
          <w:spacing w:val="-6"/>
          <w:w w:val="100"/>
        </w:rPr>
        <w:t>月</w:t>
      </w:r>
      <w:r>
        <w:rPr>
          <w:rFonts w:ascii="宋体" w:hAnsi="宋体" w:cs="宋体" w:eastAsia="宋体" w:hint="default"/>
          <w:spacing w:val="-6"/>
          <w:w w:val="100"/>
        </w:rPr>
        <w:t>23</w:t>
      </w:r>
      <w:r>
        <w:rPr>
          <w:spacing w:val="-6"/>
          <w:w w:val="100"/>
        </w:rPr>
        <w:t>日股东大会决议通过，本公司以</w:t>
      </w:r>
      <w:r>
        <w:rPr>
          <w:rFonts w:ascii="宋体" w:hAnsi="宋体" w:cs="宋体" w:eastAsia="宋体" w:hint="default"/>
          <w:spacing w:val="-6"/>
          <w:w w:val="100"/>
        </w:rPr>
        <w:t>2012</w:t>
      </w:r>
      <w:r>
        <w:rPr>
          <w:rFonts w:ascii="宋体" w:hAnsi="宋体" w:cs="宋体" w:eastAsia="宋体" w:hint="default"/>
          <w:w w:val="100"/>
        </w:rPr>
        <w:t> </w:t>
      </w:r>
      <w:r>
        <w:rPr/>
        <w:t>年末总股本为基数，以未分配利润向全体股东每</w:t>
      </w:r>
      <w:r>
        <w:rPr>
          <w:rFonts w:ascii="宋体" w:hAnsi="宋体" w:cs="宋体" w:eastAsia="宋体" w:hint="default"/>
        </w:rPr>
        <w:t>10</w:t>
      </w:r>
      <w:r>
        <w:rPr/>
        <w:t>股送</w:t>
      </w:r>
      <w:r>
        <w:rPr>
          <w:rFonts w:ascii="宋体" w:hAnsi="宋体" w:cs="宋体" w:eastAsia="宋体" w:hint="default"/>
        </w:rPr>
        <w:t>2</w:t>
      </w:r>
      <w:r>
        <w:rPr/>
        <w:t>股红股。</w:t>
      </w:r>
    </w:p>
    <w:p>
      <w:pPr>
        <w:pStyle w:val="Heading3"/>
        <w:spacing w:line="355" w:lineRule="auto" w:before="32"/>
        <w:ind w:right="1683" w:firstLine="525"/>
        <w:jc w:val="left"/>
      </w:pPr>
      <w:r>
        <w:rPr>
          <w:spacing w:val="-2"/>
        </w:rPr>
        <w:t>经本公司第三届董事会第十八次会议、</w:t>
      </w:r>
      <w:r>
        <w:rPr>
          <w:rFonts w:ascii="宋体" w:hAnsi="宋体" w:cs="宋体" w:eastAsia="宋体" w:hint="default"/>
          <w:spacing w:val="-2"/>
        </w:rPr>
        <w:t>2014</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22</w:t>
      </w:r>
      <w:r>
        <w:rPr>
          <w:spacing w:val="-2"/>
        </w:rPr>
        <w:t>日股东大会决议通过，本公司以</w:t>
      </w:r>
      <w:r>
        <w:rPr>
          <w:w w:val="100"/>
        </w:rPr>
        <w:t> </w:t>
      </w:r>
      <w:r>
        <w:rPr>
          <w:rFonts w:ascii="宋体" w:hAnsi="宋体" w:cs="宋体" w:eastAsia="宋体" w:hint="default"/>
        </w:rPr>
        <w:t>2013</w:t>
      </w:r>
      <w:r>
        <w:rPr/>
        <w:t>年末总股本为基数，以未分配利润向全体股东每</w:t>
      </w:r>
      <w:r>
        <w:rPr>
          <w:rFonts w:ascii="宋体" w:hAnsi="宋体" w:cs="宋体" w:eastAsia="宋体" w:hint="default"/>
        </w:rPr>
        <w:t>10</w:t>
      </w:r>
      <w:r>
        <w:rPr/>
        <w:t>股送</w:t>
      </w:r>
      <w:r>
        <w:rPr>
          <w:rFonts w:ascii="宋体" w:hAnsi="宋体" w:cs="宋体" w:eastAsia="宋体" w:hint="default"/>
        </w:rPr>
        <w:t>2</w:t>
      </w:r>
      <w:r>
        <w:rPr/>
        <w:t>股红股。</w:t>
      </w:r>
    </w:p>
    <w:p>
      <w:pPr>
        <w:pStyle w:val="Heading3"/>
        <w:spacing w:line="357" w:lineRule="auto" w:before="32"/>
        <w:ind w:right="1683" w:firstLine="525"/>
        <w:jc w:val="left"/>
      </w:pPr>
      <w:r>
        <w:rPr/>
        <w:t>经中国证券监督管理委员会《关于核准广州广电运通金融电子股份有限公司非公开发</w:t>
      </w:r>
      <w:r>
        <w:rPr>
          <w:w w:val="100"/>
        </w:rPr>
        <w:t> </w:t>
      </w:r>
      <w:r>
        <w:rPr/>
        <w:t>行股票的批复》（证监许可【</w:t>
      </w:r>
      <w:r>
        <w:rPr>
          <w:rFonts w:ascii="宋体" w:hAnsi="宋体" w:cs="宋体" w:eastAsia="宋体" w:hint="default"/>
        </w:rPr>
        <w:t>2015</w:t>
      </w:r>
      <w:r>
        <w:rPr/>
        <w:t>】</w:t>
      </w:r>
      <w:r>
        <w:rPr>
          <w:rFonts w:ascii="宋体" w:hAnsi="宋体" w:cs="宋体" w:eastAsia="宋体" w:hint="default"/>
        </w:rPr>
        <w:t>3135</w:t>
      </w:r>
      <w:r>
        <w:rPr/>
        <w:t>号）核准，公司非公开发行</w:t>
      </w:r>
      <w:r>
        <w:rPr>
          <w:rFonts w:ascii="宋体" w:hAnsi="宋体" w:cs="宋体" w:eastAsia="宋体" w:hint="default"/>
        </w:rPr>
        <w:t>182,820,000</w:t>
      </w:r>
      <w:r>
        <w:rPr/>
        <w:t>股人民币</w:t>
      </w:r>
      <w:r>
        <w:rPr>
          <w:w w:val="100"/>
        </w:rPr>
        <w:t> </w:t>
      </w:r>
      <w:r>
        <w:rPr>
          <w:spacing w:val="-3"/>
        </w:rPr>
        <w:t>普通股（</w:t>
      </w:r>
      <w:r>
        <w:rPr>
          <w:rFonts w:ascii="宋体" w:hAnsi="宋体" w:cs="宋体" w:eastAsia="宋体" w:hint="default"/>
          <w:spacing w:val="-3"/>
        </w:rPr>
        <w:t>A</w:t>
      </w:r>
      <w:r>
        <w:rPr>
          <w:spacing w:val="-3"/>
        </w:rPr>
        <w:t>股）股票，发行价格为</w:t>
      </w:r>
      <w:r>
        <w:rPr>
          <w:rFonts w:ascii="宋体" w:hAnsi="宋体" w:cs="宋体" w:eastAsia="宋体" w:hint="default"/>
          <w:spacing w:val="-3"/>
        </w:rPr>
        <w:t>17.16</w:t>
      </w:r>
      <w:r>
        <w:rPr>
          <w:spacing w:val="-3"/>
        </w:rPr>
        <w:t>元</w:t>
      </w:r>
      <w:r>
        <w:rPr>
          <w:rFonts w:ascii="宋体" w:hAnsi="宋体" w:cs="宋体" w:eastAsia="宋体" w:hint="default"/>
          <w:spacing w:val="-3"/>
        </w:rPr>
        <w:t>/</w:t>
      </w:r>
      <w:r>
        <w:rPr>
          <w:spacing w:val="-3"/>
        </w:rPr>
        <w:t>股，募集资金总额为人民币</w:t>
      </w:r>
      <w:r>
        <w:rPr>
          <w:rFonts w:ascii="宋体" w:hAnsi="宋体" w:cs="宋体" w:eastAsia="宋体" w:hint="default"/>
          <w:spacing w:val="-3"/>
        </w:rPr>
        <w:t>3,137,191,200</w:t>
      </w:r>
      <w:r>
        <w:rPr>
          <w:spacing w:val="-3"/>
        </w:rPr>
        <w:t>元，扣</w:t>
      </w:r>
      <w:r>
        <w:rPr>
          <w:spacing w:val="-53"/>
        </w:rPr>
        <w:t> </w:t>
      </w:r>
      <w:r>
        <w:rPr>
          <w:spacing w:val="-53"/>
        </w:rPr>
      </w:r>
      <w:r>
        <w:rPr/>
        <w:t>除发行费用后，实际募集资金净额为</w:t>
      </w:r>
      <w:r>
        <w:rPr>
          <w:rFonts w:ascii="宋体" w:hAnsi="宋体" w:cs="宋体" w:eastAsia="宋体" w:hint="default"/>
        </w:rPr>
        <w:t>3,115,529,764.90</w:t>
      </w:r>
      <w:r>
        <w:rPr/>
        <w:t>元。</w:t>
      </w:r>
      <w:r>
        <w:rPr>
          <w:rFonts w:ascii="宋体" w:hAnsi="宋体" w:cs="宋体" w:eastAsia="宋体" w:hint="default"/>
        </w:rPr>
        <w:t>2016</w:t>
      </w:r>
      <w:r>
        <w:rPr/>
        <w:t>年</w:t>
      </w:r>
      <w:r>
        <w:rPr>
          <w:rFonts w:ascii="宋体" w:hAnsi="宋体" w:cs="宋体" w:eastAsia="宋体" w:hint="default"/>
        </w:rPr>
        <w:t>2</w:t>
      </w:r>
      <w:r>
        <w:rPr/>
        <w:t>月</w:t>
      </w:r>
      <w:r>
        <w:rPr>
          <w:rFonts w:ascii="宋体" w:hAnsi="宋体" w:cs="宋体" w:eastAsia="宋体" w:hint="default"/>
        </w:rPr>
        <w:t>29</w:t>
      </w:r>
      <w:r>
        <w:rPr/>
        <w:t>日，立信会计师事</w:t>
      </w:r>
      <w:r>
        <w:rPr>
          <w:w w:val="100"/>
        </w:rPr>
        <w:t> </w:t>
      </w:r>
      <w:r>
        <w:rPr>
          <w:spacing w:val="-11"/>
          <w:w w:val="100"/>
        </w:rPr>
        <w:t>务所（特殊普通合伙）对本次发行募集资金到账情况进行了审验，并出具了“信会师报字</w:t>
      </w:r>
      <w:r>
        <w:rPr>
          <w:rFonts w:ascii="宋体" w:hAnsi="宋体" w:cs="宋体" w:eastAsia="宋体" w:hint="default"/>
          <w:spacing w:val="-11"/>
          <w:w w:val="100"/>
        </w:rPr>
        <w:t>[2016]</w:t>
      </w:r>
      <w:r>
        <w:rPr>
          <w:rFonts w:ascii="宋体" w:hAnsi="宋体" w:cs="宋体" w:eastAsia="宋体" w:hint="default"/>
          <w:spacing w:val="-73"/>
          <w:w w:val="100"/>
        </w:rPr>
        <w:t> </w:t>
      </w:r>
      <w:r>
        <w:rPr>
          <w:rFonts w:ascii="宋体" w:hAnsi="宋体" w:cs="宋体" w:eastAsia="宋体" w:hint="default"/>
          <w:spacing w:val="-73"/>
          <w:w w:val="100"/>
        </w:rPr>
      </w:r>
      <w:r>
        <w:rPr/>
        <w:t>第</w:t>
      </w:r>
      <w:r>
        <w:rPr>
          <w:rFonts w:ascii="宋体" w:hAnsi="宋体" w:cs="宋体" w:eastAsia="宋体" w:hint="default"/>
        </w:rPr>
        <w:t>410100</w:t>
      </w:r>
      <w:r>
        <w:rPr/>
        <w:t>号”《验资报告》。</w:t>
      </w:r>
    </w:p>
    <w:p>
      <w:pPr>
        <w:pStyle w:val="Heading3"/>
        <w:spacing w:line="355" w:lineRule="auto"/>
        <w:ind w:left="769" w:right="1683"/>
        <w:jc w:val="left"/>
      </w:pPr>
      <w:r>
        <w:rPr/>
        <w:t>本次发行股票募集资金后，本公司的总股本增至</w:t>
      </w:r>
      <w:r>
        <w:rPr>
          <w:rFonts w:ascii="宋体" w:hAnsi="宋体" w:cs="宋体" w:eastAsia="宋体" w:hint="default"/>
        </w:rPr>
        <w:t>1,079,504,767.00</w:t>
      </w:r>
      <w:r>
        <w:rPr/>
        <w:t>股。</w:t>
      </w:r>
      <w:r>
        <w:rPr>
          <w:spacing w:val="-3"/>
          <w:w w:val="100"/>
        </w:rPr>
        <w:t> </w:t>
      </w:r>
      <w:r>
        <w:rPr>
          <w:spacing w:val="-2"/>
        </w:rPr>
        <w:t>经本公司第四届董事会第十八次会议、</w:t>
      </w:r>
      <w:r>
        <w:rPr>
          <w:rFonts w:ascii="宋体" w:hAnsi="宋体" w:cs="宋体" w:eastAsia="宋体" w:hint="default"/>
          <w:spacing w:val="-2"/>
        </w:rPr>
        <w:t>2016</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18</w:t>
      </w:r>
      <w:r>
        <w:rPr>
          <w:spacing w:val="-2"/>
        </w:rPr>
        <w:t>日股东大会决议通过，本公司以</w:t>
      </w:r>
    </w:p>
    <w:p>
      <w:pPr>
        <w:pStyle w:val="Heading3"/>
        <w:spacing w:line="355" w:lineRule="auto" w:before="33"/>
        <w:ind w:left="769" w:right="1683" w:hanging="632"/>
        <w:jc w:val="left"/>
      </w:pPr>
      <w:r>
        <w:rPr/>
        <w:t>总股本</w:t>
      </w:r>
      <w:r>
        <w:rPr>
          <w:spacing w:val="-3"/>
        </w:rPr>
        <w:t> </w:t>
      </w:r>
      <w:r>
        <w:rPr>
          <w:rFonts w:ascii="宋体" w:hAnsi="宋体" w:cs="宋体" w:eastAsia="宋体" w:hint="default"/>
        </w:rPr>
        <w:t>1,079,504,767</w:t>
      </w:r>
      <w:r>
        <w:rPr/>
        <w:t>股为基数，以未分配利润向全体股东每</w:t>
      </w:r>
      <w:r>
        <w:rPr>
          <w:rFonts w:ascii="宋体" w:hAnsi="宋体" w:cs="宋体" w:eastAsia="宋体" w:hint="default"/>
        </w:rPr>
        <w:t>10</w:t>
      </w:r>
      <w:r>
        <w:rPr/>
        <w:t>股送</w:t>
      </w:r>
      <w:r>
        <w:rPr>
          <w:rFonts w:ascii="宋体" w:hAnsi="宋体" w:cs="宋体" w:eastAsia="宋体" w:hint="default"/>
        </w:rPr>
        <w:t>5</w:t>
      </w:r>
      <w:r>
        <w:rPr/>
        <w:t>股红股。</w:t>
      </w:r>
      <w:r>
        <w:rPr>
          <w:w w:val="100"/>
        </w:rPr>
        <w:t> </w:t>
      </w:r>
      <w:r>
        <w:rPr>
          <w:spacing w:val="-4"/>
        </w:rPr>
        <w:t>经本公司第四届董事会第三十次会议、</w:t>
      </w:r>
      <w:r>
        <w:rPr>
          <w:rFonts w:ascii="宋体" w:hAnsi="宋体" w:cs="宋体" w:eastAsia="宋体" w:hint="default"/>
          <w:spacing w:val="-4"/>
        </w:rPr>
        <w:t>2017</w:t>
      </w:r>
      <w:r>
        <w:rPr>
          <w:spacing w:val="-4"/>
        </w:rPr>
        <w:t>年</w:t>
      </w:r>
      <w:r>
        <w:rPr>
          <w:rFonts w:ascii="宋体" w:hAnsi="宋体" w:cs="宋体" w:eastAsia="宋体" w:hint="default"/>
          <w:spacing w:val="-4"/>
        </w:rPr>
        <w:t>5</w:t>
      </w:r>
      <w:r>
        <w:rPr>
          <w:spacing w:val="-4"/>
        </w:rPr>
        <w:t>月</w:t>
      </w:r>
      <w:r>
        <w:rPr>
          <w:rFonts w:ascii="宋体" w:hAnsi="宋体" w:cs="宋体" w:eastAsia="宋体" w:hint="default"/>
          <w:spacing w:val="-4"/>
        </w:rPr>
        <w:t>5</w:t>
      </w:r>
      <w:r>
        <w:rPr>
          <w:spacing w:val="-4"/>
        </w:rPr>
        <w:t>日股东大会决议通过，本公司以总</w:t>
      </w:r>
    </w:p>
    <w:p>
      <w:pPr>
        <w:pStyle w:val="Heading3"/>
        <w:spacing w:line="355" w:lineRule="auto" w:before="34"/>
        <w:ind w:left="769" w:right="1683" w:hanging="632"/>
        <w:jc w:val="left"/>
      </w:pPr>
      <w:r>
        <w:rPr/>
        <w:t>股本</w:t>
      </w:r>
      <w:r>
        <w:rPr>
          <w:rFonts w:ascii="宋体" w:hAnsi="宋体" w:cs="宋体" w:eastAsia="宋体" w:hint="default"/>
        </w:rPr>
        <w:t>1,619,257,150</w:t>
      </w:r>
      <w:r>
        <w:rPr/>
        <w:t>股为基数，以资本公积金向全体股东每</w:t>
      </w:r>
      <w:r>
        <w:rPr>
          <w:rFonts w:ascii="宋体" w:hAnsi="宋体" w:cs="宋体" w:eastAsia="宋体" w:hint="default"/>
        </w:rPr>
        <w:t>10</w:t>
      </w:r>
      <w:r>
        <w:rPr/>
        <w:t>股送</w:t>
      </w:r>
      <w:r>
        <w:rPr>
          <w:rFonts w:ascii="宋体" w:hAnsi="宋体" w:cs="宋体" w:eastAsia="宋体" w:hint="default"/>
        </w:rPr>
        <w:t>5</w:t>
      </w:r>
      <w:r>
        <w:rPr/>
        <w:t>股股本。</w:t>
      </w:r>
      <w:r>
        <w:rPr>
          <w:w w:val="100"/>
        </w:rPr>
        <w:t> </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12</w:t>
      </w:r>
      <w:r>
        <w:rPr>
          <w:spacing w:val="-2"/>
        </w:rPr>
        <w:t>日，本公司取得变更后的营业执照，统一社会信用代码为：</w:t>
      </w:r>
    </w:p>
    <w:p>
      <w:pPr>
        <w:pStyle w:val="Heading3"/>
        <w:spacing w:line="355" w:lineRule="auto" w:before="32"/>
        <w:ind w:left="769" w:right="1683" w:hanging="632"/>
        <w:jc w:val="left"/>
      </w:pPr>
      <w:r>
        <w:rPr>
          <w:rFonts w:ascii="宋体" w:hAnsi="宋体" w:cs="宋体" w:eastAsia="宋体" w:hint="default"/>
        </w:rPr>
        <w:t>914401017163404737</w:t>
      </w:r>
      <w:r>
        <w:rPr/>
        <w:t>。住所为广州市高新技术产业开发区科学城科林路</w:t>
      </w:r>
      <w:r>
        <w:rPr>
          <w:rFonts w:ascii="宋体" w:hAnsi="宋体" w:cs="宋体" w:eastAsia="宋体" w:hint="default"/>
        </w:rPr>
        <w:t>9</w:t>
      </w:r>
      <w:r>
        <w:rPr/>
        <w:t>、</w:t>
      </w:r>
      <w:r>
        <w:rPr>
          <w:rFonts w:ascii="宋体" w:hAnsi="宋体" w:cs="宋体" w:eastAsia="宋体" w:hint="default"/>
        </w:rPr>
        <w:t>11</w:t>
      </w:r>
      <w:r>
        <w:rPr/>
        <w:t>号。</w:t>
      </w:r>
      <w:r>
        <w:rPr>
          <w:w w:val="100"/>
        </w:rPr>
        <w:t> </w:t>
      </w:r>
      <w:r>
        <w:rPr>
          <w:spacing w:val="-1"/>
        </w:rPr>
        <w:t>截止</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日，本公司注册资本为人民币</w:t>
      </w:r>
      <w:r>
        <w:rPr>
          <w:rFonts w:ascii="宋体" w:hAnsi="宋体" w:cs="宋体" w:eastAsia="宋体" w:hint="default"/>
          <w:spacing w:val="-1"/>
        </w:rPr>
        <w:t>2,428,885,725</w:t>
      </w:r>
      <w:r>
        <w:rPr>
          <w:spacing w:val="-1"/>
        </w:rPr>
        <w:t>元，总股本为</w:t>
      </w:r>
    </w:p>
    <w:p>
      <w:pPr>
        <w:pStyle w:val="Heading3"/>
        <w:spacing w:line="240" w:lineRule="auto" w:before="32"/>
        <w:ind w:right="1683"/>
        <w:jc w:val="left"/>
      </w:pPr>
      <w:r>
        <w:rPr>
          <w:rFonts w:ascii="宋体" w:hAnsi="宋体" w:cs="宋体" w:eastAsia="宋体" w:hint="default"/>
        </w:rPr>
        <w:t>2,428,885,725</w:t>
      </w:r>
      <w:r>
        <w:rPr/>
        <w:t>股。</w:t>
      </w:r>
    </w:p>
    <w:p>
      <w:pPr>
        <w:pStyle w:val="Heading3"/>
        <w:spacing w:line="357" w:lineRule="auto" w:before="135"/>
        <w:ind w:right="1683" w:firstLine="631"/>
        <w:jc w:val="left"/>
      </w:pPr>
      <w:r>
        <w:rPr>
          <w:spacing w:val="-1"/>
        </w:rPr>
        <w:t>本公司经营范围：计算机、通信和其他电子设备制造业。计算机应用电子设备制造；</w:t>
      </w:r>
      <w:r>
        <w:rPr>
          <w:w w:val="100"/>
        </w:rPr>
        <w:t> </w:t>
      </w:r>
      <w:r>
        <w:rPr>
          <w:spacing w:val="-4"/>
        </w:rPr>
        <w:t>自动售货机、售票机、柜员机及零配件的批发；技术进出口；货物进出口（专营专控商品除</w:t>
      </w:r>
      <w:r>
        <w:rPr>
          <w:spacing w:val="-42"/>
        </w:rPr>
        <w:t> </w:t>
      </w:r>
      <w:r>
        <w:rPr>
          <w:spacing w:val="-42"/>
        </w:rPr>
      </w:r>
      <w:r>
        <w:rPr>
          <w:spacing w:val="-4"/>
        </w:rPr>
        <w:t>外）；计算器及货币专用设备制造；信息系统集成服务；信息技术咨询服务；软件开发；计</w:t>
      </w:r>
    </w:p>
    <w:p>
      <w:pPr>
        <w:spacing w:after="0" w:line="357" w:lineRule="auto"/>
        <w:jc w:val="left"/>
        <w:sectPr>
          <w:pgSz w:w="11910" w:h="16840"/>
          <w:pgMar w:header="733" w:footer="977" w:top="960" w:bottom="1160" w:left="1660" w:right="0"/>
        </w:sectPr>
      </w:pPr>
    </w:p>
    <w:p>
      <w:pPr>
        <w:spacing w:line="240" w:lineRule="auto" w:before="0"/>
        <w:rPr>
          <w:rFonts w:ascii="宋体" w:hAnsi="宋体" w:cs="宋体" w:eastAsia="宋体" w:hint="default"/>
          <w:sz w:val="20"/>
          <w:szCs w:val="20"/>
        </w:rPr>
      </w:pPr>
    </w:p>
    <w:p>
      <w:pPr>
        <w:pStyle w:val="Heading3"/>
        <w:spacing w:line="355" w:lineRule="auto" w:before="168"/>
        <w:ind w:left="663" w:right="1683" w:hanging="526"/>
        <w:jc w:val="left"/>
      </w:pPr>
      <w:r>
        <w:rPr/>
        <w:t>算机技术开发、技术服务；计算机和辅助设备修理。</w:t>
      </w:r>
      <w:r>
        <w:rPr>
          <w:w w:val="100"/>
        </w:rPr>
        <w:t> </w:t>
      </w:r>
      <w:r>
        <w:rPr/>
        <w:t>本公司的母公司为广州无线电集团有限公司，本公司的实际控制人为广州市国资委。</w:t>
      </w:r>
      <w:r>
        <w:rPr>
          <w:w w:val="100"/>
        </w:rPr>
        <w:t> </w:t>
      </w:r>
      <w:r>
        <w:rPr/>
        <w:t>本财务报表业经公司董事会于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25</w:t>
      </w:r>
      <w:r>
        <w:rPr/>
        <w:t>日批准报出。</w:t>
      </w:r>
    </w:p>
    <w:p>
      <w:pPr>
        <w:pStyle w:val="Heading3"/>
        <w:tabs>
          <w:tab w:pos="2771" w:val="left" w:leader="none"/>
        </w:tabs>
        <w:spacing w:line="355" w:lineRule="auto" w:before="34"/>
        <w:ind w:right="1683"/>
        <w:jc w:val="left"/>
      </w:pPr>
      <w:r>
        <w:rPr>
          <w:rFonts w:ascii="Times New Roman" w:hAnsi="Times New Roman" w:cs="Times New Roman" w:eastAsia="Times New Roman" w:hint="default"/>
          <w:b/>
          <w:bCs/>
          <w:spacing w:val="-1"/>
        </w:rPr>
        <w:t>2</w:t>
      </w:r>
      <w:r>
        <w:rPr>
          <w:rFonts w:ascii="宋体" w:hAnsi="宋体" w:cs="宋体" w:eastAsia="宋体" w:hint="default"/>
          <w:b/>
          <w:bCs/>
          <w:spacing w:val="-1"/>
        </w:rPr>
        <w:t>、合并财务报表范围</w:t>
        <w:tab/>
      </w:r>
      <w:r>
        <w:rPr>
          <w:spacing w:val="-2"/>
        </w:rPr>
        <w:t>截至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日止，本公司合并财务报表范围内子公司共</w:t>
      </w:r>
      <w:r>
        <w:rPr>
          <w:spacing w:val="-47"/>
        </w:rPr>
        <w:t> </w:t>
      </w:r>
      <w:r>
        <w:rPr>
          <w:spacing w:val="-47"/>
        </w:rPr>
      </w:r>
      <w:r>
        <w:rPr/>
        <w:t>有</w:t>
      </w:r>
      <w:r>
        <w:rPr>
          <w:rFonts w:ascii="宋体" w:hAnsi="宋体" w:cs="宋体" w:eastAsia="宋体" w:hint="default"/>
        </w:rPr>
        <w:t>82</w:t>
      </w:r>
      <w:r>
        <w:rPr/>
        <w:t>家（广州中智融通金融科技有限公司、广州广电汇通金融服务有限公司、</w:t>
      </w:r>
      <w:r>
        <w:rPr>
          <w:rFonts w:ascii="宋体" w:hAnsi="宋体" w:cs="宋体" w:eastAsia="宋体" w:hint="default"/>
        </w:rPr>
        <w:t>GRG HT</w:t>
      </w:r>
      <w:r>
        <w:rPr>
          <w:rFonts w:ascii="宋体" w:hAnsi="宋体" w:cs="宋体" w:eastAsia="宋体" w:hint="default"/>
          <w:spacing w:val="-4"/>
        </w:rPr>
        <w:t> </w:t>
      </w:r>
      <w:r>
        <w:rPr>
          <w:rFonts w:ascii="宋体" w:hAnsi="宋体" w:cs="宋体" w:eastAsia="宋体" w:hint="default"/>
        </w:rPr>
        <w:t>(HK)</w:t>
      </w:r>
      <w:r>
        <w:rPr>
          <w:rFonts w:ascii="宋体" w:hAnsi="宋体" w:cs="宋体" w:eastAsia="宋体" w:hint="default"/>
          <w:w w:val="100"/>
        </w:rPr>
        <w:t> </w:t>
      </w:r>
      <w:r>
        <w:rPr>
          <w:rFonts w:ascii="宋体" w:hAnsi="宋体" w:cs="宋体" w:eastAsia="宋体" w:hint="default"/>
        </w:rPr>
        <w:t>Co.,Limited</w:t>
      </w:r>
      <w:r>
        <w:rPr/>
        <w:t>、广州广电运通信息科技有限公司、广州广电卓识智能科技有限公司、广州支</w:t>
      </w:r>
      <w:r>
        <w:rPr>
          <w:w w:val="100"/>
        </w:rPr>
        <w:t> </w:t>
      </w:r>
      <w:r>
        <w:rPr>
          <w:spacing w:val="-4"/>
        </w:rPr>
        <w:t>点创业投资有限公司、广州市龙源环保科技有限公司、赣州中联环保科技开发有限公司、赣</w:t>
      </w:r>
      <w:r>
        <w:rPr>
          <w:spacing w:val="-44"/>
        </w:rPr>
        <w:t> </w:t>
      </w:r>
      <w:r>
        <w:rPr>
          <w:spacing w:val="-44"/>
        </w:rPr>
      </w:r>
      <w:r>
        <w:rPr>
          <w:spacing w:val="-4"/>
        </w:rPr>
        <w:t>州中联电镀原料配送经营服务有限公司、赣州龙源环保产业经营管理有限公司、深圳市创自</w:t>
      </w:r>
      <w:r>
        <w:rPr>
          <w:spacing w:val="-41"/>
        </w:rPr>
        <w:t> </w:t>
      </w:r>
      <w:r>
        <w:rPr>
          <w:spacing w:val="-41"/>
        </w:rPr>
      </w:r>
      <w:r>
        <w:rPr>
          <w:spacing w:val="-4"/>
        </w:rPr>
        <w:t>技术有限公司、深圳市创自软件有限公司、广州穗通金融服务有限公司、广州广电银通金融</w:t>
      </w:r>
      <w:r>
        <w:rPr>
          <w:spacing w:val="-44"/>
        </w:rPr>
        <w:t> </w:t>
      </w:r>
      <w:r>
        <w:rPr>
          <w:spacing w:val="-44"/>
        </w:rPr>
      </w:r>
      <w:r>
        <w:rPr>
          <w:spacing w:val="-4"/>
        </w:rPr>
        <w:t>电子科技有限公司、深圳广电银通金融电子科技有限公司、深圳鹏通金融服务有限公司、石</w:t>
      </w:r>
      <w:r>
        <w:rPr>
          <w:spacing w:val="-44"/>
        </w:rPr>
        <w:t> </w:t>
      </w:r>
      <w:r>
        <w:rPr>
          <w:spacing w:val="-44"/>
        </w:rPr>
      </w:r>
      <w:r>
        <w:rPr>
          <w:spacing w:val="-4"/>
        </w:rPr>
        <w:t>家庄市银通金融服务有限公司、上海欣辰通金融电子科技有限公司、宜昌宜通金融服务有限</w:t>
      </w:r>
      <w:r>
        <w:rPr>
          <w:spacing w:val="-41"/>
        </w:rPr>
        <w:t> </w:t>
      </w:r>
      <w:r>
        <w:rPr>
          <w:spacing w:val="-41"/>
        </w:rPr>
      </w:r>
      <w:r>
        <w:rPr>
          <w:spacing w:val="-4"/>
        </w:rPr>
        <w:t>公司、南宁盈通金融电子科技有限公司、辽宁辽通金融电子科技有限公司、河南商通金融服</w:t>
      </w:r>
      <w:r>
        <w:rPr>
          <w:spacing w:val="-44"/>
        </w:rPr>
        <w:t> </w:t>
      </w:r>
      <w:r>
        <w:rPr>
          <w:spacing w:val="-44"/>
        </w:rPr>
      </w:r>
      <w:r>
        <w:rPr>
          <w:spacing w:val="-4"/>
        </w:rPr>
        <w:t>务外包有限公司、河北晨通金融电子科技有限公司、南阳宛通金融电子科技有限公司、山西</w:t>
      </w:r>
      <w:r>
        <w:rPr>
          <w:spacing w:val="-44"/>
        </w:rPr>
        <w:t> </w:t>
      </w:r>
      <w:r>
        <w:rPr>
          <w:spacing w:val="-44"/>
        </w:rPr>
      </w:r>
      <w:r>
        <w:rPr>
          <w:spacing w:val="-7"/>
          <w:w w:val="100"/>
        </w:rPr>
        <w:t>尚通金融外包服务有限公司、广东榕通科技服务有限公司、广州广电银通安保投资有限公司、</w:t>
      </w:r>
      <w:r>
        <w:rPr>
          <w:spacing w:val="-69"/>
          <w:w w:val="100"/>
        </w:rPr>
        <w:t> </w:t>
      </w:r>
      <w:r>
        <w:rPr>
          <w:spacing w:val="-69"/>
          <w:w w:val="100"/>
        </w:rPr>
      </w:r>
      <w:r>
        <w:rPr>
          <w:spacing w:val="-4"/>
        </w:rPr>
        <w:t>内蒙古广电银通安保投资有限公司、宜昌市金牛押运护卫保安服务有限责任公司、商洛市金</w:t>
      </w:r>
      <w:r>
        <w:rPr>
          <w:spacing w:val="-42"/>
        </w:rPr>
        <w:t> </w:t>
      </w:r>
      <w:r>
        <w:rPr>
          <w:spacing w:val="-42"/>
        </w:rPr>
      </w:r>
      <w:r>
        <w:rPr>
          <w:spacing w:val="-1"/>
        </w:rPr>
        <w:t>盾押运有限责任公司、武威市神威保安守押有限责任公司、邵阳市保安服务有限责任公司、</w:t>
      </w:r>
      <w:r>
        <w:rPr>
          <w:spacing w:val="-56"/>
        </w:rPr>
        <w:t> </w:t>
      </w:r>
      <w:r>
        <w:rPr>
          <w:spacing w:val="-56"/>
        </w:rPr>
      </w:r>
      <w:r>
        <w:rPr>
          <w:spacing w:val="-4"/>
        </w:rPr>
        <w:t>益阳市保安服务有限责任公司、南县保安服务有限责任公司、兴安盟威信保安守押服务有限</w:t>
      </w:r>
      <w:r>
        <w:rPr>
          <w:spacing w:val="-42"/>
        </w:rPr>
        <w:t> </w:t>
      </w:r>
      <w:r>
        <w:rPr>
          <w:spacing w:val="-42"/>
        </w:rPr>
      </w:r>
      <w:r>
        <w:rPr>
          <w:spacing w:val="-4"/>
        </w:rPr>
        <w:t>责任公司、巴彦淖尔天力保押有限责任公司、通辽市威远护卫有限责任公司、商洛市慧金清</w:t>
      </w:r>
      <w:r>
        <w:rPr>
          <w:spacing w:val="-44"/>
        </w:rPr>
        <w:t> </w:t>
      </w:r>
      <w:r>
        <w:rPr>
          <w:spacing w:val="-44"/>
        </w:rPr>
      </w:r>
      <w:r>
        <w:rPr>
          <w:spacing w:val="-4"/>
        </w:rPr>
        <w:t>分服务有限公司、西安金盾押运有限公司、海南警锐押运护卫有限公司、榆林市神鹰护卫有</w:t>
      </w:r>
      <w:r>
        <w:rPr>
          <w:spacing w:val="-44"/>
        </w:rPr>
        <w:t> </w:t>
      </w:r>
      <w:r>
        <w:rPr>
          <w:spacing w:val="-44"/>
        </w:rPr>
      </w:r>
      <w:r>
        <w:rPr>
          <w:spacing w:val="-4"/>
        </w:rPr>
        <w:t>限责任公司、新余市保安服务有限公司、新余市景运科技有限公司、文山州金盾保安守护押</w:t>
      </w:r>
      <w:r>
        <w:rPr>
          <w:spacing w:val="-44"/>
        </w:rPr>
        <w:t> </w:t>
      </w:r>
      <w:r>
        <w:rPr>
          <w:spacing w:val="-44"/>
        </w:rPr>
      </w:r>
      <w:r>
        <w:rPr>
          <w:spacing w:val="-4"/>
        </w:rPr>
        <w:t>运有限责任公司、巴州阿帕奇保安责任有限公司、新疆阿帕奇武装守护押运有限公司、黔南</w:t>
      </w:r>
      <w:r>
        <w:rPr>
          <w:spacing w:val="-44"/>
        </w:rPr>
        <w:t> </w:t>
      </w:r>
      <w:r>
        <w:rPr>
          <w:spacing w:val="-44"/>
        </w:rPr>
      </w:r>
      <w:r>
        <w:rPr>
          <w:spacing w:val="-7"/>
          <w:w w:val="100"/>
        </w:rPr>
        <w:t>州蓝盾武装护运有限责任公司、资阳保安有限责任公司、资阳市卓越人力资源服务有限公司、</w:t>
      </w:r>
      <w:r>
        <w:rPr>
          <w:spacing w:val="-69"/>
          <w:w w:val="100"/>
        </w:rPr>
        <w:t> </w:t>
      </w:r>
      <w:r>
        <w:rPr>
          <w:spacing w:val="-69"/>
          <w:w w:val="100"/>
        </w:rPr>
      </w:r>
      <w:r>
        <w:rPr>
          <w:spacing w:val="-4"/>
        </w:rPr>
        <w:t>平顶山鹰翔保安押运有限公司、黄石金通智慧金融外包服务有限公司、黄石市金安押运护卫</w:t>
      </w:r>
      <w:r>
        <w:rPr>
          <w:spacing w:val="-42"/>
        </w:rPr>
        <w:t> </w:t>
      </w:r>
      <w:r>
        <w:rPr>
          <w:spacing w:val="-42"/>
        </w:rPr>
      </w:r>
      <w:r>
        <w:rPr>
          <w:spacing w:val="-7"/>
          <w:w w:val="100"/>
        </w:rPr>
        <w:t>保安服务有限公司、保山安邦武装守护押运有限责任公司、湖北银通卓越科技服务有限公司、</w:t>
      </w:r>
      <w:r>
        <w:rPr>
          <w:spacing w:val="-68"/>
          <w:w w:val="100"/>
        </w:rPr>
        <w:t> </w:t>
      </w:r>
      <w:r>
        <w:rPr>
          <w:spacing w:val="-68"/>
          <w:w w:val="100"/>
        </w:rPr>
      </w:r>
      <w:r>
        <w:rPr>
          <w:spacing w:val="-4"/>
        </w:rPr>
        <w:t>鹤壁市鹏翔保安服务有限公司、锡林郭勒盟金盾保安服务有限公司、锡林郭勒盟金盾押运服</w:t>
      </w:r>
      <w:r>
        <w:rPr>
          <w:spacing w:val="-41"/>
        </w:rPr>
        <w:t> </w:t>
      </w:r>
      <w:r>
        <w:rPr>
          <w:spacing w:val="-41"/>
        </w:rPr>
      </w:r>
      <w:r>
        <w:rPr>
          <w:spacing w:val="-4"/>
        </w:rPr>
        <w:t>务有限公司、锡林郭勒盟安逸物业服务有限责任公司、湖北融信押运保安服务有限公司、广</w:t>
      </w:r>
      <w:r>
        <w:rPr>
          <w:spacing w:val="-44"/>
        </w:rPr>
        <w:t> </w:t>
      </w:r>
      <w:r>
        <w:rPr>
          <w:spacing w:val="-44"/>
        </w:rPr>
      </w:r>
      <w:r>
        <w:rPr>
          <w:spacing w:val="-4"/>
        </w:rPr>
        <w:t>州运通购快科技有限公司、广州平云小匠科技有限公司、成都平云小匠网络有限公司、深圳</w:t>
      </w:r>
      <w:r>
        <w:rPr>
          <w:spacing w:val="-44"/>
        </w:rPr>
        <w:t> </w:t>
      </w:r>
      <w:r>
        <w:rPr>
          <w:spacing w:val="-44"/>
        </w:rPr>
      </w:r>
      <w:r>
        <w:rPr>
          <w:spacing w:val="-1"/>
        </w:rPr>
        <w:t>市信义科技有限公司、深圳市深安信信息技术有限公司、广州广电运通智能科技有限公司、</w:t>
      </w:r>
      <w:r>
        <w:rPr>
          <w:spacing w:val="-56"/>
        </w:rPr>
        <w:t> </w:t>
      </w:r>
      <w:r>
        <w:rPr>
          <w:spacing w:val="-56"/>
        </w:rPr>
      </w:r>
      <w:r>
        <w:rPr>
          <w:spacing w:val="-4"/>
        </w:rPr>
        <w:t>江苏汇通金融数据股份有限公司、安徽汇通金融数据服务有限公司、江苏汇锦利通信息科技</w:t>
      </w:r>
      <w:r>
        <w:rPr>
          <w:spacing w:val="-40"/>
        </w:rPr>
        <w:t> </w:t>
      </w:r>
      <w:r>
        <w:rPr>
          <w:spacing w:val="-40"/>
        </w:rPr>
      </w:r>
      <w:r>
        <w:rPr>
          <w:spacing w:val="-7"/>
        </w:rPr>
        <w:t>有限公司、</w:t>
      </w:r>
      <w:r>
        <w:rPr>
          <w:rFonts w:ascii="宋体" w:hAnsi="宋体" w:cs="宋体" w:eastAsia="宋体" w:hint="default"/>
          <w:spacing w:val="-7"/>
        </w:rPr>
        <w:t>GRG</w:t>
      </w:r>
      <w:r>
        <w:rPr>
          <w:rFonts w:ascii="宋体" w:hAnsi="宋体" w:cs="宋体" w:eastAsia="宋体" w:hint="default"/>
          <w:spacing w:val="-51"/>
        </w:rPr>
        <w:t> </w:t>
      </w:r>
      <w:r>
        <w:rPr>
          <w:rFonts w:ascii="宋体" w:hAnsi="宋体" w:cs="宋体" w:eastAsia="宋体" w:hint="default"/>
        </w:rPr>
        <w:t>Banking</w:t>
      </w:r>
      <w:r>
        <w:rPr>
          <w:rFonts w:ascii="宋体" w:hAnsi="宋体" w:cs="宋体" w:eastAsia="宋体" w:hint="default"/>
          <w:spacing w:val="-54"/>
        </w:rPr>
        <w:t> </w:t>
      </w:r>
      <w:r>
        <w:rPr>
          <w:rFonts w:ascii="宋体" w:hAnsi="宋体" w:cs="宋体" w:eastAsia="宋体" w:hint="default"/>
        </w:rPr>
        <w:t>Equipment(HK)</w:t>
      </w:r>
      <w:r>
        <w:rPr>
          <w:rFonts w:ascii="宋体" w:hAnsi="宋体" w:cs="宋体" w:eastAsia="宋体" w:hint="default"/>
          <w:spacing w:val="-51"/>
        </w:rPr>
        <w:t> </w:t>
      </w:r>
      <w:r>
        <w:rPr>
          <w:rFonts w:ascii="宋体" w:hAnsi="宋体" w:cs="宋体" w:eastAsia="宋体" w:hint="default"/>
          <w:spacing w:val="-4"/>
        </w:rPr>
        <w:t>Co.Limited</w:t>
      </w:r>
      <w:r>
        <w:rPr>
          <w:spacing w:val="-4"/>
        </w:rPr>
        <w:t>、</w:t>
      </w:r>
      <w:r>
        <w:rPr>
          <w:rFonts w:ascii="宋体" w:hAnsi="宋体" w:cs="宋体" w:eastAsia="宋体" w:hint="default"/>
          <w:spacing w:val="-4"/>
        </w:rPr>
        <w:t>GRG</w:t>
      </w:r>
      <w:r>
        <w:rPr>
          <w:rFonts w:ascii="宋体" w:hAnsi="宋体" w:cs="宋体" w:eastAsia="宋体" w:hint="default"/>
          <w:spacing w:val="-51"/>
        </w:rPr>
        <w:t> </w:t>
      </w:r>
      <w:r>
        <w:rPr>
          <w:rFonts w:ascii="宋体" w:hAnsi="宋体" w:cs="宋体" w:eastAsia="宋体" w:hint="default"/>
        </w:rPr>
        <w:t>Hongkong</w:t>
      </w:r>
      <w:r>
        <w:rPr>
          <w:rFonts w:ascii="宋体" w:hAnsi="宋体" w:cs="宋体" w:eastAsia="宋体" w:hint="default"/>
          <w:spacing w:val="-51"/>
        </w:rPr>
        <w:t> </w:t>
      </w:r>
      <w:r>
        <w:rPr>
          <w:rFonts w:ascii="宋体" w:hAnsi="宋体" w:cs="宋体" w:eastAsia="宋体" w:hint="default"/>
        </w:rPr>
        <w:t>Mexico,</w:t>
      </w:r>
      <w:r>
        <w:rPr>
          <w:rFonts w:ascii="宋体" w:hAnsi="宋体" w:cs="宋体" w:eastAsia="宋体" w:hint="default"/>
          <w:spacing w:val="-51"/>
        </w:rPr>
        <w:t> </w:t>
      </w:r>
      <w:r>
        <w:rPr>
          <w:rFonts w:ascii="宋体" w:hAnsi="宋体" w:cs="宋体" w:eastAsia="宋体" w:hint="default"/>
        </w:rPr>
        <w:t>S.A.</w:t>
      </w:r>
      <w:r>
        <w:rPr>
          <w:rFonts w:ascii="宋体" w:hAnsi="宋体" w:cs="宋体" w:eastAsia="宋体" w:hint="default"/>
          <w:spacing w:val="-51"/>
        </w:rPr>
        <w:t> </w:t>
      </w:r>
      <w:r>
        <w:rPr>
          <w:rFonts w:ascii="宋体" w:hAnsi="宋体" w:cs="宋体" w:eastAsia="宋体" w:hint="default"/>
          <w:spacing w:val="-6"/>
        </w:rPr>
        <w:t>DE</w:t>
      </w:r>
      <w:r>
        <w:rPr>
          <w:spacing w:val="-6"/>
        </w:rPr>
        <w:t>、</w:t>
      </w:r>
      <w:r>
        <w:rPr>
          <w:rFonts w:ascii="宋体" w:hAnsi="宋体" w:cs="宋体" w:eastAsia="宋体" w:hint="default"/>
          <w:spacing w:val="-6"/>
        </w:rPr>
        <w:t>Global</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rPr>
        <w:t>ATM</w:t>
      </w:r>
      <w:r>
        <w:rPr>
          <w:rFonts w:ascii="宋体" w:hAnsi="宋体" w:cs="宋体" w:eastAsia="宋体" w:hint="default"/>
          <w:spacing w:val="-52"/>
        </w:rPr>
        <w:t> </w:t>
      </w:r>
      <w:r>
        <w:rPr>
          <w:rFonts w:ascii="宋体" w:hAnsi="宋体" w:cs="宋体" w:eastAsia="宋体" w:hint="default"/>
        </w:rPr>
        <w:t>Parts</w:t>
      </w:r>
      <w:r>
        <w:rPr>
          <w:rFonts w:ascii="宋体" w:hAnsi="宋体" w:cs="宋体" w:eastAsia="宋体" w:hint="default"/>
          <w:spacing w:val="-52"/>
        </w:rPr>
        <w:t> </w:t>
      </w:r>
      <w:r>
        <w:rPr>
          <w:rFonts w:ascii="宋体" w:hAnsi="宋体" w:cs="宋体" w:eastAsia="宋体" w:hint="default"/>
          <w:spacing w:val="-4"/>
        </w:rPr>
        <w:t>Co.,Limited</w:t>
      </w:r>
      <w:r>
        <w:rPr>
          <w:spacing w:val="-4"/>
        </w:rPr>
        <w:t>、</w:t>
      </w:r>
      <w:r>
        <w:rPr>
          <w:rFonts w:ascii="宋体" w:hAnsi="宋体" w:cs="宋体" w:eastAsia="宋体" w:hint="default"/>
          <w:spacing w:val="-4"/>
        </w:rPr>
        <w:t>GRG</w:t>
      </w:r>
      <w:r>
        <w:rPr>
          <w:rFonts w:ascii="宋体" w:hAnsi="宋体" w:cs="宋体" w:eastAsia="宋体" w:hint="default"/>
          <w:spacing w:val="-52"/>
        </w:rPr>
        <w:t> </w:t>
      </w:r>
      <w:r>
        <w:rPr>
          <w:rFonts w:ascii="宋体" w:hAnsi="宋体" w:cs="宋体" w:eastAsia="宋体" w:hint="default"/>
        </w:rPr>
        <w:t>Turkiye</w:t>
      </w:r>
      <w:r>
        <w:rPr>
          <w:rFonts w:ascii="宋体" w:hAnsi="宋体" w:cs="宋体" w:eastAsia="宋体" w:hint="default"/>
          <w:spacing w:val="-54"/>
        </w:rPr>
        <w:t> </w:t>
      </w:r>
      <w:r>
        <w:rPr>
          <w:rFonts w:ascii="宋体" w:hAnsi="宋体" w:cs="宋体" w:eastAsia="宋体" w:hint="default"/>
        </w:rPr>
        <w:t>Bankacilik</w:t>
      </w:r>
      <w:r>
        <w:rPr>
          <w:rFonts w:ascii="宋体" w:hAnsi="宋体" w:cs="宋体" w:eastAsia="宋体" w:hint="default"/>
          <w:spacing w:val="-52"/>
        </w:rPr>
        <w:t> </w:t>
      </w:r>
      <w:r>
        <w:rPr>
          <w:rFonts w:ascii="宋体" w:hAnsi="宋体" w:cs="宋体" w:eastAsia="宋体" w:hint="default"/>
        </w:rPr>
        <w:t>Ekipmanlari</w:t>
      </w:r>
      <w:r>
        <w:rPr>
          <w:rFonts w:ascii="宋体" w:hAnsi="宋体" w:cs="宋体" w:eastAsia="宋体" w:hint="default"/>
          <w:spacing w:val="-54"/>
        </w:rPr>
        <w:t> </w:t>
      </w:r>
      <w:r>
        <w:rPr>
          <w:rFonts w:ascii="宋体" w:hAnsi="宋体" w:cs="宋体" w:eastAsia="宋体" w:hint="default"/>
          <w:spacing w:val="-7"/>
        </w:rPr>
        <w:t>Ltd</w:t>
      </w:r>
      <w:r>
        <w:rPr>
          <w:spacing w:val="-7"/>
        </w:rPr>
        <w:t>、</w:t>
      </w:r>
      <w:r>
        <w:rPr>
          <w:rFonts w:ascii="宋体" w:hAnsi="宋体" w:cs="宋体" w:eastAsia="宋体" w:hint="default"/>
          <w:spacing w:val="-7"/>
        </w:rPr>
        <w:t>GRG</w:t>
      </w:r>
      <w:r>
        <w:rPr>
          <w:rFonts w:ascii="宋体" w:hAnsi="宋体" w:cs="宋体" w:eastAsia="宋体" w:hint="default"/>
          <w:spacing w:val="-54"/>
        </w:rPr>
        <w:t> </w:t>
      </w:r>
      <w:r>
        <w:rPr>
          <w:rFonts w:ascii="宋体" w:hAnsi="宋体" w:cs="宋体" w:eastAsia="宋体" w:hint="default"/>
        </w:rPr>
        <w:t>Banking</w:t>
      </w:r>
      <w:r>
        <w:rPr>
          <w:rFonts w:ascii="宋体" w:hAnsi="宋体" w:cs="宋体" w:eastAsia="宋体" w:hint="default"/>
          <w:spacing w:val="-52"/>
        </w:rPr>
        <w:t> </w:t>
      </w:r>
      <w:r>
        <w:rPr>
          <w:rFonts w:ascii="宋体" w:hAnsi="宋体" w:cs="宋体" w:eastAsia="宋体" w:hint="default"/>
        </w:rPr>
        <w:t>Equipment</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(HK)</w:t>
      </w:r>
      <w:r>
        <w:rPr>
          <w:rFonts w:ascii="宋体" w:hAnsi="宋体" w:cs="宋体" w:eastAsia="宋体" w:hint="default"/>
          <w:spacing w:val="-51"/>
        </w:rPr>
        <w:t> </w:t>
      </w:r>
      <w:r>
        <w:rPr>
          <w:rFonts w:ascii="宋体" w:hAnsi="宋体" w:cs="宋体" w:eastAsia="宋体" w:hint="default"/>
          <w:spacing w:val="-9"/>
        </w:rPr>
        <w:t>Europe</w:t>
      </w:r>
      <w:r>
        <w:rPr>
          <w:spacing w:val="-9"/>
        </w:rPr>
        <w:t>、</w:t>
      </w:r>
      <w:r>
        <w:rPr>
          <w:rFonts w:ascii="宋体" w:hAnsi="宋体" w:cs="宋体" w:eastAsia="宋体" w:hint="default"/>
          <w:spacing w:val="-9"/>
        </w:rPr>
        <w:t>GRG</w:t>
      </w:r>
      <w:r>
        <w:rPr>
          <w:rFonts w:ascii="宋体" w:hAnsi="宋体" w:cs="宋体" w:eastAsia="宋体" w:hint="default"/>
          <w:spacing w:val="-53"/>
        </w:rPr>
        <w:t> </w:t>
      </w:r>
      <w:r>
        <w:rPr>
          <w:rFonts w:ascii="宋体" w:hAnsi="宋体" w:cs="宋体" w:eastAsia="宋体" w:hint="default"/>
        </w:rPr>
        <w:t>Deutschland</w:t>
      </w:r>
      <w:r>
        <w:rPr>
          <w:rFonts w:ascii="宋体" w:hAnsi="宋体" w:cs="宋体" w:eastAsia="宋体" w:hint="default"/>
          <w:spacing w:val="-51"/>
        </w:rPr>
        <w:t> </w:t>
      </w:r>
      <w:r>
        <w:rPr>
          <w:rFonts w:ascii="宋体" w:hAnsi="宋体" w:cs="宋体" w:eastAsia="宋体" w:hint="default"/>
          <w:spacing w:val="-19"/>
        </w:rPr>
        <w:t>GmbH</w:t>
      </w:r>
      <w:r>
        <w:rPr>
          <w:spacing w:val="-19"/>
        </w:rPr>
        <w:t>）、</w:t>
      </w:r>
      <w:r>
        <w:rPr>
          <w:rFonts w:ascii="宋体" w:hAnsi="宋体" w:cs="宋体" w:eastAsia="宋体" w:hint="default"/>
          <w:spacing w:val="-19"/>
        </w:rPr>
        <w:t>GRG</w:t>
      </w:r>
      <w:r>
        <w:rPr>
          <w:rFonts w:ascii="宋体" w:hAnsi="宋体" w:cs="宋体" w:eastAsia="宋体" w:hint="default"/>
          <w:spacing w:val="-51"/>
        </w:rPr>
        <w:t> </w:t>
      </w:r>
      <w:r>
        <w:rPr>
          <w:rFonts w:ascii="宋体" w:hAnsi="宋体" w:cs="宋体" w:eastAsia="宋体" w:hint="default"/>
        </w:rPr>
        <w:t>Equipment</w:t>
      </w:r>
      <w:r>
        <w:rPr>
          <w:rFonts w:ascii="宋体" w:hAnsi="宋体" w:cs="宋体" w:eastAsia="宋体" w:hint="default"/>
          <w:spacing w:val="-53"/>
        </w:rPr>
        <w:t> </w:t>
      </w:r>
      <w:r>
        <w:rPr>
          <w:rFonts w:ascii="宋体" w:hAnsi="宋体" w:cs="宋体" w:eastAsia="宋体" w:hint="default"/>
        </w:rPr>
        <w:t>(Singapore)</w:t>
      </w:r>
      <w:r>
        <w:rPr>
          <w:rFonts w:ascii="宋体" w:hAnsi="宋体" w:cs="宋体" w:eastAsia="宋体" w:hint="default"/>
          <w:spacing w:val="-51"/>
        </w:rPr>
        <w:t> </w:t>
      </w:r>
      <w:r>
        <w:rPr>
          <w:rFonts w:ascii="宋体" w:hAnsi="宋体" w:cs="宋体" w:eastAsia="宋体" w:hint="default"/>
        </w:rPr>
        <w:t>Pte.</w:t>
      </w:r>
      <w:r>
        <w:rPr>
          <w:rFonts w:ascii="宋体" w:hAnsi="宋体" w:cs="宋体" w:eastAsia="宋体" w:hint="default"/>
          <w:spacing w:val="-51"/>
        </w:rPr>
        <w:t> </w:t>
      </w:r>
      <w:r>
        <w:rPr>
          <w:rFonts w:ascii="宋体" w:hAnsi="宋体" w:cs="宋体" w:eastAsia="宋体" w:hint="default"/>
          <w:spacing w:val="-19"/>
        </w:rPr>
        <w:t>Ltd.</w:t>
      </w:r>
      <w:r>
        <w:rPr>
          <w:spacing w:val="-19"/>
        </w:rPr>
        <w:t>）、</w:t>
      </w:r>
      <w:r>
        <w:rPr>
          <w:rFonts w:ascii="宋体" w:hAnsi="宋体" w:cs="宋体" w:eastAsia="宋体" w:hint="default"/>
          <w:spacing w:val="-19"/>
        </w:rPr>
        <w:t>GRG</w:t>
      </w:r>
      <w:r>
        <w:rPr>
          <w:rFonts w:ascii="宋体" w:hAnsi="宋体" w:cs="宋体" w:eastAsia="宋体" w:hint="default"/>
          <w:spacing w:val="-51"/>
        </w:rPr>
        <w:t> </w:t>
      </w:r>
      <w:r>
        <w:rPr>
          <w:rFonts w:ascii="宋体" w:hAnsi="宋体" w:cs="宋体" w:eastAsia="宋体" w:hint="default"/>
        </w:rPr>
        <w:t>AMERICA</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rPr>
        <w:t>INC.</w:t>
      </w:r>
      <w:r>
        <w:rPr/>
        <w:t>、</w:t>
      </w:r>
      <w:r>
        <w:rPr>
          <w:rFonts w:ascii="宋体" w:hAnsi="宋体" w:cs="宋体" w:eastAsia="宋体" w:hint="default"/>
        </w:rPr>
        <w:t>GRGBanking</w:t>
      </w:r>
      <w:r>
        <w:rPr>
          <w:rFonts w:ascii="宋体" w:hAnsi="宋体" w:cs="宋体" w:eastAsia="宋体" w:hint="default"/>
          <w:spacing w:val="-4"/>
        </w:rPr>
        <w:t> </w:t>
      </w:r>
      <w:r>
        <w:rPr>
          <w:rFonts w:ascii="宋体" w:hAnsi="宋体" w:cs="宋体" w:eastAsia="宋体" w:hint="default"/>
        </w:rPr>
        <w:t>LLC.</w:t>
      </w:r>
      <w:r>
        <w:rPr/>
        <w:t>、广电运通国际商贸（广州）有限公司、北京中科江南信息技术股</w:t>
      </w:r>
      <w:r>
        <w:rPr>
          <w:w w:val="100"/>
        </w:rPr>
        <w:t> </w:t>
      </w:r>
      <w:r>
        <w:rPr>
          <w:spacing w:val="-4"/>
        </w:rPr>
        <w:t>份有限公司、北京中科江南政易信息技术有限公司、云南云财科技技术有限公司、石家庄翰</w:t>
      </w:r>
    </w:p>
    <w:p>
      <w:pPr>
        <w:spacing w:after="0" w:line="355" w:lineRule="auto"/>
        <w:jc w:val="left"/>
        <w:sectPr>
          <w:pgSz w:w="11910" w:h="16840"/>
          <w:pgMar w:header="733" w:footer="977" w:top="960" w:bottom="1160" w:left="1660" w:right="0"/>
        </w:sectPr>
      </w:pPr>
    </w:p>
    <w:p>
      <w:pPr>
        <w:spacing w:line="240" w:lineRule="auto" w:before="0"/>
        <w:rPr>
          <w:rFonts w:ascii="宋体" w:hAnsi="宋体" w:cs="宋体" w:eastAsia="宋体" w:hint="default"/>
          <w:sz w:val="20"/>
          <w:szCs w:val="20"/>
        </w:rPr>
      </w:pPr>
    </w:p>
    <w:p>
      <w:pPr>
        <w:pStyle w:val="Heading3"/>
        <w:spacing w:line="355" w:lineRule="auto" w:before="168"/>
        <w:ind w:left="663" w:right="1683" w:hanging="526"/>
        <w:jc w:val="left"/>
      </w:pPr>
      <w:r>
        <w:rPr/>
        <w:t>海信息技术有限公司</w:t>
      </w:r>
      <w:r>
        <w:rPr>
          <w:rFonts w:ascii="宋体" w:hAnsi="宋体" w:cs="宋体" w:eastAsia="宋体" w:hint="default"/>
        </w:rPr>
        <w:t>)</w:t>
      </w:r>
      <w:r>
        <w:rPr/>
        <w:t>。</w:t>
      </w:r>
      <w:r>
        <w:rPr>
          <w:w w:val="100"/>
        </w:rPr>
        <w:t> </w:t>
      </w:r>
      <w:r>
        <w:rPr>
          <w:spacing w:val="-2"/>
        </w:rPr>
        <w:t>本期合并财务报表范围及其变化情况详见本附注“八、合并范围的变更”和“九、在</w:t>
      </w:r>
    </w:p>
    <w:p>
      <w:pPr>
        <w:pStyle w:val="Heading3"/>
        <w:spacing w:line="240" w:lineRule="auto" w:before="32"/>
        <w:ind w:right="1683"/>
        <w:jc w:val="left"/>
      </w:pPr>
      <w:r>
        <w:rPr/>
        <w:t>其他主体中的权益”。</w:t>
      </w:r>
    </w:p>
    <w:p>
      <w:pPr>
        <w:pStyle w:val="Heading2"/>
        <w:spacing w:line="240" w:lineRule="auto" w:before="129"/>
        <w:ind w:left="138" w:right="1683"/>
        <w:jc w:val="left"/>
        <w:rPr>
          <w:b w:val="0"/>
          <w:bCs w:val="0"/>
        </w:rPr>
      </w:pPr>
      <w:r>
        <w:rPr/>
        <w:t>四、财务报表的编制基础</w:t>
      </w:r>
      <w:r>
        <w:rPr>
          <w:b w:val="0"/>
          <w:bCs w:val="0"/>
        </w:rPr>
      </w:r>
    </w:p>
    <w:p>
      <w:pPr>
        <w:pStyle w:val="Heading4"/>
        <w:spacing w:line="240" w:lineRule="auto" w:before="160"/>
        <w:ind w:left="138" w:right="1683"/>
        <w:jc w:val="left"/>
        <w:rPr>
          <w:b w:val="0"/>
          <w:bCs w:val="0"/>
        </w:rPr>
      </w:pPr>
      <w:r>
        <w:rPr>
          <w:rFonts w:ascii="Times New Roman" w:hAnsi="Times New Roman" w:cs="Times New Roman" w:eastAsia="Times New Roman" w:hint="default"/>
          <w:sz w:val="18"/>
          <w:szCs w:val="18"/>
        </w:rPr>
        <w:t>1</w:t>
      </w:r>
      <w:r>
        <w:rPr/>
        <w:t>、编制基础</w:t>
      </w:r>
      <w:r>
        <w:rPr>
          <w:b w:val="0"/>
          <w:bCs w:val="0"/>
        </w:rPr>
      </w:r>
    </w:p>
    <w:p>
      <w:pPr>
        <w:pStyle w:val="Heading3"/>
        <w:spacing w:line="352" w:lineRule="auto" w:before="114"/>
        <w:ind w:right="1683" w:firstLine="424"/>
        <w:jc w:val="left"/>
        <w:rPr>
          <w:rFonts w:ascii="宋体" w:hAnsi="宋体" w:cs="宋体" w:eastAsia="宋体" w:hint="default"/>
          <w:sz w:val="20"/>
          <w:szCs w:val="20"/>
        </w:rPr>
      </w:pPr>
      <w:r>
        <w:rPr>
          <w:spacing w:val="-4"/>
        </w:rPr>
        <w:t>公司以持续经营为基础，根据实际发生的交易和事项，按照财政部颁布的《企业会计准</w:t>
      </w:r>
      <w:r>
        <w:rPr>
          <w:w w:val="100"/>
        </w:rPr>
        <w:t> </w:t>
      </w:r>
      <w:r>
        <w:rPr>
          <w:spacing w:val="-4"/>
        </w:rPr>
        <w:t>则——基本准则》和各项具体会计准则、企业会计准则应用指南、企业会计准则解释及其他</w:t>
      </w:r>
      <w:r>
        <w:rPr>
          <w:spacing w:val="-45"/>
        </w:rPr>
        <w:t> </w:t>
      </w:r>
      <w:r>
        <w:rPr>
          <w:spacing w:val="-45"/>
        </w:rPr>
      </w:r>
      <w:r>
        <w:rPr>
          <w:spacing w:val="-4"/>
        </w:rPr>
        <w:t>相关规定</w:t>
      </w:r>
      <w:r>
        <w:rPr>
          <w:rFonts w:ascii="宋体" w:hAnsi="宋体" w:cs="宋体" w:eastAsia="宋体" w:hint="default"/>
          <w:spacing w:val="-4"/>
        </w:rPr>
        <w:t>(</w:t>
      </w:r>
      <w:r>
        <w:rPr>
          <w:spacing w:val="-4"/>
        </w:rPr>
        <w:t>以下合称“企业会计准则”</w:t>
      </w:r>
      <w:r>
        <w:rPr>
          <w:rFonts w:ascii="宋体" w:hAnsi="宋体" w:cs="宋体" w:eastAsia="宋体" w:hint="default"/>
          <w:spacing w:val="-4"/>
        </w:rPr>
        <w:t>)</w:t>
      </w:r>
      <w:r>
        <w:rPr>
          <w:spacing w:val="-4"/>
        </w:rPr>
        <w:t>，以及中国证券监督管理委员会《公开发行证券的公</w:t>
      </w:r>
      <w:r>
        <w:rPr>
          <w:spacing w:val="-39"/>
        </w:rPr>
        <w:t> </w:t>
      </w:r>
      <w:r>
        <w:rPr>
          <w:spacing w:val="-39"/>
        </w:rPr>
      </w:r>
      <w:r>
        <w:rPr/>
        <w:t>司信息披露编报规则第</w:t>
      </w:r>
      <w:r>
        <w:rPr>
          <w:rFonts w:ascii="Times New Roman" w:hAnsi="Times New Roman" w:cs="Times New Roman" w:eastAsia="Times New Roman" w:hint="default"/>
        </w:rPr>
        <w:t>15</w:t>
      </w:r>
      <w:r>
        <w:rPr/>
        <w:t>号——财务报告的一般规定》的披露规定编制财务报表。</w:t>
      </w:r>
      <w:r>
        <w:rPr>
          <w:w w:val="100"/>
        </w:rPr>
        <w:t> </w:t>
      </w:r>
      <w:r>
        <w:rPr>
          <w:rFonts w:ascii="Times New Roman" w:hAnsi="Times New Roman" w:cs="Times New Roman" w:eastAsia="Times New Roman" w:hint="default"/>
          <w:b/>
          <w:bCs/>
          <w:sz w:val="18"/>
          <w:szCs w:val="18"/>
        </w:rPr>
        <w:t>2</w:t>
      </w:r>
      <w:r>
        <w:rPr>
          <w:rFonts w:ascii="宋体" w:hAnsi="宋体" w:cs="宋体" w:eastAsia="宋体" w:hint="default"/>
          <w:b/>
          <w:bCs/>
          <w:sz w:val="20"/>
          <w:szCs w:val="20"/>
        </w:rPr>
        <w:t>、持续经营</w:t>
      </w:r>
      <w:r>
        <w:rPr>
          <w:rFonts w:ascii="宋体" w:hAnsi="宋体" w:cs="宋体" w:eastAsia="宋体" w:hint="default"/>
          <w:sz w:val="20"/>
          <w:szCs w:val="20"/>
        </w:rPr>
      </w:r>
    </w:p>
    <w:p>
      <w:pPr>
        <w:pStyle w:val="Heading3"/>
        <w:spacing w:line="240" w:lineRule="auto" w:before="15"/>
        <w:ind w:left="438" w:right="1788"/>
        <w:jc w:val="center"/>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pStyle w:val="Heading2"/>
        <w:spacing w:line="240" w:lineRule="auto" w:before="111"/>
        <w:ind w:left="138" w:right="1683"/>
        <w:jc w:val="left"/>
        <w:rPr>
          <w:b w:val="0"/>
          <w:bCs w:val="0"/>
        </w:rPr>
      </w:pPr>
      <w:r>
        <w:rPr/>
        <w:t>五、重要会计政策及会计估计</w:t>
      </w:r>
      <w:r>
        <w:rPr>
          <w:b w:val="0"/>
          <w:bCs w:val="0"/>
        </w:rPr>
      </w:r>
    </w:p>
    <w:p>
      <w:pPr>
        <w:pStyle w:val="Heading3"/>
        <w:spacing w:line="240" w:lineRule="auto" w:before="160"/>
        <w:ind w:left="663" w:right="889"/>
        <w:jc w:val="left"/>
      </w:pPr>
      <w:r>
        <w:rPr/>
        <w:t>以下披露内容已涵盖了本公司根据实际生产经营特点制定的具体会计政策和会计估计。</w:t>
      </w:r>
    </w:p>
    <w:p>
      <w:pPr>
        <w:pStyle w:val="Heading4"/>
        <w:spacing w:line="240" w:lineRule="auto" w:before="135"/>
        <w:ind w:left="138" w:right="1683"/>
        <w:jc w:val="left"/>
        <w:rPr>
          <w:b w:val="0"/>
          <w:bCs w:val="0"/>
        </w:rPr>
      </w:pPr>
      <w:r>
        <w:rPr>
          <w:rFonts w:ascii="Times New Roman" w:hAnsi="Times New Roman" w:cs="Times New Roman" w:eastAsia="Times New Roman" w:hint="default"/>
          <w:sz w:val="18"/>
          <w:szCs w:val="18"/>
        </w:rPr>
        <w:t>1</w:t>
      </w:r>
      <w:r>
        <w:rPr/>
        <w:t>、遵循企业会计准则的声明</w:t>
      </w:r>
      <w:r>
        <w:rPr>
          <w:b w:val="0"/>
          <w:bCs w:val="0"/>
        </w:rPr>
      </w:r>
    </w:p>
    <w:p>
      <w:pPr>
        <w:pStyle w:val="Heading3"/>
        <w:spacing w:line="357" w:lineRule="auto" w:before="114"/>
        <w:ind w:right="1789" w:firstLine="424"/>
        <w:jc w:val="both"/>
      </w:pPr>
      <w:r>
        <w:rPr>
          <w:spacing w:val="-4"/>
        </w:rPr>
        <w:t>公司所编制的财务报表符合企业会计准则的要求，真实、完整地反映了报告期公司的财</w:t>
      </w:r>
      <w:r>
        <w:rPr>
          <w:w w:val="100"/>
        </w:rPr>
        <w:t> </w:t>
      </w:r>
      <w:r>
        <w:rPr/>
        <w:t>务状况、经营成果、现金流量等有关信息。</w:t>
      </w:r>
    </w:p>
    <w:p>
      <w:pPr>
        <w:pStyle w:val="Heading4"/>
        <w:spacing w:line="240" w:lineRule="auto" w:before="32"/>
        <w:ind w:left="138" w:right="1683"/>
        <w:jc w:val="left"/>
        <w:rPr>
          <w:b w:val="0"/>
          <w:bCs w:val="0"/>
        </w:rPr>
      </w:pPr>
      <w:r>
        <w:rPr>
          <w:rFonts w:ascii="Times New Roman" w:hAnsi="Times New Roman" w:cs="Times New Roman" w:eastAsia="Times New Roman" w:hint="default"/>
          <w:sz w:val="18"/>
          <w:szCs w:val="18"/>
        </w:rPr>
        <w:t>2</w:t>
      </w:r>
      <w:r>
        <w:rPr/>
        <w:t>、会计期间</w:t>
      </w:r>
      <w:r>
        <w:rPr>
          <w:b w:val="0"/>
          <w:bCs w:val="0"/>
        </w:rPr>
      </w:r>
    </w:p>
    <w:p>
      <w:pPr>
        <w:pStyle w:val="Heading3"/>
        <w:spacing w:line="240" w:lineRule="auto" w:before="114"/>
        <w:ind w:left="558" w:right="1683"/>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pStyle w:val="Heading4"/>
        <w:spacing w:line="240" w:lineRule="auto" w:before="119"/>
        <w:ind w:left="138" w:right="1683"/>
        <w:jc w:val="left"/>
        <w:rPr>
          <w:b w:val="0"/>
          <w:bCs w:val="0"/>
        </w:rPr>
      </w:pPr>
      <w:r>
        <w:rPr>
          <w:rFonts w:ascii="Times New Roman" w:hAnsi="Times New Roman" w:cs="Times New Roman" w:eastAsia="Times New Roman" w:hint="default"/>
          <w:sz w:val="18"/>
          <w:szCs w:val="18"/>
        </w:rPr>
        <w:t>3</w:t>
      </w:r>
      <w:r>
        <w:rPr/>
        <w:t>、营业周期</w:t>
      </w:r>
      <w:r>
        <w:rPr>
          <w:b w:val="0"/>
          <w:bCs w:val="0"/>
        </w:rPr>
      </w:r>
    </w:p>
    <w:p>
      <w:pPr>
        <w:pStyle w:val="Heading3"/>
        <w:spacing w:line="240" w:lineRule="auto" w:before="114"/>
        <w:ind w:left="558" w:right="1683"/>
        <w:jc w:val="left"/>
      </w:pPr>
      <w:r>
        <w:rPr/>
        <w:t>本公司营业周期为</w:t>
      </w:r>
      <w:r>
        <w:rPr>
          <w:rFonts w:ascii="Times New Roman" w:hAnsi="Times New Roman" w:cs="Times New Roman" w:eastAsia="Times New Roman" w:hint="default"/>
        </w:rPr>
        <w:t>12</w:t>
      </w:r>
      <w:r>
        <w:rPr/>
        <w:t>个月。</w:t>
      </w:r>
    </w:p>
    <w:p>
      <w:pPr>
        <w:pStyle w:val="Heading4"/>
        <w:spacing w:line="240" w:lineRule="auto" w:before="119"/>
        <w:ind w:left="138" w:right="1683"/>
        <w:jc w:val="left"/>
        <w:rPr>
          <w:b w:val="0"/>
          <w:bCs w:val="0"/>
        </w:rPr>
      </w:pPr>
      <w:r>
        <w:rPr>
          <w:rFonts w:ascii="Times New Roman" w:hAnsi="Times New Roman" w:cs="Times New Roman" w:eastAsia="Times New Roman" w:hint="default"/>
          <w:sz w:val="18"/>
          <w:szCs w:val="18"/>
        </w:rPr>
        <w:t>4</w:t>
      </w:r>
      <w:r>
        <w:rPr/>
        <w:t>、记账本位币</w:t>
      </w:r>
      <w:r>
        <w:rPr>
          <w:b w:val="0"/>
          <w:bCs w:val="0"/>
        </w:rPr>
      </w:r>
    </w:p>
    <w:p>
      <w:pPr>
        <w:pStyle w:val="Heading3"/>
        <w:spacing w:line="355" w:lineRule="auto" w:before="116"/>
        <w:ind w:left="558" w:right="1683"/>
        <w:jc w:val="left"/>
      </w:pPr>
      <w:r>
        <w:rPr/>
        <w:t>采用人民币为记账本位币。</w:t>
      </w:r>
      <w:r>
        <w:rPr>
          <w:w w:val="100"/>
        </w:rPr>
        <w:t> </w:t>
      </w:r>
      <w:r>
        <w:rPr>
          <w:spacing w:val="-2"/>
        </w:rPr>
        <w:t>境外子公司以其所在国的运营经济环境的主要货币为记账本位币。</w:t>
      </w:r>
    </w:p>
    <w:p>
      <w:pPr>
        <w:pStyle w:val="Heading4"/>
        <w:spacing w:line="240" w:lineRule="auto" w:before="34"/>
        <w:ind w:left="138" w:right="1683"/>
        <w:jc w:val="left"/>
        <w:rPr>
          <w:b w:val="0"/>
          <w:bCs w:val="0"/>
        </w:rPr>
      </w:pPr>
      <w:r>
        <w:rPr>
          <w:rFonts w:ascii="Times New Roman" w:hAnsi="Times New Roman" w:cs="Times New Roman" w:eastAsia="Times New Roman" w:hint="default"/>
          <w:sz w:val="18"/>
          <w:szCs w:val="18"/>
        </w:rPr>
        <w:t>5</w:t>
      </w:r>
      <w:r>
        <w:rPr/>
        <w:t>、同一控制下和非同一控制下企业合并的会计处理方法</w:t>
      </w:r>
      <w:r>
        <w:rPr>
          <w:b w:val="0"/>
          <w:bCs w:val="0"/>
        </w:rPr>
      </w:r>
    </w:p>
    <w:p>
      <w:pPr>
        <w:pStyle w:val="Heading3"/>
        <w:spacing w:line="357" w:lineRule="auto" w:before="114"/>
        <w:ind w:right="1788" w:firstLine="424"/>
        <w:jc w:val="both"/>
      </w:pPr>
      <w:r>
        <w:rPr>
          <w:spacing w:val="-4"/>
        </w:rPr>
        <w:t>同一控制下企业合并：本公司在企业合并中取得的资产和负债，按照合并日在被合并方</w:t>
      </w:r>
      <w:r>
        <w:rPr>
          <w:w w:val="100"/>
        </w:rPr>
        <w:t> </w:t>
      </w:r>
      <w:r>
        <w:rPr>
          <w:spacing w:val="-4"/>
        </w:rPr>
        <w:t>资产、负债（包括最终控制方收购被合并方而形成的商誉）在最终控制方合并财务报表中的</w:t>
      </w:r>
      <w:r>
        <w:rPr>
          <w:spacing w:val="-41"/>
        </w:rPr>
        <w:t> </w:t>
      </w:r>
      <w:r>
        <w:rPr>
          <w:spacing w:val="-41"/>
        </w:rPr>
      </w:r>
      <w:r>
        <w:rPr>
          <w:spacing w:val="-4"/>
        </w:rPr>
        <w:t>账面价值计量。在合并中取得的净资产账面价值与支付的合并对价账面价值（或发行股份面</w:t>
      </w:r>
      <w:r>
        <w:rPr>
          <w:spacing w:val="-41"/>
        </w:rPr>
        <w:t> </w:t>
      </w:r>
      <w:r>
        <w:rPr>
          <w:spacing w:val="-41"/>
        </w:rPr>
      </w:r>
      <w:r>
        <w:rPr>
          <w:spacing w:val="-4"/>
        </w:rPr>
        <w:t>值总额）的差额，调整资本公积中的股本溢价，资本公积中的股本溢价不足冲减的，调整留</w:t>
      </w:r>
      <w:r>
        <w:rPr>
          <w:spacing w:val="-42"/>
        </w:rPr>
        <w:t> </w:t>
      </w:r>
      <w:r>
        <w:rPr>
          <w:spacing w:val="-42"/>
        </w:rPr>
      </w:r>
      <w:r>
        <w:rPr/>
        <w:t>存收益。</w:t>
      </w:r>
    </w:p>
    <w:p>
      <w:pPr>
        <w:pStyle w:val="Heading3"/>
        <w:spacing w:line="357" w:lineRule="auto"/>
        <w:ind w:right="1790" w:firstLine="424"/>
        <w:jc w:val="both"/>
      </w:pPr>
      <w:r>
        <w:rPr>
          <w:spacing w:val="-4"/>
        </w:rPr>
        <w:t>非同一控制下企业合并：本公司在购买日对作为企业合并对价付出的资产、发生或承担</w:t>
      </w:r>
      <w:r>
        <w:rPr>
          <w:w w:val="100"/>
        </w:rPr>
        <w:t> </w:t>
      </w:r>
      <w:r>
        <w:rPr>
          <w:spacing w:val="-4"/>
        </w:rPr>
        <w:t>的负债按照公允价值计量，公允价值与其账面价值的差额，计入当期损益。本公司对合并成</w:t>
      </w:r>
      <w:r>
        <w:rPr>
          <w:spacing w:val="-41"/>
        </w:rPr>
        <w:t> </w:t>
      </w:r>
      <w:r>
        <w:rPr>
          <w:spacing w:val="-41"/>
        </w:rPr>
      </w:r>
      <w:r>
        <w:rPr>
          <w:spacing w:val="-4"/>
        </w:rPr>
        <w:t>本大于合并中取得的被购买方可辨认净资产公允价值份额的差额，确认为商誉；合并成本小</w:t>
      </w:r>
      <w:r>
        <w:rPr>
          <w:spacing w:val="-41"/>
        </w:rPr>
        <w:t> </w:t>
      </w:r>
      <w:r>
        <w:rPr>
          <w:spacing w:val="-41"/>
        </w:rPr>
      </w:r>
      <w:r>
        <w:rPr/>
        <w:t>于合并中取得的被购买方可辨认净资产公允价值份额的差额，经复核后，计入当期损益。</w:t>
      </w:r>
    </w:p>
    <w:p>
      <w:pPr>
        <w:pStyle w:val="Heading3"/>
        <w:spacing w:line="240" w:lineRule="auto"/>
        <w:ind w:left="562" w:right="1683"/>
        <w:jc w:val="left"/>
      </w:pPr>
      <w:r>
        <w:rPr>
          <w:spacing w:val="-4"/>
        </w:rPr>
        <w:t>为企业合并发生的审计、法律服务、评估咨询等中介费用以及其他直接相关费用，于发</w:t>
      </w:r>
    </w:p>
    <w:p>
      <w:pPr>
        <w:spacing w:after="0" w:line="240" w:lineRule="auto"/>
        <w:jc w:val="left"/>
        <w:sectPr>
          <w:pgSz w:w="11910" w:h="16840"/>
          <w:pgMar w:header="733" w:footer="977" w:top="960" w:bottom="1160" w:left="1660" w:right="0"/>
        </w:sectPr>
      </w:pPr>
    </w:p>
    <w:p>
      <w:pPr>
        <w:spacing w:line="240" w:lineRule="auto" w:before="0"/>
        <w:rPr>
          <w:rFonts w:ascii="宋体" w:hAnsi="宋体" w:cs="宋体" w:eastAsia="宋体" w:hint="default"/>
          <w:sz w:val="20"/>
          <w:szCs w:val="20"/>
        </w:rPr>
      </w:pPr>
    </w:p>
    <w:p>
      <w:pPr>
        <w:pStyle w:val="Heading3"/>
        <w:spacing w:line="240" w:lineRule="auto" w:before="168"/>
        <w:ind w:right="0"/>
        <w:jc w:val="both"/>
      </w:pPr>
      <w:r>
        <w:rPr/>
        <w:t>生时计入当期损益；为企业合并而发行权益性证券的交易费用，冲减权益。</w:t>
      </w:r>
    </w:p>
    <w:p>
      <w:pPr>
        <w:pStyle w:val="Heading4"/>
        <w:spacing w:line="240" w:lineRule="auto" w:before="135"/>
        <w:ind w:left="138" w:right="0"/>
        <w:jc w:val="both"/>
        <w:rPr>
          <w:b w:val="0"/>
          <w:bCs w:val="0"/>
        </w:rPr>
      </w:pPr>
      <w:r>
        <w:rPr>
          <w:rFonts w:ascii="Times New Roman" w:hAnsi="Times New Roman" w:cs="Times New Roman" w:eastAsia="Times New Roman" w:hint="default"/>
          <w:sz w:val="18"/>
          <w:szCs w:val="18"/>
        </w:rPr>
        <w:t>6</w:t>
      </w:r>
      <w:r>
        <w:rPr/>
        <w:t>、合并财务报表的编制方法</w:t>
      </w:r>
      <w:r>
        <w:rPr>
          <w:b w:val="0"/>
          <w:bCs w:val="0"/>
        </w:rPr>
      </w:r>
    </w:p>
    <w:p>
      <w:pPr>
        <w:pStyle w:val="Heading3"/>
        <w:spacing w:line="338" w:lineRule="auto" w:before="114"/>
        <w:ind w:left="562" w:right="1683" w:hanging="111"/>
        <w:jc w:val="left"/>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w:t>
      </w:r>
      <w:r>
        <w:rPr/>
        <w:t>合并范围</w:t>
      </w:r>
      <w:r>
        <w:rPr>
          <w:w w:val="100"/>
        </w:rPr>
        <w:t> </w:t>
      </w:r>
      <w:r>
        <w:rPr>
          <w:spacing w:val="-4"/>
        </w:rPr>
        <w:t>本公司合并财务报表的合并范围以控制为基础确定，所有子公司（包括本公司所控制的</w:t>
      </w:r>
    </w:p>
    <w:p>
      <w:pPr>
        <w:pStyle w:val="Heading3"/>
        <w:spacing w:line="355" w:lineRule="auto" w:before="47"/>
        <w:ind w:left="452" w:right="6309" w:hanging="315"/>
        <w:jc w:val="left"/>
      </w:pPr>
      <w:r>
        <w:rPr>
          <w:spacing w:val="-2"/>
        </w:rPr>
        <w:t>单独主体）均纳入合并财务报表。</w:t>
      </w:r>
      <w:r>
        <w:rPr>
          <w:spacing w:val="-75"/>
        </w:rPr>
        <w:t> </w:t>
      </w:r>
      <w:r>
        <w:rPr>
          <w:spacing w:val="-75"/>
        </w:rPr>
      </w: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w:t>
      </w:r>
      <w:r>
        <w:rPr/>
        <w:t>合并程序</w:t>
      </w:r>
    </w:p>
    <w:p>
      <w:pPr>
        <w:pStyle w:val="Heading3"/>
        <w:spacing w:line="357" w:lineRule="auto" w:before="5"/>
        <w:ind w:right="1683" w:firstLine="424"/>
        <w:jc w:val="left"/>
      </w:pPr>
      <w:r>
        <w:rPr>
          <w:spacing w:val="-1"/>
        </w:rPr>
        <w:t>本公司以自身和各子公司的财务报表为基础，根据其他有关资料，编制合并财务报表。</w:t>
      </w:r>
      <w:r>
        <w:rPr>
          <w:w w:val="100"/>
        </w:rPr>
        <w:t> </w:t>
      </w:r>
      <w:r>
        <w:rPr>
          <w:spacing w:val="-4"/>
        </w:rPr>
        <w:t>本公司编制合并财务报表，将整个企业集团视为一个会计主体，依据相关企业会计准则的确</w:t>
      </w:r>
      <w:r>
        <w:rPr>
          <w:spacing w:val="-41"/>
        </w:rPr>
        <w:t> </w:t>
      </w:r>
      <w:r>
        <w:rPr>
          <w:spacing w:val="-41"/>
        </w:rPr>
      </w:r>
      <w:r>
        <w:rPr>
          <w:spacing w:val="-4"/>
        </w:rPr>
        <w:t>认、计量和列报要求，按照统一的会计政策，反映本企业集团整体财务状况、经营成果和现</w:t>
      </w:r>
      <w:r>
        <w:rPr>
          <w:spacing w:val="-42"/>
        </w:rPr>
        <w:t> </w:t>
      </w:r>
      <w:r>
        <w:rPr>
          <w:spacing w:val="-42"/>
        </w:rPr>
      </w:r>
      <w:r>
        <w:rPr/>
        <w:t>金流量。</w:t>
      </w:r>
    </w:p>
    <w:p>
      <w:pPr>
        <w:pStyle w:val="Heading3"/>
        <w:spacing w:line="357" w:lineRule="auto"/>
        <w:ind w:right="1683" w:firstLine="424"/>
        <w:jc w:val="left"/>
      </w:pPr>
      <w:r>
        <w:rPr>
          <w:spacing w:val="-1"/>
        </w:rPr>
        <w:t>所有纳入合并财务报表合并范围的子公司所采用的会计政策、会计期间与本公司一致，</w:t>
      </w:r>
      <w:r>
        <w:rPr>
          <w:w w:val="100"/>
        </w:rPr>
        <w:t> </w:t>
      </w:r>
      <w:r>
        <w:rPr>
          <w:spacing w:val="-4"/>
        </w:rPr>
        <w:t>如子公司采用的会计政策、会计期间与本公司不一致的，在编制合并财务报表时，按本公司</w:t>
      </w:r>
      <w:r>
        <w:rPr>
          <w:spacing w:val="-44"/>
        </w:rPr>
        <w:t> </w:t>
      </w:r>
      <w:r>
        <w:rPr>
          <w:spacing w:val="-44"/>
        </w:rPr>
      </w:r>
      <w:r>
        <w:rPr>
          <w:spacing w:val="-4"/>
        </w:rPr>
        <w:t>的会计政策、会计期间进行必要的调整。对于非同一控制下企业合并取得的子公司，以购买</w:t>
      </w:r>
      <w:r>
        <w:rPr>
          <w:spacing w:val="-44"/>
        </w:rPr>
        <w:t> </w:t>
      </w:r>
      <w:r>
        <w:rPr>
          <w:spacing w:val="-44"/>
        </w:rPr>
      </w:r>
      <w:r>
        <w:rPr>
          <w:spacing w:val="-4"/>
          <w:w w:val="100"/>
        </w:rPr>
        <w:t>日可辨认净资产公允价值为基础对其财务报表进行调整。对于同一控制下企业合并取得的子</w:t>
      </w:r>
      <w:r>
        <w:rPr>
          <w:spacing w:val="-87"/>
          <w:w w:val="100"/>
        </w:rPr>
        <w:t> </w:t>
      </w:r>
      <w:r>
        <w:rPr>
          <w:spacing w:val="-87"/>
          <w:w w:val="100"/>
        </w:rPr>
      </w:r>
      <w:r>
        <w:rPr>
          <w:spacing w:val="-4"/>
        </w:rPr>
        <w:t>公司，以其资产、负债（包括最终控制方收购该子公司而形成的商誉）在最终控制方财务报</w:t>
      </w:r>
      <w:r>
        <w:rPr>
          <w:spacing w:val="-39"/>
        </w:rPr>
        <w:t> </w:t>
      </w:r>
      <w:r>
        <w:rPr>
          <w:spacing w:val="-39"/>
        </w:rPr>
      </w:r>
      <w:r>
        <w:rPr/>
        <w:t>表中的账面价值为基础对其财务报表进行调整。</w:t>
      </w:r>
    </w:p>
    <w:p>
      <w:pPr>
        <w:pStyle w:val="Heading3"/>
        <w:spacing w:line="357" w:lineRule="auto"/>
        <w:ind w:right="1683" w:firstLine="424"/>
        <w:jc w:val="left"/>
      </w:pPr>
      <w:r>
        <w:rPr>
          <w:spacing w:val="-4"/>
          <w:w w:val="100"/>
        </w:rPr>
        <w:t>子公司所有者权益、当期净损益和当期综合收益中属于少数股东的份额分别在合并资产</w:t>
      </w:r>
      <w:r>
        <w:rPr>
          <w:w w:val="100"/>
        </w:rPr>
        <w:t> </w:t>
      </w:r>
      <w:r>
        <w:rPr>
          <w:spacing w:val="-1"/>
        </w:rPr>
        <w:t>负债表中所有者权益项目下、合并利润表中净利润项目下和综合收益总额项目下单独列示。</w:t>
      </w:r>
      <w:r>
        <w:rPr>
          <w:spacing w:val="-47"/>
        </w:rPr>
        <w:t> </w:t>
      </w:r>
      <w:r>
        <w:rPr>
          <w:spacing w:val="-47"/>
        </w:rPr>
      </w:r>
      <w:r>
        <w:rPr/>
        <w:t>子公司少数股东分担的当期亏损超过了少数股东在该子公司期初所有者权益中所享有份额</w:t>
      </w:r>
      <w:r>
        <w:rPr>
          <w:spacing w:val="7"/>
        </w:rPr>
        <w:t> </w:t>
      </w:r>
      <w:r>
        <w:rPr>
          <w:spacing w:val="7"/>
        </w:rPr>
      </w:r>
      <w:r>
        <w:rPr/>
        <w:t>而形成的余额，冲减少数股东权益。</w:t>
      </w:r>
    </w:p>
    <w:p>
      <w:pPr>
        <w:pStyle w:val="Heading3"/>
        <w:spacing w:line="355" w:lineRule="auto"/>
        <w:ind w:left="562" w:right="1683" w:hanging="5"/>
        <w:jc w:val="left"/>
      </w:pPr>
      <w:r>
        <w:rPr/>
        <w:t>①增加子公司或业务</w:t>
      </w:r>
      <w:r>
        <w:rPr>
          <w:w w:val="100"/>
        </w:rPr>
        <w:t> </w:t>
      </w:r>
      <w:r>
        <w:rPr>
          <w:spacing w:val="-4"/>
        </w:rPr>
        <w:t>在报告期内，若因同一控制下企业合并增加子公司或业务的，则调整合并资产负债表的</w:t>
      </w:r>
    </w:p>
    <w:p>
      <w:pPr>
        <w:pStyle w:val="Heading3"/>
        <w:spacing w:line="357" w:lineRule="auto" w:before="34"/>
        <w:ind w:right="1786"/>
        <w:jc w:val="both"/>
      </w:pPr>
      <w:r>
        <w:rPr>
          <w:spacing w:val="-4"/>
        </w:rPr>
        <w:t>期初数；将子公司或业务合并当期期初至报告期末的收入、费用、利润纳入合并利润表；将</w:t>
      </w:r>
      <w:r>
        <w:rPr>
          <w:spacing w:val="-42"/>
        </w:rPr>
        <w:t> </w:t>
      </w:r>
      <w:r>
        <w:rPr>
          <w:spacing w:val="-42"/>
        </w:rPr>
      </w:r>
      <w:r>
        <w:rPr>
          <w:spacing w:val="-4"/>
          <w:w w:val="100"/>
        </w:rPr>
        <w:t>子公司或业务合并当期期初至报告期末的现金流量纳入合并现金流量表，同时对比较报表的</w:t>
      </w:r>
      <w:r>
        <w:rPr>
          <w:spacing w:val="-86"/>
          <w:w w:val="100"/>
        </w:rPr>
        <w:t> </w:t>
      </w:r>
      <w:r>
        <w:rPr>
          <w:spacing w:val="-86"/>
          <w:w w:val="100"/>
        </w:rPr>
      </w:r>
      <w:r>
        <w:rPr/>
        <w:t>相关项目进行调整，视同合并后的报告主体自最终控制方开始控制时点起一直存在。</w:t>
      </w:r>
    </w:p>
    <w:p>
      <w:pPr>
        <w:pStyle w:val="Heading3"/>
        <w:spacing w:line="357" w:lineRule="auto"/>
        <w:ind w:right="1786" w:firstLine="419"/>
        <w:jc w:val="both"/>
      </w:pPr>
      <w:r>
        <w:rPr>
          <w:spacing w:val="-4"/>
          <w:w w:val="100"/>
        </w:rPr>
        <w:t>因追加投资等原因能够对同一控制下的被投资方实施控制的，视同参与合并的各方在最</w:t>
      </w:r>
      <w:r>
        <w:rPr>
          <w:w w:val="100"/>
        </w:rPr>
        <w:t> </w:t>
      </w:r>
      <w:r>
        <w:rPr>
          <w:spacing w:val="-4"/>
          <w:w w:val="100"/>
        </w:rPr>
        <w:t>终控制方开始控制时即以目前的状态存在进行调整。在取得被合并方控制权之前持有的股权</w:t>
      </w:r>
      <w:r>
        <w:rPr>
          <w:spacing w:val="-86"/>
          <w:w w:val="100"/>
        </w:rPr>
        <w:t> </w:t>
      </w:r>
      <w:r>
        <w:rPr>
          <w:spacing w:val="-86"/>
          <w:w w:val="100"/>
        </w:rPr>
      </w:r>
      <w:r>
        <w:rPr>
          <w:spacing w:val="-4"/>
          <w:w w:val="100"/>
        </w:rPr>
        <w:t>投资，在取得原股权之日与合并方和被合并方同处于同一控制之日孰晚日起至合并日之间已</w:t>
      </w:r>
      <w:r>
        <w:rPr>
          <w:spacing w:val="-87"/>
          <w:w w:val="100"/>
        </w:rPr>
        <w:t> </w:t>
      </w:r>
      <w:r>
        <w:rPr>
          <w:spacing w:val="-87"/>
          <w:w w:val="100"/>
        </w:rPr>
      </w:r>
      <w:r>
        <w:rPr>
          <w:spacing w:val="-4"/>
        </w:rPr>
        <w:t>确认有关损益、其他综合收益以及其他净资产变动，分别冲减比较报表期间的期初留存收益</w:t>
      </w:r>
      <w:r>
        <w:rPr>
          <w:spacing w:val="-42"/>
        </w:rPr>
        <w:t> </w:t>
      </w:r>
      <w:r>
        <w:rPr>
          <w:spacing w:val="-42"/>
        </w:rPr>
      </w:r>
      <w:r>
        <w:rPr/>
        <w:t>或当期损益。</w:t>
      </w:r>
    </w:p>
    <w:p>
      <w:pPr>
        <w:pStyle w:val="Heading3"/>
        <w:spacing w:line="357" w:lineRule="auto"/>
        <w:ind w:right="1789" w:firstLine="424"/>
        <w:jc w:val="both"/>
      </w:pPr>
      <w:r>
        <w:rPr>
          <w:spacing w:val="-4"/>
        </w:rPr>
        <w:t>在报告期内，若因非同一控制下企业合并增加子公司或业务的，则不调整合并资产负债</w:t>
      </w:r>
      <w:r>
        <w:rPr>
          <w:w w:val="100"/>
        </w:rPr>
        <w:t> </w:t>
      </w:r>
      <w:r>
        <w:rPr>
          <w:spacing w:val="-4"/>
        </w:rPr>
        <w:t>表期初数；将该子公司或业务自购买日至报告期末的收入、费用、利润纳入合并利润表；该</w:t>
      </w:r>
      <w:r>
        <w:rPr>
          <w:spacing w:val="-42"/>
        </w:rPr>
        <w:t> </w:t>
      </w:r>
      <w:r>
        <w:rPr>
          <w:spacing w:val="-42"/>
        </w:rPr>
      </w:r>
      <w:r>
        <w:rPr/>
        <w:t>子公司或业务自购买日至报告期末的现金流量纳入合并现金流量表。</w:t>
      </w:r>
    </w:p>
    <w:p>
      <w:pPr>
        <w:pStyle w:val="Heading3"/>
        <w:spacing w:line="240" w:lineRule="auto"/>
        <w:ind w:left="562" w:right="1683"/>
        <w:jc w:val="left"/>
      </w:pPr>
      <w:r>
        <w:rPr>
          <w:w w:val="100"/>
        </w:rPr>
        <w:t>因追</w:t>
      </w:r>
      <w:r>
        <w:rPr>
          <w:spacing w:val="-3"/>
          <w:w w:val="100"/>
        </w:rPr>
        <w:t>加</w:t>
      </w:r>
      <w:r>
        <w:rPr>
          <w:w w:val="100"/>
        </w:rPr>
        <w:t>投</w:t>
      </w:r>
      <w:r>
        <w:rPr>
          <w:spacing w:val="-3"/>
          <w:w w:val="100"/>
        </w:rPr>
        <w:t>资</w:t>
      </w:r>
      <w:r>
        <w:rPr>
          <w:w w:val="100"/>
        </w:rPr>
        <w:t>等</w:t>
      </w:r>
      <w:r>
        <w:rPr>
          <w:spacing w:val="-3"/>
          <w:w w:val="100"/>
        </w:rPr>
        <w:t>原</w:t>
      </w:r>
      <w:r>
        <w:rPr>
          <w:w w:val="100"/>
        </w:rPr>
        <w:t>因</w:t>
      </w:r>
      <w:r>
        <w:rPr>
          <w:spacing w:val="-3"/>
          <w:w w:val="100"/>
        </w:rPr>
        <w:t>能</w:t>
      </w:r>
      <w:r>
        <w:rPr>
          <w:w w:val="100"/>
        </w:rPr>
        <w:t>够</w:t>
      </w:r>
      <w:r>
        <w:rPr>
          <w:spacing w:val="-3"/>
          <w:w w:val="100"/>
        </w:rPr>
        <w:t>对</w:t>
      </w:r>
      <w:r>
        <w:rPr>
          <w:w w:val="100"/>
        </w:rPr>
        <w:t>非同</w:t>
      </w:r>
      <w:r>
        <w:rPr>
          <w:spacing w:val="-3"/>
          <w:w w:val="100"/>
        </w:rPr>
        <w:t>一</w:t>
      </w:r>
      <w:r>
        <w:rPr>
          <w:w w:val="100"/>
        </w:rPr>
        <w:t>控</w:t>
      </w:r>
      <w:r>
        <w:rPr>
          <w:spacing w:val="-3"/>
          <w:w w:val="100"/>
        </w:rPr>
        <w:t>制</w:t>
      </w:r>
      <w:r>
        <w:rPr>
          <w:w w:val="100"/>
        </w:rPr>
        <w:t>下</w:t>
      </w:r>
      <w:r>
        <w:rPr>
          <w:spacing w:val="-3"/>
          <w:w w:val="100"/>
        </w:rPr>
        <w:t>的</w:t>
      </w:r>
      <w:r>
        <w:rPr>
          <w:w w:val="100"/>
        </w:rPr>
        <w:t>被</w:t>
      </w:r>
      <w:r>
        <w:rPr>
          <w:spacing w:val="-3"/>
          <w:w w:val="100"/>
        </w:rPr>
        <w:t>投</w:t>
      </w:r>
      <w:r>
        <w:rPr>
          <w:w w:val="100"/>
        </w:rPr>
        <w:t>资</w:t>
      </w:r>
      <w:r>
        <w:rPr>
          <w:spacing w:val="-3"/>
          <w:w w:val="100"/>
        </w:rPr>
        <w:t>方</w:t>
      </w:r>
      <w:r>
        <w:rPr>
          <w:w w:val="100"/>
        </w:rPr>
        <w:t>实施</w:t>
      </w:r>
      <w:r>
        <w:rPr>
          <w:spacing w:val="-3"/>
          <w:w w:val="100"/>
        </w:rPr>
        <w:t>控</w:t>
      </w:r>
      <w:r>
        <w:rPr>
          <w:w w:val="100"/>
        </w:rPr>
        <w:t>制</w:t>
      </w:r>
      <w:r>
        <w:rPr>
          <w:spacing w:val="-3"/>
          <w:w w:val="100"/>
        </w:rPr>
        <w:t>的</w:t>
      </w:r>
      <w:r>
        <w:rPr>
          <w:spacing w:val="-94"/>
          <w:w w:val="100"/>
        </w:rPr>
        <w:t>，</w:t>
      </w:r>
      <w:r>
        <w:rPr>
          <w:w w:val="100"/>
        </w:rPr>
        <w:t>对</w:t>
      </w:r>
      <w:r>
        <w:rPr>
          <w:spacing w:val="-3"/>
          <w:w w:val="100"/>
        </w:rPr>
        <w:t>于</w:t>
      </w:r>
      <w:r>
        <w:rPr>
          <w:w w:val="100"/>
        </w:rPr>
        <w:t>购</w:t>
      </w:r>
      <w:r>
        <w:rPr>
          <w:spacing w:val="-3"/>
          <w:w w:val="100"/>
        </w:rPr>
        <w:t>买</w:t>
      </w:r>
      <w:r>
        <w:rPr>
          <w:w w:val="100"/>
        </w:rPr>
        <w:t>日</w:t>
      </w:r>
      <w:r>
        <w:rPr>
          <w:spacing w:val="-3"/>
          <w:w w:val="100"/>
        </w:rPr>
        <w:t>之</w:t>
      </w:r>
      <w:r>
        <w:rPr>
          <w:w w:val="100"/>
        </w:rPr>
        <w:t>前持</w:t>
      </w:r>
      <w:r>
        <w:rPr>
          <w:spacing w:val="-3"/>
          <w:w w:val="100"/>
        </w:rPr>
        <w:t>有</w:t>
      </w:r>
      <w:r>
        <w:rPr>
          <w:w w:val="100"/>
        </w:rPr>
        <w:t>的</w:t>
      </w:r>
    </w:p>
    <w:p>
      <w:pPr>
        <w:spacing w:after="0" w:line="240" w:lineRule="auto"/>
        <w:jc w:val="left"/>
        <w:sectPr>
          <w:pgSz w:w="11910" w:h="16840"/>
          <w:pgMar w:header="733" w:footer="977" w:top="960" w:bottom="1160" w:left="1660" w:right="0"/>
        </w:sectPr>
      </w:pPr>
    </w:p>
    <w:p>
      <w:pPr>
        <w:spacing w:line="240" w:lineRule="auto" w:before="0"/>
        <w:rPr>
          <w:rFonts w:ascii="宋体" w:hAnsi="宋体" w:cs="宋体" w:eastAsia="宋体" w:hint="default"/>
          <w:sz w:val="20"/>
          <w:szCs w:val="20"/>
        </w:rPr>
      </w:pPr>
    </w:p>
    <w:p>
      <w:pPr>
        <w:pStyle w:val="Heading3"/>
        <w:spacing w:line="357" w:lineRule="auto" w:before="168"/>
        <w:ind w:right="1786"/>
        <w:jc w:val="both"/>
      </w:pPr>
      <w:r>
        <w:rPr>
          <w:spacing w:val="-4"/>
        </w:rPr>
        <w:t>被购买方的股权，本公司按照该股权在购买日的公允价值进行重新计量，公允价值与其账面</w:t>
      </w:r>
      <w:r>
        <w:rPr>
          <w:spacing w:val="-40"/>
        </w:rPr>
        <w:t> </w:t>
      </w:r>
      <w:r>
        <w:rPr>
          <w:spacing w:val="-40"/>
        </w:rPr>
      </w:r>
      <w:r>
        <w:rPr>
          <w:spacing w:val="-4"/>
          <w:w w:val="100"/>
        </w:rPr>
        <w:t>价值的差额计入当期投资收益。购买日之前持有的被购买方的股权涉及权益法核算下的其他</w:t>
      </w:r>
      <w:r>
        <w:rPr>
          <w:spacing w:val="-88"/>
          <w:w w:val="100"/>
        </w:rPr>
        <w:t> </w:t>
      </w:r>
      <w:r>
        <w:rPr>
          <w:spacing w:val="-88"/>
          <w:w w:val="100"/>
        </w:rPr>
      </w:r>
      <w:r>
        <w:rPr>
          <w:spacing w:val="-4"/>
        </w:rPr>
        <w:t>综合收益以及除净损益、其他综合收益和利润分配之外的其他所有者权益变动的，与其相关</w:t>
      </w:r>
      <w:r>
        <w:rPr>
          <w:spacing w:val="-41"/>
        </w:rPr>
        <w:t> </w:t>
      </w:r>
      <w:r>
        <w:rPr>
          <w:spacing w:val="-41"/>
        </w:rPr>
      </w:r>
      <w:r>
        <w:rPr>
          <w:spacing w:val="-4"/>
        </w:rPr>
        <w:t>的其他综合收益、其他所有者权益变动转为购买日所属当期投资收益，由于被投资方重新计</w:t>
      </w:r>
      <w:r>
        <w:rPr>
          <w:spacing w:val="-41"/>
        </w:rPr>
        <w:t> </w:t>
      </w:r>
      <w:r>
        <w:rPr>
          <w:spacing w:val="-41"/>
        </w:rPr>
      </w:r>
      <w:r>
        <w:rPr/>
        <w:t>量设定受益计划净负债或净资产变动而产生的其他综合收益除外。</w:t>
      </w:r>
    </w:p>
    <w:p>
      <w:pPr>
        <w:pStyle w:val="Heading3"/>
        <w:spacing w:line="355" w:lineRule="auto"/>
        <w:ind w:left="562" w:right="6577" w:hanging="5"/>
        <w:jc w:val="left"/>
      </w:pPr>
      <w:r>
        <w:rPr>
          <w:spacing w:val="-2"/>
        </w:rPr>
        <w:t>②处置子公司或业务</w:t>
      </w:r>
      <w:r>
        <w:rPr>
          <w:spacing w:val="-89"/>
        </w:rPr>
        <w:t> </w:t>
      </w:r>
      <w:r>
        <w:rPr>
          <w:spacing w:val="-89"/>
        </w:rPr>
      </w:r>
      <w:r>
        <w:rPr/>
        <w:t>一般处理方法</w:t>
      </w:r>
    </w:p>
    <w:p>
      <w:pPr>
        <w:pStyle w:val="Heading3"/>
        <w:spacing w:line="357" w:lineRule="auto" w:before="34"/>
        <w:ind w:right="1683" w:firstLine="424"/>
        <w:jc w:val="left"/>
      </w:pPr>
      <w:r>
        <w:rPr>
          <w:spacing w:val="-10"/>
          <w:w w:val="100"/>
        </w:rPr>
        <w:t>在报告期内，本公司处置子公司或业务，则该子公司或业务期初至处置日的收入、费用、</w:t>
      </w:r>
      <w:r>
        <w:rPr>
          <w:w w:val="100"/>
        </w:rPr>
        <w:t> </w:t>
      </w:r>
      <w:r>
        <w:rPr/>
        <w:t>利润纳入合并利润表；该子公司或业务期初至处置日的现金流量纳入合并现金流量表。</w:t>
      </w:r>
    </w:p>
    <w:p>
      <w:pPr>
        <w:pStyle w:val="Heading3"/>
        <w:spacing w:line="357" w:lineRule="auto"/>
        <w:ind w:right="1683" w:firstLine="424"/>
        <w:jc w:val="left"/>
      </w:pPr>
      <w:r>
        <w:rPr>
          <w:spacing w:val="-4"/>
          <w:w w:val="100"/>
        </w:rPr>
        <w:t>因处置部分股权投资或其他原因丧失了对被投资方控制权时，对于处置后的剩余股权投</w:t>
      </w:r>
      <w:r>
        <w:rPr>
          <w:w w:val="100"/>
        </w:rPr>
        <w:t> </w:t>
      </w:r>
      <w:r>
        <w:rPr>
          <w:spacing w:val="-4"/>
        </w:rPr>
        <w:t>资，本公司按照其在丧失控制权日的公允价值进行重新计量。处置股权取得的对价与剩余股</w:t>
      </w:r>
      <w:r>
        <w:rPr>
          <w:spacing w:val="-41"/>
        </w:rPr>
        <w:t> </w:t>
      </w:r>
      <w:r>
        <w:rPr>
          <w:spacing w:val="-41"/>
        </w:rPr>
      </w:r>
      <w:r>
        <w:rPr>
          <w:spacing w:val="-4"/>
          <w:w w:val="100"/>
        </w:rPr>
        <w:t>权公允价值之和，减去按原持股比例计算应享有原有子公司自购买日或合并日开始持续计算</w:t>
      </w:r>
      <w:r>
        <w:rPr>
          <w:spacing w:val="-86"/>
          <w:w w:val="100"/>
        </w:rPr>
        <w:t> </w:t>
      </w:r>
      <w:r>
        <w:rPr>
          <w:spacing w:val="-86"/>
          <w:w w:val="100"/>
        </w:rPr>
      </w:r>
      <w:r>
        <w:rPr>
          <w:spacing w:val="-4"/>
        </w:rPr>
        <w:t>的净资产的份额与商誉之和的差额，计入丧失控制权当期的投资收益。与原有子公司股权投</w:t>
      </w:r>
      <w:r>
        <w:rPr>
          <w:spacing w:val="-42"/>
        </w:rPr>
        <w:t> </w:t>
      </w:r>
      <w:r>
        <w:rPr>
          <w:spacing w:val="-42"/>
        </w:rPr>
      </w:r>
      <w:r>
        <w:rPr>
          <w:spacing w:val="-1"/>
        </w:rPr>
        <w:t>资相关的其他综合收益或除净损益、其他综合收益及利润分配之外的其他所有者权益变动，</w:t>
      </w:r>
      <w:r>
        <w:rPr>
          <w:spacing w:val="-47"/>
        </w:rPr>
        <w:t> </w:t>
      </w:r>
      <w:r>
        <w:rPr>
          <w:spacing w:val="-47"/>
        </w:rPr>
      </w:r>
      <w:r>
        <w:rPr>
          <w:spacing w:val="-4"/>
          <w:w w:val="100"/>
        </w:rPr>
        <w:t>在丧失控制权时转为当期投资收益，由于被投资方重新计量设定受益计划净负债或净资产变</w:t>
      </w:r>
      <w:r>
        <w:rPr>
          <w:spacing w:val="-87"/>
          <w:w w:val="100"/>
        </w:rPr>
        <w:t> </w:t>
      </w:r>
      <w:r>
        <w:rPr>
          <w:spacing w:val="-87"/>
          <w:w w:val="100"/>
        </w:rPr>
      </w:r>
      <w:r>
        <w:rPr/>
        <w:t>动而产生的其他综合收益除外。</w:t>
      </w:r>
    </w:p>
    <w:p>
      <w:pPr>
        <w:pStyle w:val="Heading3"/>
        <w:spacing w:line="357" w:lineRule="auto"/>
        <w:ind w:left="562" w:right="1683"/>
        <w:jc w:val="left"/>
      </w:pPr>
      <w:r>
        <w:rPr/>
        <w:t>分步处置子公司</w:t>
      </w:r>
      <w:r>
        <w:rPr>
          <w:spacing w:val="-103"/>
        </w:rPr>
        <w:t> </w:t>
      </w:r>
      <w:r>
        <w:rPr>
          <w:spacing w:val="-103"/>
        </w:rPr>
      </w:r>
      <w:r>
        <w:rPr>
          <w:spacing w:val="-4"/>
          <w:w w:val="100"/>
        </w:rPr>
        <w:t>通过多次交易分步处置对子公司股权投资直至丧失控制权的，处置对子公司股权投资的</w:t>
      </w:r>
    </w:p>
    <w:p>
      <w:pPr>
        <w:pStyle w:val="Heading3"/>
        <w:spacing w:line="355" w:lineRule="auto"/>
        <w:ind w:right="1789"/>
        <w:jc w:val="both"/>
      </w:pPr>
      <w:r>
        <w:rPr>
          <w:spacing w:val="-4"/>
        </w:rPr>
        <w:t>各项交易的条款、条件以及经济影响符合以下一种或多种情况，通常表明应将多次交易事项</w:t>
      </w:r>
      <w:r>
        <w:rPr>
          <w:spacing w:val="-40"/>
        </w:rPr>
        <w:t> </w:t>
      </w:r>
      <w:r>
        <w:rPr>
          <w:spacing w:val="-40"/>
        </w:rPr>
      </w:r>
      <w:r>
        <w:rPr/>
        <w:t>作为一揽子交易进行会计处理：</w:t>
      </w:r>
    </w:p>
    <w:p>
      <w:pPr>
        <w:pStyle w:val="Heading3"/>
        <w:spacing w:line="357" w:lineRule="auto" w:before="32"/>
        <w:ind w:left="562" w:right="1683"/>
        <w:jc w:val="left"/>
      </w:pPr>
      <w:r>
        <w:rPr/>
        <w:t>ⅰ．这些交易是同时或者在考虑了彼此影响的情况下订立的。</w:t>
      </w:r>
      <w:r>
        <w:rPr>
          <w:w w:val="100"/>
        </w:rPr>
        <w:t> </w:t>
      </w:r>
      <w:r>
        <w:rPr/>
        <w:t>ⅱ．这些交易整体才能达成一项完整的商业结果。</w:t>
      </w:r>
      <w:r>
        <w:rPr>
          <w:w w:val="100"/>
        </w:rPr>
        <w:t> </w:t>
      </w:r>
      <w:r>
        <w:rPr/>
        <w:t>ⅲ．一项交易的发生取决于其他至少一项交易的发生。</w:t>
      </w:r>
      <w:r>
        <w:rPr>
          <w:w w:val="100"/>
        </w:rPr>
        <w:t> </w:t>
      </w:r>
      <w:r>
        <w:rPr/>
        <w:t>ⅳ．一项交易单独看是不经济的，但是和其他交易一并考虑时是经济的。</w:t>
      </w:r>
      <w:r>
        <w:rPr>
          <w:w w:val="100"/>
        </w:rPr>
        <w:t> </w:t>
      </w:r>
      <w:r>
        <w:rPr>
          <w:spacing w:val="-4"/>
          <w:w w:val="100"/>
        </w:rPr>
        <w:t>处置对子公司股权投资直至丧失控制权的各项交易属于一揽子交易的，本公司将各项交</w:t>
      </w:r>
    </w:p>
    <w:p>
      <w:pPr>
        <w:pStyle w:val="Heading3"/>
        <w:spacing w:line="357" w:lineRule="auto"/>
        <w:ind w:right="1786"/>
        <w:jc w:val="both"/>
      </w:pPr>
      <w:r>
        <w:rPr>
          <w:spacing w:val="-4"/>
        </w:rPr>
        <w:t>易作为一项处置子公司并丧失控制权的交易进行会计处理；但是，在丧失控制权之前每一次</w:t>
      </w:r>
      <w:r>
        <w:rPr>
          <w:spacing w:val="-38"/>
        </w:rPr>
        <w:t> </w:t>
      </w:r>
      <w:r>
        <w:rPr>
          <w:spacing w:val="-38"/>
        </w:rPr>
      </w:r>
      <w:r>
        <w:rPr>
          <w:spacing w:val="-4"/>
          <w:w w:val="100"/>
        </w:rPr>
        <w:t>处置价款与处置投资对应的享有该子公司净资产份额的差额，在合并财务报表中确认为其他</w:t>
      </w:r>
      <w:r>
        <w:rPr>
          <w:spacing w:val="-87"/>
          <w:w w:val="100"/>
        </w:rPr>
        <w:t> </w:t>
      </w:r>
      <w:r>
        <w:rPr>
          <w:spacing w:val="-87"/>
          <w:w w:val="100"/>
        </w:rPr>
      </w:r>
      <w:r>
        <w:rPr/>
        <w:t>综合收益，在丧失控制权时一并转入丧失控制权当期的损益。</w:t>
      </w:r>
    </w:p>
    <w:p>
      <w:pPr>
        <w:pStyle w:val="Heading3"/>
        <w:spacing w:line="355" w:lineRule="auto"/>
        <w:ind w:right="1786" w:firstLine="424"/>
        <w:jc w:val="both"/>
      </w:pPr>
      <w:r>
        <w:rPr>
          <w:spacing w:val="-4"/>
          <w:w w:val="100"/>
        </w:rPr>
        <w:t>处置对子公司股权投资直至丧失控制权的各项交易不属于一揽子交易的，在丧失控制权</w:t>
      </w:r>
      <w:r>
        <w:rPr>
          <w:w w:val="100"/>
        </w:rPr>
        <w:t> </w:t>
      </w:r>
      <w:r>
        <w:rPr>
          <w:spacing w:val="-4"/>
        </w:rPr>
        <w:t>之前，按不丧失控制权的情况下部分处置对子公司的股权投资的相关政策进行会计处理；在</w:t>
      </w:r>
      <w:r>
        <w:rPr>
          <w:spacing w:val="-41"/>
        </w:rPr>
        <w:t> </w:t>
      </w:r>
      <w:r>
        <w:rPr>
          <w:spacing w:val="-41"/>
        </w:rPr>
      </w:r>
      <w:r>
        <w:rPr/>
        <w:t>丧失控制权时，按处置子公司一般处理方法进行会计处理。</w:t>
      </w:r>
    </w:p>
    <w:p>
      <w:pPr>
        <w:pStyle w:val="Heading3"/>
        <w:spacing w:line="357" w:lineRule="auto" w:before="34"/>
        <w:ind w:left="562" w:right="1683"/>
        <w:jc w:val="left"/>
      </w:pPr>
      <w:r>
        <w:rPr/>
        <w:t>③购买子公司少数股权</w:t>
      </w:r>
      <w:r>
        <w:rPr>
          <w:w w:val="100"/>
        </w:rPr>
        <w:t> </w:t>
      </w:r>
      <w:r>
        <w:rPr/>
        <w:t>本公司因购买少数股权新取得的长期股权投资与按照新增持股比例计算应享有子公司</w:t>
      </w:r>
    </w:p>
    <w:p>
      <w:pPr>
        <w:pStyle w:val="Heading3"/>
        <w:spacing w:line="240" w:lineRule="auto"/>
        <w:ind w:right="0"/>
        <w:jc w:val="both"/>
      </w:pPr>
      <w:r>
        <w:rPr>
          <w:spacing w:val="-4"/>
        </w:rPr>
        <w:t>自购买日（或合并日）开始持续计算的净资产份额之间的差额，调整合并资产负债表中的资</w:t>
      </w:r>
    </w:p>
    <w:p>
      <w:pPr>
        <w:spacing w:after="0" w:line="240" w:lineRule="auto"/>
        <w:jc w:val="both"/>
        <w:sectPr>
          <w:pgSz w:w="11910" w:h="16840"/>
          <w:pgMar w:header="733" w:footer="977" w:top="960" w:bottom="1160" w:left="1660" w:right="0"/>
        </w:sectPr>
      </w:pPr>
    </w:p>
    <w:p>
      <w:pPr>
        <w:spacing w:line="240" w:lineRule="auto" w:before="0"/>
        <w:rPr>
          <w:rFonts w:ascii="宋体" w:hAnsi="宋体" w:cs="宋体" w:eastAsia="宋体" w:hint="default"/>
          <w:sz w:val="20"/>
          <w:szCs w:val="20"/>
        </w:rPr>
      </w:pPr>
    </w:p>
    <w:p>
      <w:pPr>
        <w:pStyle w:val="Heading3"/>
        <w:spacing w:line="240" w:lineRule="auto" w:before="168"/>
        <w:ind w:right="1683"/>
        <w:jc w:val="left"/>
      </w:pPr>
      <w:r>
        <w:rPr/>
        <w:t>本公积中的股本溢价，资本公积中的股本溢价不足冲减的，调整留存收益。</w:t>
      </w:r>
    </w:p>
    <w:p>
      <w:pPr>
        <w:pStyle w:val="Heading3"/>
        <w:spacing w:line="355" w:lineRule="auto" w:before="133"/>
        <w:ind w:left="562" w:right="1683"/>
        <w:jc w:val="left"/>
      </w:pPr>
      <w:r>
        <w:rPr/>
        <w:t>④不丧失控制权的情况下部分处置对子公司的长期股权投资</w:t>
      </w:r>
      <w:r>
        <w:rPr>
          <w:w w:val="100"/>
        </w:rPr>
        <w:t> </w:t>
      </w:r>
      <w:r>
        <w:rPr/>
        <w:t>在不丧失控制权的情况下因部分处置对子公司的长期股权投资而取得的处置价款与处</w:t>
      </w:r>
    </w:p>
    <w:p>
      <w:pPr>
        <w:pStyle w:val="Heading3"/>
        <w:spacing w:line="355" w:lineRule="auto" w:before="34"/>
        <w:ind w:right="1683"/>
        <w:jc w:val="left"/>
      </w:pPr>
      <w:r>
        <w:rPr/>
        <w:t>置长期股权投资相对应享有子公司自购买日或合并日开始持续计算的净资产份额之间的差</w:t>
      </w:r>
      <w:r>
        <w:rPr>
          <w:spacing w:val="7"/>
        </w:rPr>
        <w:t> </w:t>
      </w:r>
      <w:r>
        <w:rPr>
          <w:spacing w:val="7"/>
        </w:rPr>
      </w:r>
      <w:r>
        <w:rPr>
          <w:spacing w:val="-1"/>
        </w:rPr>
        <w:t>额，调整合并资产负债表中的资本公积中的股本溢价，资本公积中的股本溢价不足冲减的，</w:t>
      </w:r>
      <w:r>
        <w:rPr>
          <w:spacing w:val="-47"/>
        </w:rPr>
        <w:t> </w:t>
      </w:r>
      <w:r>
        <w:rPr>
          <w:spacing w:val="-47"/>
        </w:rPr>
      </w:r>
      <w:r>
        <w:rPr/>
        <w:t>调整留存收益。</w:t>
      </w:r>
    </w:p>
    <w:p>
      <w:pPr>
        <w:pStyle w:val="Heading4"/>
        <w:spacing w:line="240" w:lineRule="auto" w:before="34"/>
        <w:ind w:left="138" w:right="1683"/>
        <w:jc w:val="left"/>
        <w:rPr>
          <w:b w:val="0"/>
          <w:bCs w:val="0"/>
        </w:rPr>
      </w:pPr>
      <w:r>
        <w:rPr>
          <w:rFonts w:ascii="Times New Roman" w:hAnsi="Times New Roman" w:cs="Times New Roman" w:eastAsia="Times New Roman" w:hint="default"/>
          <w:sz w:val="18"/>
          <w:szCs w:val="18"/>
        </w:rPr>
        <w:t>7</w:t>
      </w:r>
      <w:r>
        <w:rPr/>
        <w:t>、合营安排分类及共同经营会计处理方法</w:t>
      </w:r>
      <w:r>
        <w:rPr>
          <w:b w:val="0"/>
          <w:bCs w:val="0"/>
        </w:rPr>
      </w:r>
    </w:p>
    <w:p>
      <w:pPr>
        <w:pStyle w:val="Heading3"/>
        <w:spacing w:line="360" w:lineRule="auto" w:before="114"/>
        <w:ind w:left="562" w:right="1683"/>
        <w:jc w:val="left"/>
      </w:pPr>
      <w:r>
        <w:rPr/>
        <w:t>合营安排分为共同经营和合营企业。</w:t>
      </w:r>
      <w:r>
        <w:rPr>
          <w:w w:val="100"/>
        </w:rPr>
        <w:t> </w:t>
      </w:r>
      <w:r>
        <w:rPr>
          <w:spacing w:val="-4"/>
        </w:rPr>
        <w:t>当本公司是合营安排的合营方，享有该安排相关资产且承担该安排相关负债时，为共同</w:t>
      </w:r>
    </w:p>
    <w:p>
      <w:pPr>
        <w:pStyle w:val="Heading3"/>
        <w:spacing w:line="240" w:lineRule="auto" w:before="28"/>
        <w:ind w:right="1683"/>
        <w:jc w:val="left"/>
      </w:pPr>
      <w:r>
        <w:rPr/>
        <w:t>经营。</w:t>
      </w:r>
    </w:p>
    <w:p>
      <w:pPr>
        <w:pStyle w:val="Heading3"/>
        <w:spacing w:line="355" w:lineRule="auto" w:before="133"/>
        <w:ind w:right="1683" w:firstLine="424"/>
        <w:jc w:val="left"/>
      </w:pPr>
      <w:r>
        <w:rPr>
          <w:spacing w:val="-4"/>
          <w:w w:val="100"/>
        </w:rPr>
        <w:t>本公司确认与共同经营中利益份额相关的下列项目，并按照相关企业会计准则的规定进</w:t>
      </w:r>
      <w:r>
        <w:rPr>
          <w:w w:val="100"/>
        </w:rPr>
        <w:t> </w:t>
      </w:r>
      <w:r>
        <w:rPr/>
        <w:t>行会计处理：</w:t>
      </w:r>
    </w:p>
    <w:p>
      <w:pPr>
        <w:pStyle w:val="Heading3"/>
        <w:spacing w:line="240" w:lineRule="auto" w:before="32"/>
        <w:ind w:left="562" w:right="1683"/>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Heading3"/>
        <w:spacing w:line="240" w:lineRule="auto" w:before="119"/>
        <w:ind w:left="562" w:right="1683"/>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Heading3"/>
        <w:spacing w:line="240" w:lineRule="auto" w:before="117"/>
        <w:ind w:left="562" w:right="1683"/>
        <w:jc w:val="left"/>
      </w:pPr>
      <w:r>
        <w:rPr/>
        <w:t>（</w:t>
      </w:r>
      <w:r>
        <w:rPr>
          <w:rFonts w:ascii="Times New Roman" w:hAnsi="Times New Roman" w:cs="Times New Roman" w:eastAsia="Times New Roman" w:hint="default"/>
        </w:rPr>
        <w:t>3</w:t>
      </w:r>
      <w:r>
        <w:rPr/>
        <w:t>）确认出售本公司享有的共同经营产出份额所产生的收入。</w:t>
      </w:r>
    </w:p>
    <w:p>
      <w:pPr>
        <w:pStyle w:val="Heading3"/>
        <w:spacing w:line="240" w:lineRule="auto" w:before="117"/>
        <w:ind w:left="562" w:right="1683"/>
        <w:jc w:val="left"/>
      </w:pPr>
      <w:r>
        <w:rPr/>
        <w:t>（</w:t>
      </w:r>
      <w:r>
        <w:rPr>
          <w:rFonts w:ascii="Times New Roman" w:hAnsi="Times New Roman" w:cs="Times New Roman" w:eastAsia="Times New Roman" w:hint="default"/>
        </w:rPr>
        <w:t>4</w:t>
      </w:r>
      <w:r>
        <w:rPr/>
        <w:t>）按本公司份额确认共同经营因出售产出所产生的收入。</w:t>
      </w:r>
    </w:p>
    <w:p>
      <w:pPr>
        <w:pStyle w:val="Heading3"/>
        <w:spacing w:line="338" w:lineRule="auto" w:before="117"/>
        <w:ind w:left="558" w:right="1683" w:firstLine="4"/>
        <w:jc w:val="left"/>
      </w:pPr>
      <w:r>
        <w:rPr>
          <w:spacing w:val="-2"/>
        </w:rPr>
        <w:t>（</w:t>
      </w:r>
      <w:r>
        <w:rPr>
          <w:rFonts w:ascii="Times New Roman" w:hAnsi="Times New Roman" w:cs="Times New Roman" w:eastAsia="Times New Roman" w:hint="default"/>
          <w:spacing w:val="-2"/>
        </w:rPr>
        <w:t>5</w:t>
      </w:r>
      <w:r>
        <w:rPr>
          <w:spacing w:val="-2"/>
        </w:rPr>
        <w:t>）确认单独所发生的费用，以及按本公司份额确认共同经营发生的费用。</w:t>
      </w:r>
      <w:r>
        <w:rPr>
          <w:spacing w:val="-46"/>
        </w:rPr>
        <w:t> </w:t>
      </w:r>
      <w:r>
        <w:rPr>
          <w:spacing w:val="-46"/>
        </w:rPr>
      </w:r>
      <w:r>
        <w:rPr/>
        <w:t>本公司对合营企业投资的会计政策见本附注“五、</w:t>
      </w:r>
      <w:r>
        <w:rPr>
          <w:rFonts w:ascii="Times New Roman" w:hAnsi="Times New Roman" w:cs="Times New Roman" w:eastAsia="Times New Roman" w:hint="default"/>
        </w:rPr>
        <w:t>13</w:t>
      </w:r>
      <w:r>
        <w:rPr/>
        <w:t>长期股权投资”。</w:t>
      </w:r>
    </w:p>
    <w:p>
      <w:pPr>
        <w:pStyle w:val="Heading4"/>
        <w:spacing w:line="240" w:lineRule="auto" w:before="24"/>
        <w:ind w:left="138" w:right="1683"/>
        <w:jc w:val="left"/>
        <w:rPr>
          <w:b w:val="0"/>
          <w:bCs w:val="0"/>
        </w:rPr>
      </w:pPr>
      <w:r>
        <w:rPr>
          <w:rFonts w:ascii="Times New Roman" w:hAnsi="Times New Roman" w:cs="Times New Roman" w:eastAsia="Times New Roman" w:hint="default"/>
          <w:sz w:val="18"/>
          <w:szCs w:val="18"/>
        </w:rPr>
        <w:t>8</w:t>
      </w:r>
      <w:r>
        <w:rPr/>
        <w:t>、现金及现金等价物的确定标准</w:t>
      </w:r>
      <w:r>
        <w:rPr>
          <w:b w:val="0"/>
          <w:bCs w:val="0"/>
        </w:rPr>
      </w:r>
    </w:p>
    <w:p>
      <w:pPr>
        <w:pStyle w:val="Heading3"/>
        <w:spacing w:line="355" w:lineRule="auto" w:before="114"/>
        <w:ind w:right="1789" w:firstLine="419"/>
        <w:jc w:val="both"/>
      </w:pPr>
      <w:r>
        <w:rPr>
          <w:spacing w:val="-4"/>
        </w:rPr>
        <w:t>在编制现金流量表时，将本公司库存现金以及可以随时用于支付的存款确认为现金。将</w:t>
      </w:r>
      <w:r>
        <w:rPr>
          <w:w w:val="100"/>
        </w:rPr>
        <w:t> </w:t>
      </w:r>
      <w:r>
        <w:rPr>
          <w:spacing w:val="-4"/>
        </w:rPr>
        <w:t>同时具备期限短（从购买日起三个月内到期）、流动性强、易于转换为已知现金、价值变动</w:t>
      </w:r>
      <w:r>
        <w:rPr>
          <w:spacing w:val="-45"/>
        </w:rPr>
        <w:t> </w:t>
      </w:r>
      <w:r>
        <w:rPr>
          <w:spacing w:val="-45"/>
        </w:rPr>
      </w:r>
      <w:r>
        <w:rPr/>
        <w:t>风险很小四个条件的投资，确定为现金等价物。</w:t>
      </w:r>
    </w:p>
    <w:p>
      <w:pPr>
        <w:pStyle w:val="Heading4"/>
        <w:spacing w:line="240" w:lineRule="auto" w:before="37"/>
        <w:ind w:left="138" w:right="1683"/>
        <w:jc w:val="left"/>
        <w:rPr>
          <w:b w:val="0"/>
          <w:bCs w:val="0"/>
        </w:rPr>
      </w:pPr>
      <w:r>
        <w:rPr>
          <w:rFonts w:ascii="Times New Roman" w:hAnsi="Times New Roman" w:cs="Times New Roman" w:eastAsia="Times New Roman" w:hint="default"/>
          <w:sz w:val="18"/>
          <w:szCs w:val="18"/>
        </w:rPr>
        <w:t>9</w:t>
      </w:r>
      <w:r>
        <w:rPr/>
        <w:t>、外币业务和外币报表折算</w:t>
      </w:r>
      <w:r>
        <w:rPr>
          <w:b w:val="0"/>
          <w:bCs w:val="0"/>
        </w:rPr>
      </w:r>
    </w:p>
    <w:p>
      <w:pPr>
        <w:pStyle w:val="Heading3"/>
        <w:spacing w:line="348" w:lineRule="auto" w:before="114"/>
        <w:ind w:left="558" w:right="889" w:hanging="106"/>
        <w:jc w:val="left"/>
      </w:pPr>
      <w:r>
        <w:rPr/>
        <w:t>（</w:t>
      </w:r>
      <w:r>
        <w:rPr>
          <w:rFonts w:ascii="Times New Roman" w:hAnsi="Times New Roman" w:cs="Times New Roman" w:eastAsia="Times New Roman" w:hint="default"/>
        </w:rPr>
        <w:t>1</w:t>
      </w:r>
      <w:r>
        <w:rPr/>
        <w:t>）外币业务</w:t>
      </w:r>
      <w:r>
        <w:rPr>
          <w:w w:val="100"/>
        </w:rPr>
        <w:t> </w:t>
      </w:r>
      <w:r>
        <w:rPr/>
        <w:t>外币业务采用交易发生日的即期汇率作为折算汇率将外币金额折合成人民币记账。</w:t>
      </w:r>
      <w:r>
        <w:rPr>
          <w:w w:val="100"/>
        </w:rPr>
        <w:t> </w:t>
      </w:r>
      <w:r>
        <w:rPr>
          <w:spacing w:val="-4"/>
          <w:w w:val="100"/>
        </w:rPr>
        <w:t>资产负债表日外币货币性项目余额按资产负债表日即期汇率折算，由此产生的汇兑差额，</w:t>
      </w:r>
    </w:p>
    <w:p>
      <w:pPr>
        <w:pStyle w:val="Heading3"/>
        <w:spacing w:line="355" w:lineRule="auto" w:before="38"/>
        <w:ind w:right="1683"/>
        <w:jc w:val="left"/>
      </w:pPr>
      <w:r>
        <w:rPr/>
        <w:t>除属于与购建符合资本化条件的资产相关的外币专门借款产生的汇兑差额按照借款费用资</w:t>
      </w:r>
      <w:r>
        <w:rPr>
          <w:spacing w:val="7"/>
        </w:rPr>
        <w:t> </w:t>
      </w:r>
      <w:r>
        <w:rPr>
          <w:spacing w:val="7"/>
        </w:rPr>
      </w:r>
      <w:r>
        <w:rPr/>
        <w:t>本化的原则处理外，均计入当期损益。</w:t>
      </w:r>
    </w:p>
    <w:p>
      <w:pPr>
        <w:pStyle w:val="Heading3"/>
        <w:spacing w:line="336" w:lineRule="auto" w:before="34"/>
        <w:ind w:left="663" w:right="1683" w:hanging="212"/>
        <w:jc w:val="left"/>
      </w:pPr>
      <w:r>
        <w:rPr/>
        <w:t>（</w:t>
      </w:r>
      <w:r>
        <w:rPr>
          <w:rFonts w:ascii="Times New Roman" w:hAnsi="Times New Roman" w:cs="Times New Roman" w:eastAsia="Times New Roman" w:hint="default"/>
        </w:rPr>
        <w:t>2</w:t>
      </w:r>
      <w:r>
        <w:rPr/>
        <w:t>）外币财务报表的折算</w:t>
      </w:r>
      <w:r>
        <w:rPr>
          <w:w w:val="100"/>
        </w:rPr>
        <w:t> </w:t>
      </w:r>
      <w:r>
        <w:rPr>
          <w:spacing w:val="-1"/>
        </w:rPr>
        <w:t>资产负债表中的资产和负债项目，采用资产负债表日的即期汇率折算；所有者权益项</w:t>
      </w:r>
    </w:p>
    <w:p>
      <w:pPr>
        <w:pStyle w:val="Heading3"/>
        <w:spacing w:line="355" w:lineRule="auto" w:before="49"/>
        <w:ind w:right="1683"/>
        <w:jc w:val="left"/>
      </w:pPr>
      <w:r>
        <w:rPr>
          <w:spacing w:val="-4"/>
        </w:rPr>
        <w:t>目除“未分配利润”项目外，其他项目采用发生时的即期汇率折算。利润表中的收入和费用</w:t>
      </w:r>
      <w:r>
        <w:rPr>
          <w:spacing w:val="-39"/>
        </w:rPr>
        <w:t> </w:t>
      </w:r>
      <w:r>
        <w:rPr>
          <w:spacing w:val="-39"/>
        </w:rPr>
      </w:r>
      <w:r>
        <w:rPr/>
        <w:t>项目，采用年度平均汇率折算。</w:t>
      </w:r>
    </w:p>
    <w:p>
      <w:pPr>
        <w:pStyle w:val="Heading3"/>
        <w:spacing w:line="355" w:lineRule="auto" w:before="35"/>
        <w:ind w:right="1683" w:firstLine="314"/>
        <w:jc w:val="left"/>
      </w:pPr>
      <w:r>
        <w:rPr>
          <w:spacing w:val="-1"/>
        </w:rPr>
        <w:t>处置境外经营时，将与该境外经营相关的外币财务报表折算差额，自所有者权益项目转</w:t>
      </w:r>
      <w:r>
        <w:rPr>
          <w:w w:val="100"/>
        </w:rPr>
        <w:t> </w:t>
      </w:r>
      <w:r>
        <w:rPr/>
        <w:t>入处置当期损益。</w:t>
      </w:r>
    </w:p>
    <w:p>
      <w:pPr>
        <w:spacing w:after="0" w:line="355" w:lineRule="auto"/>
        <w:jc w:val="left"/>
        <w:sectPr>
          <w:pgSz w:w="11910" w:h="16840"/>
          <w:pgMar w:header="733" w:footer="977" w:top="960" w:bottom="1160" w:left="1660" w:right="0"/>
        </w:sectPr>
      </w:pPr>
    </w:p>
    <w:p>
      <w:pPr>
        <w:spacing w:line="240" w:lineRule="auto" w:before="0"/>
        <w:rPr>
          <w:rFonts w:ascii="宋体" w:hAnsi="宋体" w:cs="宋体" w:eastAsia="宋体" w:hint="default"/>
          <w:sz w:val="20"/>
          <w:szCs w:val="20"/>
        </w:rPr>
      </w:pPr>
    </w:p>
    <w:p>
      <w:pPr>
        <w:spacing w:before="170"/>
        <w:ind w:left="138" w:right="1683"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10</w:t>
      </w:r>
      <w:r>
        <w:rPr>
          <w:rFonts w:ascii="宋体" w:hAnsi="宋体" w:cs="宋体" w:eastAsia="宋体" w:hint="default"/>
          <w:b/>
          <w:bCs/>
          <w:sz w:val="20"/>
          <w:szCs w:val="20"/>
        </w:rPr>
        <w:t>、金融工具</w:t>
      </w:r>
      <w:r>
        <w:rPr>
          <w:rFonts w:ascii="宋体" w:hAnsi="宋体" w:cs="宋体" w:eastAsia="宋体" w:hint="default"/>
          <w:sz w:val="20"/>
          <w:szCs w:val="20"/>
        </w:rPr>
      </w:r>
    </w:p>
    <w:p>
      <w:pPr>
        <w:pStyle w:val="Heading3"/>
        <w:spacing w:line="355" w:lineRule="auto" w:before="114"/>
        <w:ind w:left="452" w:right="3556" w:firstLine="105"/>
        <w:jc w:val="left"/>
      </w:pPr>
      <w:r>
        <w:rPr>
          <w:spacing w:val="-2"/>
        </w:rPr>
        <w:t>金融工具包括金融资产、金融负债和权益工具。</w:t>
      </w:r>
      <w:r>
        <w:rPr>
          <w:w w:val="100"/>
        </w:rPr>
        <w:t> </w:t>
      </w: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w:t>
      </w:r>
      <w:r>
        <w:rPr/>
        <w:t>金融工具的分类</w:t>
      </w:r>
    </w:p>
    <w:p>
      <w:pPr>
        <w:pStyle w:val="Heading3"/>
        <w:spacing w:line="355" w:lineRule="auto" w:before="8"/>
        <w:ind w:right="1786" w:firstLine="419"/>
        <w:jc w:val="both"/>
      </w:pPr>
      <w:r>
        <w:rPr>
          <w:spacing w:val="-4"/>
          <w:w w:val="100"/>
        </w:rPr>
        <w:t>金融资产和金融负债于初始确认时分类为：以公允价值计量且其变动计入当期损益的金</w:t>
      </w:r>
      <w:r>
        <w:rPr>
          <w:w w:val="100"/>
        </w:rPr>
        <w:t> </w:t>
      </w:r>
      <w:r>
        <w:rPr>
          <w:spacing w:val="-4"/>
          <w:w w:val="100"/>
        </w:rPr>
        <w:t>融资产或金融负债，包括交易性金融资产或金融负债和直接指定为以公允价值计量且其变动</w:t>
      </w:r>
      <w:r>
        <w:rPr>
          <w:spacing w:val="-87"/>
          <w:w w:val="100"/>
        </w:rPr>
        <w:t> </w:t>
      </w:r>
      <w:r>
        <w:rPr>
          <w:spacing w:val="-87"/>
          <w:w w:val="100"/>
        </w:rPr>
      </w:r>
      <w:r>
        <w:rPr>
          <w:spacing w:val="-4"/>
        </w:rPr>
        <w:t>计入当期损益的金融资产或金融负债；持有至到期投资；应收款项；可供出售金融资产；其</w:t>
      </w:r>
      <w:r>
        <w:rPr>
          <w:spacing w:val="-42"/>
        </w:rPr>
        <w:t> </w:t>
      </w:r>
      <w:r>
        <w:rPr>
          <w:spacing w:val="-42"/>
        </w:rPr>
      </w:r>
      <w:r>
        <w:rPr/>
        <w:t>他金融负债等。</w:t>
      </w:r>
    </w:p>
    <w:p>
      <w:pPr>
        <w:pStyle w:val="Heading3"/>
        <w:spacing w:line="240" w:lineRule="auto" w:before="32"/>
        <w:ind w:left="452" w:right="1683"/>
        <w:jc w:val="left"/>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w:t>
      </w:r>
      <w:r>
        <w:rPr/>
        <w:t>金融工具的确认依据和计量方法</w:t>
      </w:r>
    </w:p>
    <w:p>
      <w:pPr>
        <w:pStyle w:val="Heading3"/>
        <w:spacing w:line="355" w:lineRule="auto" w:before="120"/>
        <w:ind w:left="558" w:right="1683"/>
        <w:jc w:val="left"/>
      </w:pPr>
      <w:r>
        <w:rPr/>
        <w:t>①以公允价值计量且其变动计入当期损益的金融资产（金融负债）</w:t>
      </w:r>
      <w:r>
        <w:rPr>
          <w:w w:val="100"/>
        </w:rPr>
        <w:t> </w:t>
      </w:r>
      <w:r>
        <w:rPr>
          <w:spacing w:val="-4"/>
          <w:w w:val="100"/>
        </w:rPr>
        <w:t>取得时以公允价值（扣除已宣告但尚未发放的现金股利或已到付息期但尚未领取的债券</w:t>
      </w:r>
    </w:p>
    <w:p>
      <w:pPr>
        <w:pStyle w:val="Heading3"/>
        <w:spacing w:line="355" w:lineRule="auto" w:before="32"/>
        <w:ind w:left="558" w:right="889" w:hanging="420"/>
        <w:jc w:val="left"/>
      </w:pPr>
      <w:r>
        <w:rPr/>
        <w:t>利息）作为初始确认金额，相关的交易费用计入当期损益。</w:t>
      </w:r>
      <w:r>
        <w:rPr>
          <w:w w:val="100"/>
        </w:rPr>
        <w:t> </w:t>
      </w:r>
      <w:r>
        <w:rPr>
          <w:spacing w:val="-4"/>
          <w:w w:val="100"/>
        </w:rPr>
        <w:t>持有期间将取得的利息或现金股利确认为投资收益，期末将公允价值变动计入当期损益。</w:t>
      </w:r>
      <w:r>
        <w:rPr>
          <w:w w:val="100"/>
        </w:rPr>
        <w:t> </w:t>
      </w:r>
      <w:r>
        <w:rPr>
          <w:spacing w:val="-4"/>
        </w:rPr>
        <w:t>处置时，其公允价值与初始入账金额之间的差额确认为投资收益，同时调整公允价值变</w:t>
      </w:r>
    </w:p>
    <w:p>
      <w:pPr>
        <w:pStyle w:val="Heading3"/>
        <w:spacing w:line="240" w:lineRule="auto" w:before="34"/>
        <w:ind w:right="1683"/>
        <w:jc w:val="left"/>
      </w:pPr>
      <w:r>
        <w:rPr/>
        <w:t>动损益。</w:t>
      </w:r>
    </w:p>
    <w:p>
      <w:pPr>
        <w:pStyle w:val="Heading3"/>
        <w:spacing w:line="355" w:lineRule="auto" w:before="133"/>
        <w:ind w:left="558" w:right="1683"/>
        <w:jc w:val="left"/>
      </w:pPr>
      <w:r>
        <w:rPr/>
        <w:t>②持有至到期投资</w:t>
      </w:r>
      <w:r>
        <w:rPr>
          <w:w w:val="100"/>
        </w:rPr>
        <w:t> </w:t>
      </w:r>
      <w:r>
        <w:rPr>
          <w:spacing w:val="-4"/>
        </w:rPr>
        <w:t>取得时按公允价值（扣除已到付息期但尚未领取的债券利息）和相关交易费用之和作为</w:t>
      </w:r>
    </w:p>
    <w:p>
      <w:pPr>
        <w:pStyle w:val="Heading3"/>
        <w:spacing w:line="357" w:lineRule="auto" w:before="32"/>
        <w:ind w:left="558" w:right="1683" w:hanging="420"/>
        <w:jc w:val="left"/>
      </w:pPr>
      <w:r>
        <w:rPr/>
        <w:t>初始确认金额。</w:t>
      </w:r>
      <w:r>
        <w:rPr>
          <w:spacing w:val="-103"/>
        </w:rPr>
        <w:t> </w:t>
      </w:r>
      <w:r>
        <w:rPr>
          <w:spacing w:val="-103"/>
        </w:rPr>
      </w:r>
      <w:r>
        <w:rPr>
          <w:spacing w:val="-4"/>
        </w:rPr>
        <w:t>持有期间按照摊余成本和实际利率计算确认利息收入，计入投资收益。实际利率在取得</w:t>
      </w:r>
    </w:p>
    <w:p>
      <w:pPr>
        <w:pStyle w:val="Heading3"/>
        <w:spacing w:line="355" w:lineRule="auto"/>
        <w:ind w:left="558" w:right="1683" w:hanging="420"/>
        <w:jc w:val="left"/>
      </w:pPr>
      <w:r>
        <w:rPr/>
        <w:t>时确定，在该预期存续期间或适用的更短期间内保持不变。</w:t>
      </w:r>
      <w:r>
        <w:rPr>
          <w:w w:val="100"/>
        </w:rPr>
        <w:t> </w:t>
      </w:r>
      <w:r>
        <w:rPr>
          <w:spacing w:val="-2"/>
        </w:rPr>
        <w:t>处置时，将所取得价款与该投资账面价值之间的差额计入投资收益。</w:t>
      </w:r>
    </w:p>
    <w:p>
      <w:pPr>
        <w:pStyle w:val="Heading3"/>
        <w:spacing w:line="355" w:lineRule="auto" w:before="32"/>
        <w:ind w:left="558" w:right="1683"/>
        <w:jc w:val="left"/>
      </w:pPr>
      <w:r>
        <w:rPr/>
        <w:t>③应收款项</w:t>
      </w:r>
      <w:r>
        <w:rPr>
          <w:spacing w:val="-102"/>
        </w:rPr>
        <w:t> </w:t>
      </w:r>
      <w:r>
        <w:rPr>
          <w:spacing w:val="-102"/>
        </w:rPr>
      </w:r>
      <w:r>
        <w:rPr>
          <w:spacing w:val="-4"/>
          <w:w w:val="100"/>
        </w:rPr>
        <w:t>公司对外销售商品或提供劳务形成的应收债权，以及公司持有的其他企业的不包括在活</w:t>
      </w:r>
    </w:p>
    <w:p>
      <w:pPr>
        <w:pStyle w:val="Heading3"/>
        <w:spacing w:line="355" w:lineRule="auto" w:before="34"/>
        <w:ind w:right="1788"/>
        <w:jc w:val="both"/>
      </w:pPr>
      <w:r>
        <w:rPr>
          <w:spacing w:val="-4"/>
        </w:rPr>
        <w:t>跃市场上有报价的债务工具的债权，包括应收账款、其他应收款等，以向购货方应收的合同</w:t>
      </w:r>
      <w:r>
        <w:rPr>
          <w:spacing w:val="-41"/>
        </w:rPr>
        <w:t> </w:t>
      </w:r>
      <w:r>
        <w:rPr>
          <w:spacing w:val="-41"/>
        </w:rPr>
      </w:r>
      <w:r>
        <w:rPr/>
        <w:t>或协议价款作为初始确认金额；具有融资性质的，按其现值进行初始确认。</w:t>
      </w:r>
    </w:p>
    <w:p>
      <w:pPr>
        <w:pStyle w:val="Heading3"/>
        <w:spacing w:line="240" w:lineRule="auto" w:before="33"/>
        <w:ind w:left="558" w:right="1683"/>
        <w:jc w:val="left"/>
      </w:pPr>
      <w:r>
        <w:rPr/>
        <w:t>收回或处置时，将取得的价款与该应收款项账面价值之间的差额计入当期损益。</w:t>
      </w:r>
    </w:p>
    <w:p>
      <w:pPr>
        <w:pStyle w:val="Heading3"/>
        <w:spacing w:line="355" w:lineRule="auto" w:before="133"/>
        <w:ind w:left="558" w:right="1683"/>
        <w:jc w:val="left"/>
      </w:pPr>
      <w:r>
        <w:rPr/>
        <w:t>④可供出售金融资产</w:t>
      </w:r>
      <w:r>
        <w:rPr>
          <w:w w:val="100"/>
        </w:rPr>
        <w:t> </w:t>
      </w:r>
      <w:r>
        <w:rPr>
          <w:spacing w:val="-4"/>
          <w:w w:val="100"/>
        </w:rPr>
        <w:t>取得时按公允价值（扣除已宣告但尚未发放的现金股利或已到付息期但尚未领取的债券</w:t>
      </w:r>
    </w:p>
    <w:p>
      <w:pPr>
        <w:pStyle w:val="Heading3"/>
        <w:spacing w:line="355" w:lineRule="auto" w:before="34"/>
        <w:ind w:left="558" w:right="1683" w:hanging="420"/>
        <w:jc w:val="left"/>
      </w:pPr>
      <w:r>
        <w:rPr/>
        <w:t>利息）和相关交易费用之和作为初始确认金额。</w:t>
      </w:r>
      <w:r>
        <w:rPr>
          <w:w w:val="100"/>
        </w:rPr>
        <w:t> </w:t>
      </w:r>
      <w:r>
        <w:rPr>
          <w:spacing w:val="-4"/>
          <w:w w:val="100"/>
        </w:rPr>
        <w:t>持有期间将取得的利息或现金股利确认为投资收益。期末以公允价值计量且将公允价值</w:t>
      </w:r>
    </w:p>
    <w:p>
      <w:pPr>
        <w:pStyle w:val="Heading3"/>
        <w:spacing w:line="357" w:lineRule="auto" w:before="32"/>
        <w:ind w:right="1789"/>
        <w:jc w:val="both"/>
      </w:pPr>
      <w:r>
        <w:rPr>
          <w:spacing w:val="-4"/>
        </w:rPr>
        <w:t>变动计入其他综合收益。但是，在活跃市场中没有报价且其公允价值不能可靠计量的权益工</w:t>
      </w:r>
      <w:r>
        <w:rPr>
          <w:spacing w:val="-41"/>
        </w:rPr>
        <w:t> </w:t>
      </w:r>
      <w:r>
        <w:rPr>
          <w:spacing w:val="-41"/>
        </w:rPr>
      </w:r>
      <w:r>
        <w:rPr>
          <w:spacing w:val="-4"/>
        </w:rPr>
        <w:t>具投资，以及与该权益工具挂钩并须通过交付该权益工具结算的衍生金融资产，按照成本计</w:t>
      </w:r>
      <w:r>
        <w:rPr>
          <w:spacing w:val="-40"/>
        </w:rPr>
        <w:t> </w:t>
      </w:r>
      <w:r>
        <w:rPr>
          <w:spacing w:val="-40"/>
        </w:rPr>
      </w:r>
      <w:r>
        <w:rPr/>
        <w:t>量。</w:t>
      </w:r>
    </w:p>
    <w:p>
      <w:pPr>
        <w:pStyle w:val="Heading3"/>
        <w:spacing w:line="355" w:lineRule="auto"/>
        <w:ind w:right="1789" w:firstLine="419"/>
        <w:jc w:val="both"/>
      </w:pPr>
      <w:r>
        <w:rPr>
          <w:spacing w:val="-4"/>
        </w:rPr>
        <w:t>处置时，将取得的价款与该金融资产账面价值之间的差额，计入投资损益；同时，将原</w:t>
      </w:r>
      <w:r>
        <w:rPr>
          <w:w w:val="100"/>
        </w:rPr>
        <w:t> </w:t>
      </w:r>
      <w:r>
        <w:rPr/>
        <w:t>直接计入其他综合收益的公允价值变动累计额对应处置部分的金额转出，计入当期损益。</w:t>
      </w:r>
    </w:p>
    <w:p>
      <w:pPr>
        <w:spacing w:after="0" w:line="355" w:lineRule="auto"/>
        <w:jc w:val="both"/>
        <w:sectPr>
          <w:pgSz w:w="11910" w:h="16840"/>
          <w:pgMar w:header="733" w:footer="977" w:top="960" w:bottom="1160" w:left="1660" w:right="0"/>
        </w:sectPr>
      </w:pPr>
    </w:p>
    <w:p>
      <w:pPr>
        <w:spacing w:line="240" w:lineRule="auto" w:before="0"/>
        <w:rPr>
          <w:rFonts w:ascii="宋体" w:hAnsi="宋体" w:cs="宋体" w:eastAsia="宋体" w:hint="default"/>
          <w:sz w:val="20"/>
          <w:szCs w:val="20"/>
        </w:rPr>
      </w:pPr>
    </w:p>
    <w:p>
      <w:pPr>
        <w:pStyle w:val="Heading3"/>
        <w:spacing w:line="350" w:lineRule="auto" w:before="168"/>
        <w:ind w:left="558" w:right="1683"/>
        <w:jc w:val="left"/>
      </w:pPr>
      <w:r>
        <w:rPr/>
        <w:t>⑤其他金融负债</w:t>
      </w:r>
      <w:r>
        <w:rPr>
          <w:spacing w:val="-103"/>
        </w:rPr>
        <w:t> </w:t>
      </w:r>
      <w:r>
        <w:rPr>
          <w:spacing w:val="-103"/>
        </w:rPr>
      </w:r>
      <w:r>
        <w:rPr/>
        <w:t>按其公允价值和相关交易费用之和作为初始确认金额。采用摊余成本进行后续计量。</w:t>
      </w:r>
      <w:r>
        <w:rPr>
          <w:w w:val="100"/>
        </w:rPr>
        <w:t> </w:t>
      </w:r>
      <w:r>
        <w:rPr>
          <w:rFonts w:ascii="宋体" w:hAnsi="宋体" w:cs="宋体" w:eastAsia="宋体" w:hint="default"/>
        </w:rPr>
        <w:t>(</w:t>
      </w:r>
      <w:r>
        <w:rPr>
          <w:rFonts w:ascii="Times New Roman" w:hAnsi="Times New Roman" w:cs="Times New Roman" w:eastAsia="Times New Roman" w:hint="default"/>
        </w:rPr>
        <w:t>3</w:t>
      </w:r>
      <w:r>
        <w:rPr>
          <w:rFonts w:ascii="宋体" w:hAnsi="宋体" w:cs="宋体" w:eastAsia="宋体" w:hint="default"/>
        </w:rPr>
        <w:t>)</w:t>
      </w:r>
      <w:r>
        <w:rPr/>
        <w:t>金融资产转移的确认依据和计量方法</w:t>
      </w:r>
      <w:r>
        <w:rPr>
          <w:w w:val="100"/>
        </w:rPr>
        <w:t> </w:t>
      </w:r>
      <w:r>
        <w:rPr>
          <w:spacing w:val="-4"/>
          <w:w w:val="100"/>
        </w:rPr>
        <w:t>公司发生金融资产转移时，如已将金融资产所有权上几乎所有的风险和报酬转移给转入</w:t>
      </w:r>
    </w:p>
    <w:p>
      <w:pPr>
        <w:pStyle w:val="Heading3"/>
        <w:spacing w:line="355" w:lineRule="auto" w:before="36"/>
        <w:ind w:right="1683"/>
        <w:jc w:val="left"/>
      </w:pPr>
      <w:r>
        <w:rPr>
          <w:spacing w:val="-4"/>
        </w:rPr>
        <w:t>方，则终止确认该金融资产；如保留了金融资产所有权上几乎所有的风险和报酬的，则不终</w:t>
      </w:r>
      <w:r>
        <w:rPr>
          <w:spacing w:val="-44"/>
        </w:rPr>
        <w:t> </w:t>
      </w:r>
      <w:r>
        <w:rPr>
          <w:spacing w:val="-44"/>
        </w:rPr>
      </w:r>
      <w:r>
        <w:rPr/>
        <w:t>止确认该金融资产。</w:t>
      </w:r>
    </w:p>
    <w:p>
      <w:pPr>
        <w:pStyle w:val="Heading3"/>
        <w:spacing w:line="357" w:lineRule="auto" w:before="32"/>
        <w:ind w:right="889" w:firstLine="419"/>
        <w:jc w:val="left"/>
      </w:pPr>
      <w:r>
        <w:rPr>
          <w:spacing w:val="-4"/>
          <w:w w:val="100"/>
        </w:rPr>
        <w:t>在判断金融资产转移是否满足上述金融资产终止确认条件时，采用实质重于形式的原则。</w:t>
      </w:r>
      <w:r>
        <w:rPr>
          <w:w w:val="100"/>
        </w:rPr>
        <w:t> </w:t>
      </w:r>
      <w:r>
        <w:rPr>
          <w:spacing w:val="-4"/>
          <w:w w:val="100"/>
        </w:rPr>
        <w:t>公司将金融资产转移区分为金融资产整体转移和部分转移。金融资产整体转移满足终止确认</w:t>
      </w:r>
      <w:r>
        <w:rPr>
          <w:spacing w:val="-86"/>
          <w:w w:val="100"/>
        </w:rPr>
        <w:t> </w:t>
      </w:r>
      <w:r>
        <w:rPr>
          <w:spacing w:val="-86"/>
          <w:w w:val="100"/>
        </w:rPr>
      </w:r>
      <w:r>
        <w:rPr/>
        <w:t>条件的，将下列两项金额的差额计入当期损益：</w:t>
      </w:r>
    </w:p>
    <w:p>
      <w:pPr>
        <w:pStyle w:val="Heading3"/>
        <w:spacing w:line="240" w:lineRule="auto"/>
        <w:ind w:left="558" w:right="1683"/>
        <w:jc w:val="left"/>
      </w:pPr>
      <w:r>
        <w:rPr/>
        <w:t>①所转移金融资产的账面价值。</w:t>
      </w:r>
    </w:p>
    <w:p>
      <w:pPr>
        <w:pStyle w:val="Heading3"/>
        <w:spacing w:line="355" w:lineRule="auto" w:before="133"/>
        <w:ind w:right="1789" w:firstLine="419"/>
        <w:jc w:val="both"/>
      </w:pPr>
      <w:r>
        <w:rPr>
          <w:spacing w:val="-4"/>
        </w:rPr>
        <w:t>②因转移而收到的对价，与原直接计入所有者权益的公允价值变动累计额（涉及转移的</w:t>
      </w:r>
      <w:r>
        <w:rPr>
          <w:w w:val="100"/>
        </w:rPr>
        <w:t> </w:t>
      </w:r>
      <w:r>
        <w:rPr/>
        <w:t>金融资产为可供出售金融资产的情形）之和。</w:t>
      </w:r>
    </w:p>
    <w:p>
      <w:pPr>
        <w:pStyle w:val="Heading3"/>
        <w:spacing w:line="355" w:lineRule="auto" w:before="34"/>
        <w:ind w:right="1788" w:firstLine="419"/>
        <w:jc w:val="both"/>
      </w:pPr>
      <w:r>
        <w:rPr>
          <w:spacing w:val="-4"/>
        </w:rPr>
        <w:t>金融资产部分转移满足终止确认条件的，将所转移金融资产整体的账面价值，在终止确</w:t>
      </w:r>
      <w:r>
        <w:rPr>
          <w:w w:val="100"/>
        </w:rPr>
        <w:t> </w:t>
      </w:r>
      <w:r>
        <w:rPr>
          <w:spacing w:val="-4"/>
        </w:rPr>
        <w:t>认部分和未终止确认部分之间，按照各自的相对公允价值进行分摊，并将下列两项金额的差</w:t>
      </w:r>
      <w:r>
        <w:rPr>
          <w:spacing w:val="-41"/>
        </w:rPr>
        <w:t> </w:t>
      </w:r>
      <w:r>
        <w:rPr>
          <w:spacing w:val="-41"/>
        </w:rPr>
      </w:r>
      <w:r>
        <w:rPr/>
        <w:t>额计入当期损益：</w:t>
      </w:r>
    </w:p>
    <w:p>
      <w:pPr>
        <w:pStyle w:val="Heading3"/>
        <w:spacing w:line="240" w:lineRule="auto" w:before="32"/>
        <w:ind w:left="558" w:right="1683"/>
        <w:jc w:val="left"/>
      </w:pPr>
      <w:r>
        <w:rPr/>
        <w:t>①终止确认部分的账面价值。</w:t>
      </w:r>
    </w:p>
    <w:p>
      <w:pPr>
        <w:pStyle w:val="Heading3"/>
        <w:spacing w:line="357" w:lineRule="auto" w:before="133"/>
        <w:ind w:right="1786" w:firstLine="419"/>
        <w:jc w:val="both"/>
      </w:pPr>
      <w:r>
        <w:rPr>
          <w:spacing w:val="-4"/>
          <w:w w:val="100"/>
        </w:rPr>
        <w:t>②终止确认部分的对价，与原直接计入所有者权益的公允价值变动累计额中对应终止确</w:t>
      </w:r>
      <w:r>
        <w:rPr>
          <w:w w:val="100"/>
        </w:rPr>
        <w:t> </w:t>
      </w:r>
      <w:r>
        <w:rPr/>
        <w:t>认部分的金额（涉及转移的金融资产为可供出售金融资产的情形）之和。</w:t>
      </w:r>
    </w:p>
    <w:p>
      <w:pPr>
        <w:pStyle w:val="Heading3"/>
        <w:spacing w:line="355" w:lineRule="auto"/>
        <w:ind w:right="1789" w:firstLine="419"/>
        <w:jc w:val="both"/>
      </w:pPr>
      <w:r>
        <w:rPr>
          <w:spacing w:val="-4"/>
        </w:rPr>
        <w:t>金融资产转移不满足终止确认条件的，继续确认该金融资产，所收到的对价确认为一项</w:t>
      </w:r>
      <w:r>
        <w:rPr>
          <w:w w:val="100"/>
        </w:rPr>
        <w:t> </w:t>
      </w:r>
      <w:r>
        <w:rPr/>
        <w:t>金融负债。</w:t>
      </w:r>
    </w:p>
    <w:p>
      <w:pPr>
        <w:pStyle w:val="Heading3"/>
        <w:spacing w:line="338" w:lineRule="auto" w:before="32"/>
        <w:ind w:left="558" w:right="1683"/>
        <w:jc w:val="left"/>
      </w:pPr>
      <w:r>
        <w:rPr>
          <w:rFonts w:ascii="宋体" w:hAnsi="宋体" w:cs="宋体" w:eastAsia="宋体" w:hint="default"/>
        </w:rPr>
        <w:t>(</w:t>
      </w:r>
      <w:r>
        <w:rPr>
          <w:rFonts w:ascii="Times New Roman" w:hAnsi="Times New Roman" w:cs="Times New Roman" w:eastAsia="Times New Roman" w:hint="default"/>
        </w:rPr>
        <w:t>4</w:t>
      </w:r>
      <w:r>
        <w:rPr>
          <w:rFonts w:ascii="宋体" w:hAnsi="宋体" w:cs="宋体" w:eastAsia="宋体" w:hint="default"/>
        </w:rPr>
        <w:t>)</w:t>
      </w:r>
      <w:r>
        <w:rPr/>
        <w:t>金融负债终止确认条件</w:t>
      </w:r>
      <w:r>
        <w:rPr>
          <w:w w:val="100"/>
        </w:rPr>
        <w:t> </w:t>
      </w:r>
      <w:r>
        <w:rPr>
          <w:spacing w:val="-4"/>
        </w:rPr>
        <w:t>金融负债的现时义务全部或部分已经解除的，则终止确认该金融负债或其一部分；本公</w:t>
      </w:r>
    </w:p>
    <w:p>
      <w:pPr>
        <w:pStyle w:val="Heading3"/>
        <w:spacing w:line="355" w:lineRule="auto" w:before="47"/>
        <w:ind w:right="1683"/>
        <w:jc w:val="left"/>
      </w:pPr>
      <w:r>
        <w:rPr>
          <w:spacing w:val="-4"/>
        </w:rPr>
        <w:t>司若与债权人签定协议，以承担新金融负债方式替换现存金融负债，且新金融负债与现存金</w:t>
      </w:r>
      <w:r>
        <w:rPr>
          <w:spacing w:val="-40"/>
        </w:rPr>
        <w:t> </w:t>
      </w:r>
      <w:r>
        <w:rPr>
          <w:spacing w:val="-40"/>
        </w:rPr>
      </w:r>
      <w:r>
        <w:rPr/>
        <w:t>融负债的合同条款实质上不同的，则终止确认现存金融负债，并同时确认新金融负债。</w:t>
      </w:r>
    </w:p>
    <w:p>
      <w:pPr>
        <w:pStyle w:val="Heading3"/>
        <w:spacing w:line="355" w:lineRule="auto" w:before="33"/>
        <w:ind w:right="1786" w:firstLine="419"/>
        <w:jc w:val="both"/>
      </w:pPr>
      <w:r>
        <w:rPr>
          <w:spacing w:val="-4"/>
          <w:w w:val="100"/>
        </w:rPr>
        <w:t>对现存金融负债全部或部分合同条款作出实质性修改的，则终止确认现存金融负债或其</w:t>
      </w:r>
      <w:r>
        <w:rPr>
          <w:w w:val="100"/>
        </w:rPr>
        <w:t> </w:t>
      </w:r>
      <w:r>
        <w:rPr/>
        <w:t>一部分，同时将修改条款后的金融负债确认为一项新金融负债。</w:t>
      </w:r>
    </w:p>
    <w:p>
      <w:pPr>
        <w:pStyle w:val="Heading3"/>
        <w:spacing w:line="355" w:lineRule="auto" w:before="34"/>
        <w:ind w:right="1789" w:firstLine="419"/>
        <w:jc w:val="both"/>
      </w:pPr>
      <w:r>
        <w:rPr>
          <w:spacing w:val="-4"/>
        </w:rPr>
        <w:t>金融负债全部或部分终止确认时，终止确认的金融负债账面价值与支付对价（包括转出</w:t>
      </w:r>
      <w:r>
        <w:rPr>
          <w:w w:val="100"/>
        </w:rPr>
        <w:t> </w:t>
      </w:r>
      <w:r>
        <w:rPr/>
        <w:t>的非现金资产或承担的新金融负债）之间的差额，计入当期损益。</w:t>
      </w:r>
    </w:p>
    <w:p>
      <w:pPr>
        <w:pStyle w:val="Heading3"/>
        <w:spacing w:line="355" w:lineRule="auto" w:before="32"/>
        <w:ind w:right="1786" w:firstLine="419"/>
        <w:jc w:val="both"/>
      </w:pPr>
      <w:r>
        <w:rPr>
          <w:spacing w:val="-4"/>
          <w:w w:val="100"/>
        </w:rPr>
        <w:t>本公司若回购部分金融负债的，在回购日按照继续确认部分与终止确认部分的相对公允</w:t>
      </w:r>
      <w:r>
        <w:rPr>
          <w:w w:val="100"/>
        </w:rPr>
        <w:t> </w:t>
      </w:r>
      <w:r>
        <w:rPr>
          <w:spacing w:val="-4"/>
        </w:rPr>
        <w:t>价值，将该金融负债整体的账面价值进行分配。分配给终止确认部分的账面价值与支付的对</w:t>
      </w:r>
      <w:r>
        <w:rPr>
          <w:spacing w:val="-41"/>
        </w:rPr>
        <w:t> </w:t>
      </w:r>
      <w:r>
        <w:rPr>
          <w:spacing w:val="-41"/>
        </w:rPr>
      </w:r>
      <w:r>
        <w:rPr/>
        <w:t>价（包括转出的非现金资产或承担的新金融负债）之间的差额，计入当期损益。</w:t>
      </w:r>
    </w:p>
    <w:p>
      <w:pPr>
        <w:pStyle w:val="Heading3"/>
        <w:spacing w:line="336" w:lineRule="auto" w:before="34"/>
        <w:ind w:left="558" w:right="1683"/>
        <w:jc w:val="left"/>
      </w:pPr>
      <w:r>
        <w:rPr>
          <w:rFonts w:ascii="宋体" w:hAnsi="宋体" w:cs="宋体" w:eastAsia="宋体" w:hint="default"/>
        </w:rPr>
        <w:t>(</w:t>
      </w:r>
      <w:r>
        <w:rPr>
          <w:rFonts w:ascii="Times New Roman" w:hAnsi="Times New Roman" w:cs="Times New Roman" w:eastAsia="Times New Roman" w:hint="default"/>
        </w:rPr>
        <w:t>5</w:t>
      </w:r>
      <w:r>
        <w:rPr>
          <w:rFonts w:ascii="宋体" w:hAnsi="宋体" w:cs="宋体" w:eastAsia="宋体" w:hint="default"/>
        </w:rPr>
        <w:t>)</w:t>
      </w:r>
      <w:r>
        <w:rPr/>
        <w:t>金融资产和金融负债公允价值的确定方法</w:t>
      </w:r>
      <w:r>
        <w:rPr>
          <w:w w:val="100"/>
        </w:rPr>
        <w:t> </w:t>
      </w:r>
      <w:r>
        <w:rPr>
          <w:spacing w:val="-4"/>
        </w:rPr>
        <w:t>存在活跃市场的金融工具，以活跃市场中的报价确定其公允价值。不存在活跃市场的金</w:t>
      </w:r>
    </w:p>
    <w:p>
      <w:pPr>
        <w:pStyle w:val="Heading3"/>
        <w:spacing w:line="240" w:lineRule="auto" w:before="49"/>
        <w:ind w:right="1683"/>
        <w:jc w:val="left"/>
      </w:pPr>
      <w:r>
        <w:rPr>
          <w:spacing w:val="-4"/>
        </w:rPr>
        <w:t>融工具，采用估值技术确定其公允价值。在估值时，本公司采用在当前情况下适用并且有足</w:t>
      </w:r>
    </w:p>
    <w:p>
      <w:pPr>
        <w:spacing w:after="0" w:line="240" w:lineRule="auto"/>
        <w:jc w:val="left"/>
        <w:sectPr>
          <w:pgSz w:w="11910" w:h="16840"/>
          <w:pgMar w:header="733" w:footer="977" w:top="960" w:bottom="1160" w:left="1660" w:right="0"/>
        </w:sectPr>
      </w:pPr>
    </w:p>
    <w:p>
      <w:pPr>
        <w:spacing w:line="240" w:lineRule="auto" w:before="0"/>
        <w:rPr>
          <w:rFonts w:ascii="宋体" w:hAnsi="宋体" w:cs="宋体" w:eastAsia="宋体" w:hint="default"/>
          <w:sz w:val="20"/>
          <w:szCs w:val="20"/>
        </w:rPr>
      </w:pPr>
    </w:p>
    <w:p>
      <w:pPr>
        <w:pStyle w:val="Heading3"/>
        <w:spacing w:line="355" w:lineRule="auto" w:before="168"/>
        <w:ind w:right="1786"/>
        <w:jc w:val="both"/>
      </w:pPr>
      <w:r>
        <w:rPr>
          <w:spacing w:val="-4"/>
          <w:w w:val="100"/>
        </w:rPr>
        <w:t>够可利用数据和其他信息支持的估值技术，选择与市场参与者在相关资产或负债的交易中所</w:t>
      </w:r>
      <w:r>
        <w:rPr>
          <w:spacing w:val="-86"/>
          <w:w w:val="100"/>
        </w:rPr>
        <w:t> </w:t>
      </w:r>
      <w:r>
        <w:rPr>
          <w:spacing w:val="-86"/>
          <w:w w:val="100"/>
        </w:rPr>
      </w:r>
      <w:r>
        <w:rPr>
          <w:spacing w:val="-4"/>
        </w:rPr>
        <w:t>考虑的资产或负债特征相一致的输入值，并优先使用相关可观察输入值。只有在相关可观察</w:t>
      </w:r>
      <w:r>
        <w:rPr>
          <w:spacing w:val="-42"/>
        </w:rPr>
        <w:t> </w:t>
      </w:r>
      <w:r>
        <w:rPr>
          <w:spacing w:val="-42"/>
        </w:rPr>
      </w:r>
      <w:r>
        <w:rPr/>
        <w:t>输入值无法取得或取得不切实可行的情况下，才使用不可观察输入值。</w:t>
      </w:r>
    </w:p>
    <w:p>
      <w:pPr>
        <w:pStyle w:val="Heading3"/>
        <w:spacing w:line="336" w:lineRule="auto" w:before="34"/>
        <w:ind w:left="558" w:right="1683" w:hanging="106"/>
        <w:jc w:val="left"/>
      </w:pPr>
      <w:r>
        <w:rPr>
          <w:rFonts w:ascii="宋体" w:hAnsi="宋体" w:cs="宋体" w:eastAsia="宋体" w:hint="default"/>
        </w:rPr>
        <w:t>(</w:t>
      </w:r>
      <w:r>
        <w:rPr>
          <w:rFonts w:ascii="Times New Roman" w:hAnsi="Times New Roman" w:cs="Times New Roman" w:eastAsia="Times New Roman" w:hint="default"/>
        </w:rPr>
        <w:t>6</w:t>
      </w:r>
      <w:r>
        <w:rPr>
          <w:rFonts w:ascii="宋体" w:hAnsi="宋体" w:cs="宋体" w:eastAsia="宋体" w:hint="default"/>
        </w:rPr>
        <w:t>)</w:t>
      </w:r>
      <w:r>
        <w:rPr/>
        <w:t>金融资产（不含应收款项）减值的测试方法及会计处理方法</w:t>
      </w:r>
      <w:r>
        <w:rPr>
          <w:w w:val="100"/>
        </w:rPr>
        <w:t> </w:t>
      </w:r>
      <w:r>
        <w:rPr>
          <w:spacing w:val="-4"/>
          <w:w w:val="100"/>
        </w:rPr>
        <w:t>除以公允价值计量且其变动计入当期损益的金融资产外，本公司于资产负债表日对金融</w:t>
      </w:r>
    </w:p>
    <w:p>
      <w:pPr>
        <w:pStyle w:val="Heading3"/>
        <w:spacing w:line="240" w:lineRule="auto" w:before="49"/>
        <w:ind w:right="889"/>
        <w:jc w:val="left"/>
      </w:pPr>
      <w:r>
        <w:rPr/>
        <w:t>资产的账面价值进行检查，如果有客观证据表明某项金融资产发生减值的，计提减值准备。</w:t>
      </w:r>
    </w:p>
    <w:p>
      <w:pPr>
        <w:pStyle w:val="Heading3"/>
        <w:spacing w:line="357" w:lineRule="auto" w:before="133"/>
        <w:ind w:left="558" w:right="1683"/>
        <w:jc w:val="left"/>
      </w:pPr>
      <w:r>
        <w:rPr/>
        <w:t>①可供出售金融资产的减值准备</w:t>
      </w:r>
      <w:r>
        <w:rPr>
          <w:w w:val="100"/>
        </w:rPr>
        <w:t> </w:t>
      </w:r>
      <w:r>
        <w:rPr>
          <w:spacing w:val="-1"/>
        </w:rPr>
        <w:t>期末如果可供出售金融资产的公允价值发生严重下降，或在综合考虑各种相关因素后，</w:t>
      </w:r>
    </w:p>
    <w:p>
      <w:pPr>
        <w:pStyle w:val="Heading3"/>
        <w:spacing w:line="355" w:lineRule="auto" w:before="31"/>
        <w:ind w:right="1683"/>
        <w:jc w:val="left"/>
      </w:pPr>
      <w:r>
        <w:rPr>
          <w:spacing w:val="-4"/>
        </w:rPr>
        <w:t>预期这种下降趋势属于非暂时性的，就认定其已发生减值，将原直接计入所有者权益的公允</w:t>
      </w:r>
      <w:r>
        <w:rPr>
          <w:spacing w:val="-41"/>
        </w:rPr>
        <w:t> </w:t>
      </w:r>
      <w:r>
        <w:rPr>
          <w:spacing w:val="-41"/>
        </w:rPr>
      </w:r>
      <w:r>
        <w:rPr/>
        <w:t>价值下降形成的累计损失一并转出，确认减值损失。</w:t>
      </w:r>
    </w:p>
    <w:p>
      <w:pPr>
        <w:pStyle w:val="Heading3"/>
        <w:spacing w:line="355" w:lineRule="auto" w:before="32"/>
        <w:ind w:right="1683" w:firstLine="419"/>
        <w:jc w:val="left"/>
      </w:pPr>
      <w:r>
        <w:rPr>
          <w:spacing w:val="-4"/>
          <w:w w:val="100"/>
        </w:rPr>
        <w:t>对于已确认减值损失的可供出售债务工具，在随后的会计期间公允价值已上升且客观上</w:t>
      </w:r>
      <w:r>
        <w:rPr>
          <w:w w:val="100"/>
        </w:rPr>
        <w:t> </w:t>
      </w:r>
      <w:r>
        <w:rPr>
          <w:spacing w:val="-1"/>
        </w:rPr>
        <w:t>与确认原减值损失确认后发生的事项有关的，原确认的减值损失予以转回，计入当期损益。</w:t>
      </w:r>
    </w:p>
    <w:p>
      <w:pPr>
        <w:pStyle w:val="Heading3"/>
        <w:spacing w:line="240" w:lineRule="auto" w:before="34"/>
        <w:ind w:left="558" w:right="1683"/>
        <w:jc w:val="left"/>
      </w:pPr>
      <w:r>
        <w:rPr/>
        <w:t>可供出售权益工具投资发生的减值损失，不通过损益转回。</w:t>
      </w:r>
    </w:p>
    <w:p>
      <w:pPr>
        <w:pStyle w:val="Heading3"/>
        <w:spacing w:line="355" w:lineRule="auto" w:before="133"/>
        <w:ind w:left="558" w:right="1683"/>
        <w:jc w:val="left"/>
      </w:pPr>
      <w:r>
        <w:rPr/>
        <w:t>②持有至到期投资的减值准备</w:t>
      </w:r>
      <w:r>
        <w:rPr>
          <w:w w:val="100"/>
        </w:rPr>
        <w:t> </w:t>
      </w:r>
      <w:r>
        <w:rPr>
          <w:spacing w:val="-2"/>
        </w:rPr>
        <w:t>持有至到期投资减值损失的计量比照应收款项减值损失计量方法处理。</w:t>
      </w:r>
    </w:p>
    <w:p>
      <w:pPr>
        <w:spacing w:before="34"/>
        <w:ind w:left="138" w:right="1683"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11</w:t>
      </w:r>
      <w:r>
        <w:rPr>
          <w:rFonts w:ascii="宋体" w:hAnsi="宋体" w:cs="宋体" w:eastAsia="宋体" w:hint="default"/>
          <w:b/>
          <w:bCs/>
          <w:sz w:val="20"/>
          <w:szCs w:val="20"/>
        </w:rPr>
        <w:t>、应收款项</w:t>
      </w:r>
      <w:r>
        <w:rPr>
          <w:rFonts w:ascii="宋体" w:hAnsi="宋体" w:cs="宋体" w:eastAsia="宋体" w:hint="default"/>
          <w:sz w:val="20"/>
          <w:szCs w:val="20"/>
        </w:rPr>
      </w:r>
    </w:p>
    <w:p>
      <w:pPr>
        <w:spacing w:line="350" w:lineRule="auto" w:before="116"/>
        <w:ind w:left="558" w:right="1683" w:hanging="420"/>
        <w:jc w:val="left"/>
        <w:rPr>
          <w:rFonts w:ascii="宋体" w:hAnsi="宋体" w:cs="宋体" w:eastAsia="宋体" w:hint="default"/>
          <w:sz w:val="21"/>
          <w:szCs w:val="21"/>
        </w:rPr>
      </w:pPr>
      <w:r>
        <w:rPr>
          <w:rFonts w:ascii="宋体" w:hAnsi="宋体" w:cs="宋体" w:eastAsia="宋体" w:hint="default"/>
          <w:b/>
          <w:bCs/>
          <w:sz w:val="20"/>
          <w:szCs w:val="20"/>
        </w:rPr>
        <w:t>（</w:t>
      </w:r>
      <w:r>
        <w:rPr>
          <w:rFonts w:ascii="Times New Roman" w:hAnsi="Times New Roman" w:cs="Times New Roman" w:eastAsia="Times New Roman" w:hint="default"/>
          <w:b/>
          <w:bCs/>
          <w:sz w:val="18"/>
          <w:szCs w:val="18"/>
        </w:rPr>
        <w:t>1</w:t>
      </w:r>
      <w:r>
        <w:rPr>
          <w:rFonts w:ascii="宋体" w:hAnsi="宋体" w:cs="宋体" w:eastAsia="宋体" w:hint="default"/>
          <w:b/>
          <w:bCs/>
          <w:sz w:val="20"/>
          <w:szCs w:val="20"/>
        </w:rPr>
        <w:t>）单项金额重大并单独计提坏账准备的应收款项</w:t>
      </w:r>
      <w:r>
        <w:rPr>
          <w:rFonts w:ascii="宋体" w:hAnsi="宋体" w:cs="宋体" w:eastAsia="宋体" w:hint="default"/>
          <w:b/>
          <w:bCs/>
          <w:w w:val="99"/>
          <w:sz w:val="20"/>
          <w:szCs w:val="20"/>
        </w:rPr>
        <w:t> </w:t>
      </w:r>
      <w:r>
        <w:rPr>
          <w:rFonts w:ascii="宋体" w:hAnsi="宋体" w:cs="宋体" w:eastAsia="宋体" w:hint="default"/>
          <w:sz w:val="21"/>
          <w:szCs w:val="21"/>
        </w:rPr>
        <w:t>单项金额重大的判断依据或金额标准：应收款项余额前五名。</w:t>
      </w:r>
      <w:r>
        <w:rPr>
          <w:rFonts w:ascii="宋体" w:hAnsi="宋体" w:cs="宋体" w:eastAsia="宋体" w:hint="default"/>
          <w:w w:val="100"/>
          <w:sz w:val="21"/>
          <w:szCs w:val="21"/>
        </w:rPr>
        <w:t> </w:t>
      </w:r>
      <w:r>
        <w:rPr>
          <w:rFonts w:ascii="宋体" w:hAnsi="宋体" w:cs="宋体" w:eastAsia="宋体" w:hint="default"/>
          <w:spacing w:val="-4"/>
          <w:sz w:val="21"/>
          <w:szCs w:val="21"/>
        </w:rPr>
        <w:t>单项金额重大应收款项坏账准备的计提方法：单独进行减值测试，如有客观证据表明其</w:t>
      </w:r>
    </w:p>
    <w:p>
      <w:pPr>
        <w:pStyle w:val="Heading3"/>
        <w:spacing w:line="355" w:lineRule="auto" w:before="36"/>
        <w:ind w:right="1683"/>
        <w:jc w:val="left"/>
      </w:pPr>
      <w:r>
        <w:rPr>
          <w:spacing w:val="-7"/>
          <w:w w:val="100"/>
        </w:rPr>
        <w:t>已发生减值，按预计未来现金流量现值低于其账面价值的差额计提坏账准备，计入当期损益。</w:t>
      </w:r>
      <w:r>
        <w:rPr>
          <w:spacing w:val="-69"/>
          <w:w w:val="100"/>
        </w:rPr>
        <w:t> </w:t>
      </w:r>
      <w:r>
        <w:rPr>
          <w:spacing w:val="-69"/>
          <w:w w:val="100"/>
        </w:rPr>
      </w:r>
      <w:r>
        <w:rPr/>
        <w:t>单独测试未发生减值的应收款项，将其归入相应组合计提坏账准备。</w:t>
      </w:r>
    </w:p>
    <w:p>
      <w:pPr>
        <w:pStyle w:val="Heading4"/>
        <w:spacing w:line="240" w:lineRule="auto" w:before="34"/>
        <w:ind w:left="138" w:right="1683"/>
        <w:jc w:val="left"/>
        <w:rPr>
          <w:b w:val="0"/>
          <w:bCs w:val="0"/>
        </w:rPr>
      </w:pPr>
      <w:r>
        <w:rPr/>
        <w:t>（</w:t>
      </w:r>
      <w:r>
        <w:rPr>
          <w:rFonts w:ascii="Times New Roman" w:hAnsi="Times New Roman" w:cs="Times New Roman" w:eastAsia="Times New Roman" w:hint="default"/>
          <w:sz w:val="18"/>
          <w:szCs w:val="18"/>
        </w:rPr>
        <w:t>2</w:t>
      </w:r>
      <w:r>
        <w:rPr/>
        <w:t>）按信用风险特征组合计提坏账准备的应收款项</w:t>
      </w:r>
      <w:r>
        <w:rPr>
          <w:b w:val="0"/>
          <w:bCs w:val="0"/>
        </w:rPr>
      </w:r>
    </w:p>
    <w:p>
      <w:pPr>
        <w:spacing w:line="240" w:lineRule="auto" w:before="6"/>
        <w:rPr>
          <w:rFonts w:ascii="宋体" w:hAnsi="宋体" w:cs="宋体" w:eastAsia="宋体" w:hint="default"/>
          <w:b/>
          <w:bCs/>
          <w:sz w:val="11"/>
          <w:szCs w:val="11"/>
        </w:rPr>
      </w:pPr>
    </w:p>
    <w:tbl>
      <w:tblPr>
        <w:tblW w:w="0" w:type="auto"/>
        <w:jc w:val="left"/>
        <w:tblInd w:w="133" w:type="dxa"/>
        <w:tblLayout w:type="fixed"/>
        <w:tblCellMar>
          <w:top w:w="0" w:type="dxa"/>
          <w:left w:w="0" w:type="dxa"/>
          <w:bottom w:w="0" w:type="dxa"/>
          <w:right w:w="0" w:type="dxa"/>
        </w:tblCellMar>
        <w:tblLook w:val="01E0"/>
      </w:tblPr>
      <w:tblGrid>
        <w:gridCol w:w="4784"/>
        <w:gridCol w:w="4786"/>
      </w:tblGrid>
      <w:tr>
        <w:trPr>
          <w:trHeight w:val="359"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36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1"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：账龄组合</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36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1"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：合并范围内的关联方</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不计提坏账准备</w:t>
            </w:r>
          </w:p>
        </w:tc>
      </w:tr>
      <w:tr>
        <w:trPr>
          <w:trHeight w:val="360"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1"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不计提坏账准备</w:t>
            </w:r>
          </w:p>
        </w:tc>
      </w:tr>
    </w:tbl>
    <w:p>
      <w:pPr>
        <w:pStyle w:val="BodyText"/>
        <w:spacing w:line="203" w:lineRule="exact"/>
        <w:ind w:left="138" w:right="1683"/>
        <w:jc w:val="left"/>
      </w:pPr>
      <w:r>
        <w:rPr/>
        <w:t>组合中，采用账龄分析法计提坏账准备的：</w:t>
      </w:r>
    </w:p>
    <w:p>
      <w:pPr>
        <w:pStyle w:val="BodyText"/>
        <w:spacing w:line="240" w:lineRule="auto" w:before="115"/>
        <w:ind w:left="138" w:right="16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10"/>
          <w:szCs w:val="10"/>
        </w:rPr>
      </w:pPr>
    </w:p>
    <w:tbl>
      <w:tblPr>
        <w:tblW w:w="0" w:type="auto"/>
        <w:jc w:val="left"/>
        <w:tblInd w:w="144" w:type="dxa"/>
        <w:tblLayout w:type="fixed"/>
        <w:tblCellMar>
          <w:top w:w="0" w:type="dxa"/>
          <w:left w:w="0" w:type="dxa"/>
          <w:bottom w:w="0" w:type="dxa"/>
          <w:right w:w="0" w:type="dxa"/>
        </w:tblCellMar>
        <w:tblLook w:val="01E0"/>
      </w:tblPr>
      <w:tblGrid>
        <w:gridCol w:w="3167"/>
        <w:gridCol w:w="3202"/>
        <w:gridCol w:w="3190"/>
      </w:tblGrid>
      <w:tr>
        <w:trPr>
          <w:trHeight w:val="36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9" w:right="0"/>
              <w:jc w:val="center"/>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36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18"/>
                <w:szCs w:val="18"/>
              </w:rPr>
            </w:pPr>
            <w:r>
              <w:rPr>
                <w:rFonts w:ascii="Times New Roman"/>
                <w:sz w:val="18"/>
              </w:rPr>
              <w:t>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18"/>
                <w:szCs w:val="18"/>
              </w:rPr>
            </w:pPr>
            <w:r>
              <w:rPr>
                <w:rFonts w:ascii="Times New Roman"/>
                <w:sz w:val="18"/>
              </w:rPr>
              <w:t>0.50%</w:t>
            </w:r>
          </w:p>
        </w:tc>
      </w:tr>
      <w:tr>
        <w:trPr>
          <w:trHeight w:val="36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18"/>
                <w:szCs w:val="18"/>
              </w:rPr>
            </w:pPr>
            <w:r>
              <w:rPr>
                <w:rFonts w:ascii="Times New Roman"/>
                <w:sz w:val="18"/>
              </w:rPr>
              <w:t>5.00%</w:t>
            </w:r>
          </w:p>
        </w:tc>
      </w:tr>
      <w:tr>
        <w:trPr>
          <w:trHeight w:val="36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18"/>
                <w:szCs w:val="18"/>
              </w:rPr>
            </w:pPr>
            <w:r>
              <w:rPr>
                <w:rFonts w:ascii="Times New Roman"/>
                <w:sz w:val="18"/>
              </w:rPr>
              <w:t>10.00%</w:t>
            </w:r>
          </w:p>
        </w:tc>
      </w:tr>
      <w:tr>
        <w:trPr>
          <w:trHeight w:val="36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18"/>
                <w:szCs w:val="18"/>
              </w:rPr>
            </w:pPr>
            <w:r>
              <w:rPr>
                <w:rFonts w:ascii="Times New Roman"/>
                <w:sz w:val="18"/>
              </w:rPr>
              <w:t>30.00%</w:t>
            </w:r>
          </w:p>
        </w:tc>
      </w:tr>
      <w:tr>
        <w:trPr>
          <w:trHeight w:val="36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18"/>
                <w:szCs w:val="18"/>
              </w:rPr>
            </w:pPr>
            <w:r>
              <w:rPr>
                <w:rFonts w:ascii="Times New Roman"/>
                <w:sz w:val="18"/>
              </w:rPr>
              <w:t>50.00%</w:t>
            </w:r>
          </w:p>
        </w:tc>
      </w:tr>
      <w:tr>
        <w:trPr>
          <w:trHeight w:val="36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2"/>
              <w:jc w:val="center"/>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center"/>
        <w:rPr>
          <w:rFonts w:ascii="Times New Roman" w:hAnsi="Times New Roman" w:cs="Times New Roman" w:eastAsia="Times New Roman" w:hint="default"/>
          <w:sz w:val="18"/>
          <w:szCs w:val="18"/>
        </w:rPr>
        <w:sectPr>
          <w:pgSz w:w="11910" w:h="16840"/>
          <w:pgMar w:header="733" w:footer="977" w:top="960" w:bottom="1160" w:left="1660" w:right="0"/>
        </w:sectPr>
      </w:pPr>
    </w:p>
    <w:p>
      <w:pPr>
        <w:spacing w:line="240" w:lineRule="auto" w:before="0"/>
        <w:rPr>
          <w:rFonts w:ascii="宋体" w:hAnsi="宋体" w:cs="宋体" w:eastAsia="宋体" w:hint="default"/>
          <w:sz w:val="20"/>
          <w:szCs w:val="20"/>
        </w:rPr>
      </w:pPr>
    </w:p>
    <w:p>
      <w:pPr>
        <w:pStyle w:val="Heading4"/>
        <w:spacing w:line="240" w:lineRule="auto" w:before="170"/>
        <w:ind w:left="138" w:right="1683"/>
        <w:jc w:val="left"/>
        <w:rPr>
          <w:b w:val="0"/>
          <w:bCs w:val="0"/>
        </w:rPr>
      </w:pPr>
      <w:r>
        <w:rPr/>
        <w:t>（</w:t>
      </w:r>
      <w:r>
        <w:rPr>
          <w:rFonts w:ascii="Times New Roman" w:hAnsi="Times New Roman" w:cs="Times New Roman" w:eastAsia="Times New Roman" w:hint="default"/>
          <w:sz w:val="18"/>
          <w:szCs w:val="18"/>
        </w:rPr>
        <w:t>3</w:t>
      </w:r>
      <w:r>
        <w:rPr/>
        <w:t>）单项金额不重大但单独计提坏账准备的应收款项</w:t>
      </w:r>
      <w:r>
        <w:rPr>
          <w:b w:val="0"/>
          <w:bCs w:val="0"/>
        </w:rPr>
      </w:r>
    </w:p>
    <w:p>
      <w:pPr>
        <w:pStyle w:val="Heading3"/>
        <w:spacing w:line="355" w:lineRule="auto" w:before="114"/>
        <w:ind w:right="1786" w:firstLine="419"/>
        <w:jc w:val="both"/>
      </w:pPr>
      <w:r>
        <w:rPr>
          <w:spacing w:val="-4"/>
          <w:w w:val="100"/>
        </w:rPr>
        <w:t>单项计提坏账准备的理由：如有客观证据表明年末单项金额不重大的应收款项发生了减</w:t>
      </w:r>
      <w:r>
        <w:rPr>
          <w:w w:val="100"/>
        </w:rPr>
        <w:t> </w:t>
      </w:r>
      <w:r>
        <w:rPr/>
        <w:t>值的，根据其未来现金流量现值低于其账面价值的差额，确认减值损失，计提坏账准备。</w:t>
      </w:r>
    </w:p>
    <w:p>
      <w:pPr>
        <w:pStyle w:val="Heading3"/>
        <w:spacing w:line="355" w:lineRule="auto" w:before="34"/>
        <w:ind w:right="1789" w:firstLine="419"/>
        <w:jc w:val="both"/>
      </w:pPr>
      <w:r>
        <w:rPr>
          <w:spacing w:val="-4"/>
        </w:rPr>
        <w:t>坏账准备的计提方法：单独测试未发生减值的应收账款和其他应收款，以账龄为信用风</w:t>
      </w:r>
      <w:r>
        <w:rPr>
          <w:w w:val="100"/>
        </w:rPr>
        <w:t> </w:t>
      </w:r>
      <w:r>
        <w:rPr/>
        <w:t>险特征根据账龄分析法计提坏账准备。</w:t>
      </w:r>
    </w:p>
    <w:p>
      <w:pPr>
        <w:pStyle w:val="Heading3"/>
        <w:spacing w:line="357" w:lineRule="auto" w:before="32"/>
        <w:ind w:right="1789" w:firstLine="419"/>
        <w:jc w:val="both"/>
      </w:pPr>
      <w:r>
        <w:rPr>
          <w:spacing w:val="-4"/>
        </w:rPr>
        <w:t>其他说明：年末对于不适用按账龄段划分的类似信用风险特征组合的应收票据、预付账</w:t>
      </w:r>
      <w:r>
        <w:rPr>
          <w:w w:val="100"/>
        </w:rPr>
        <w:t> </w:t>
      </w:r>
      <w:r>
        <w:rPr>
          <w:spacing w:val="-4"/>
        </w:rPr>
        <w:t>款和长期应收款均进行单项减值测试。如有客观证据表明其发生了减值的，根据其未来现金</w:t>
      </w:r>
      <w:r>
        <w:rPr>
          <w:spacing w:val="-40"/>
        </w:rPr>
        <w:t> </w:t>
      </w:r>
      <w:r>
        <w:rPr>
          <w:spacing w:val="-40"/>
        </w:rPr>
      </w:r>
      <w:r>
        <w:rPr>
          <w:spacing w:val="-4"/>
        </w:rPr>
        <w:t>流量现值低于其账面价值的差额，确认减值损失，计提坏账准备。如经减值测试未发现减值</w:t>
      </w:r>
      <w:r>
        <w:rPr>
          <w:spacing w:val="-41"/>
        </w:rPr>
        <w:t> </w:t>
      </w:r>
      <w:r>
        <w:rPr>
          <w:spacing w:val="-41"/>
        </w:rPr>
      </w:r>
      <w:r>
        <w:rPr/>
        <w:t>的，则不计提坏账准备。</w:t>
      </w:r>
    </w:p>
    <w:p>
      <w:pPr>
        <w:spacing w:before="32"/>
        <w:ind w:left="138" w:right="1683"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12</w:t>
      </w:r>
      <w:r>
        <w:rPr>
          <w:rFonts w:ascii="宋体" w:hAnsi="宋体" w:cs="宋体" w:eastAsia="宋体" w:hint="default"/>
          <w:b/>
          <w:bCs/>
          <w:sz w:val="20"/>
          <w:szCs w:val="20"/>
        </w:rPr>
        <w:t>、存货</w:t>
      </w:r>
      <w:r>
        <w:rPr>
          <w:rFonts w:ascii="宋体" w:hAnsi="宋体" w:cs="宋体" w:eastAsia="宋体" w:hint="default"/>
          <w:sz w:val="20"/>
          <w:szCs w:val="20"/>
        </w:rPr>
      </w:r>
    </w:p>
    <w:p>
      <w:pPr>
        <w:pStyle w:val="Heading3"/>
        <w:spacing w:line="345" w:lineRule="auto" w:before="114"/>
        <w:ind w:left="558" w:right="3556"/>
        <w:jc w:val="left"/>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w:t>
      </w:r>
      <w:r>
        <w:rPr/>
        <w:t>存货的分类</w:t>
      </w:r>
      <w:r>
        <w:rPr>
          <w:w w:val="100"/>
        </w:rPr>
        <w:t> </w:t>
      </w:r>
      <w:r>
        <w:rPr>
          <w:spacing w:val="-2"/>
        </w:rPr>
        <w:t>存货分类为：原材料、在产品、库存商品、开发产品等。</w:t>
      </w:r>
      <w:r>
        <w:rPr>
          <w:spacing w:val="-55"/>
        </w:rPr>
        <w:t> </w:t>
      </w:r>
      <w:r>
        <w:rPr>
          <w:spacing w:val="-55"/>
        </w:rPr>
      </w: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w:t>
      </w:r>
      <w:r>
        <w:rPr/>
        <w:t>发出存货的计价方法</w:t>
      </w:r>
    </w:p>
    <w:p>
      <w:pPr>
        <w:pStyle w:val="Heading3"/>
        <w:spacing w:line="355" w:lineRule="auto" w:before="17"/>
        <w:ind w:left="558" w:right="3556"/>
        <w:jc w:val="left"/>
      </w:pPr>
      <w:r>
        <w:rPr/>
        <w:t>存货发出时按加权平均法计价。</w:t>
      </w:r>
      <w:r>
        <w:rPr>
          <w:w w:val="100"/>
        </w:rPr>
        <w:t> </w:t>
      </w:r>
      <w:r>
        <w:rPr>
          <w:rFonts w:ascii="宋体" w:hAnsi="宋体" w:cs="宋体" w:eastAsia="宋体" w:hint="default"/>
          <w:spacing w:val="-2"/>
        </w:rPr>
        <w:t>(</w:t>
      </w:r>
      <w:r>
        <w:rPr>
          <w:rFonts w:ascii="Times New Roman" w:hAnsi="Times New Roman" w:cs="Times New Roman" w:eastAsia="Times New Roman" w:hint="default"/>
          <w:spacing w:val="-2"/>
        </w:rPr>
        <w:t>3</w:t>
      </w:r>
      <w:r>
        <w:rPr>
          <w:rFonts w:ascii="宋体" w:hAnsi="宋体" w:cs="宋体" w:eastAsia="宋体" w:hint="default"/>
          <w:spacing w:val="-2"/>
        </w:rPr>
        <w:t>)</w:t>
      </w:r>
      <w:r>
        <w:rPr>
          <w:spacing w:val="-2"/>
        </w:rPr>
        <w:t>不同类别存货可变现净值的确定依据</w:t>
      </w:r>
    </w:p>
    <w:p>
      <w:pPr>
        <w:pStyle w:val="Heading3"/>
        <w:spacing w:line="357" w:lineRule="auto" w:before="5"/>
        <w:ind w:right="1686" w:firstLine="419"/>
        <w:jc w:val="both"/>
      </w:pPr>
      <w:r>
        <w:rPr>
          <w:spacing w:val="-4"/>
        </w:rPr>
        <w:t>产成品、库存商品和用于出售的材料等直接用于出售的商品存货，在正常生产经营过程</w:t>
      </w:r>
      <w:r>
        <w:rPr>
          <w:w w:val="100"/>
        </w:rPr>
        <w:t> </w:t>
      </w:r>
      <w:r>
        <w:rPr>
          <w:spacing w:val="-4"/>
        </w:rPr>
        <w:t>中，以该存货的估计售价减去估计的销售费用和相关税费后的金额，确定其可变现净值；需</w:t>
      </w:r>
      <w:r>
        <w:rPr>
          <w:spacing w:val="-44"/>
        </w:rPr>
        <w:t> </w:t>
      </w:r>
      <w:r>
        <w:rPr>
          <w:spacing w:val="-44"/>
        </w:rPr>
      </w:r>
      <w:r>
        <w:rPr>
          <w:spacing w:val="-4"/>
        </w:rPr>
        <w:t>要经过加工的材料存货，在正常生产经营过程中，以所生产的产成品的估计售价减去至完工</w:t>
      </w:r>
      <w:r>
        <w:rPr>
          <w:spacing w:val="-40"/>
        </w:rPr>
        <w:t> </w:t>
      </w:r>
      <w:r>
        <w:rPr>
          <w:spacing w:val="-40"/>
        </w:rPr>
      </w:r>
      <w:r>
        <w:rPr>
          <w:spacing w:val="-4"/>
        </w:rPr>
        <w:t>时估计将要发生的成本、估计的销售费用和相关税费后的金额，确定其可变现净值；为执行</w:t>
      </w:r>
      <w:r>
        <w:rPr>
          <w:spacing w:val="-44"/>
        </w:rPr>
        <w:t> </w:t>
      </w:r>
      <w:r>
        <w:rPr>
          <w:spacing w:val="-44"/>
        </w:rPr>
      </w:r>
      <w:r>
        <w:rPr>
          <w:spacing w:val="-4"/>
        </w:rPr>
        <w:t>销售合同或者劳务合同而持有的存货，其可变现净值以合同价格为基础计算，若持有存货的</w:t>
      </w:r>
      <w:r>
        <w:rPr>
          <w:spacing w:val="-41"/>
        </w:rPr>
        <w:t> </w:t>
      </w:r>
      <w:r>
        <w:rPr>
          <w:spacing w:val="-41"/>
        </w:rPr>
      </w:r>
      <w:r>
        <w:rPr>
          <w:spacing w:val="-1"/>
        </w:rPr>
        <w:t>数量多于销售合同订购数量的，超出部分的存货的可变现净值以一般销售价格为基础计算。</w:t>
      </w:r>
    </w:p>
    <w:p>
      <w:pPr>
        <w:pStyle w:val="Heading3"/>
        <w:spacing w:line="357" w:lineRule="auto"/>
        <w:ind w:right="1789" w:firstLine="419"/>
        <w:jc w:val="both"/>
      </w:pPr>
      <w:r>
        <w:rPr>
          <w:spacing w:val="-4"/>
        </w:rPr>
        <w:t>期末按照单个存货项目计提存货跌价准备；但对于数量繁多、单价较低的存货，按照存</w:t>
      </w:r>
      <w:r>
        <w:rPr>
          <w:w w:val="100"/>
        </w:rPr>
        <w:t> </w:t>
      </w:r>
      <w:r>
        <w:rPr>
          <w:spacing w:val="-4"/>
        </w:rPr>
        <w:t>货类别计提存货跌价准备；与在同一地区生产和销售的产品系列相关、具有相同或类似最终</w:t>
      </w:r>
      <w:r>
        <w:rPr>
          <w:spacing w:val="-42"/>
        </w:rPr>
        <w:t> </w:t>
      </w:r>
      <w:r>
        <w:rPr>
          <w:spacing w:val="-42"/>
        </w:rPr>
      </w:r>
      <w:r>
        <w:rPr/>
        <w:t>用途或目的，且难以与其他项目分开计量的存货，则合并计提存货跌价准备。</w:t>
      </w:r>
    </w:p>
    <w:p>
      <w:pPr>
        <w:pStyle w:val="Heading3"/>
        <w:spacing w:line="355" w:lineRule="auto" w:before="31"/>
        <w:ind w:right="1786" w:firstLine="419"/>
        <w:jc w:val="both"/>
      </w:pPr>
      <w:r>
        <w:rPr>
          <w:spacing w:val="-4"/>
          <w:w w:val="100"/>
        </w:rPr>
        <w:t>除有明确证据表明资产负债表日市场价格异常外，存货项目的可变现净值以资产负债表</w:t>
      </w:r>
      <w:r>
        <w:rPr>
          <w:w w:val="100"/>
        </w:rPr>
        <w:t> </w:t>
      </w:r>
      <w:r>
        <w:rPr/>
        <w:t>日市场价格为基础确定。</w:t>
      </w:r>
    </w:p>
    <w:p>
      <w:pPr>
        <w:pStyle w:val="Heading3"/>
        <w:spacing w:line="357" w:lineRule="auto" w:before="32"/>
        <w:ind w:left="558" w:right="1683"/>
        <w:jc w:val="left"/>
      </w:pPr>
      <w:r>
        <w:rPr>
          <w:spacing w:val="-2"/>
        </w:rPr>
        <w:t>本期期末存货项目的可变现净值以资产负债表日市场价格为基础确定。</w:t>
      </w:r>
      <w:r>
        <w:rPr>
          <w:spacing w:val="-45"/>
        </w:rPr>
        <w:t> </w:t>
      </w:r>
      <w:r>
        <w:rPr>
          <w:spacing w:val="-45"/>
        </w:rPr>
      </w:r>
      <w:r>
        <w:rPr>
          <w:rFonts w:ascii="宋体" w:hAnsi="宋体" w:cs="宋体" w:eastAsia="宋体" w:hint="default"/>
        </w:rPr>
        <w:t>(</w:t>
      </w:r>
      <w:r>
        <w:rPr>
          <w:rFonts w:ascii="Times New Roman" w:hAnsi="Times New Roman" w:cs="Times New Roman" w:eastAsia="Times New Roman" w:hint="default"/>
        </w:rPr>
        <w:t>4</w:t>
      </w:r>
      <w:r>
        <w:rPr>
          <w:rFonts w:ascii="宋体" w:hAnsi="宋体" w:cs="宋体" w:eastAsia="宋体" w:hint="default"/>
        </w:rPr>
        <w:t>)</w:t>
      </w:r>
      <w:r>
        <w:rPr/>
        <w:t>存货的盘存制度</w:t>
      </w:r>
    </w:p>
    <w:p>
      <w:pPr>
        <w:pStyle w:val="Heading3"/>
        <w:spacing w:line="355" w:lineRule="auto" w:before="3"/>
        <w:ind w:left="558" w:right="6309"/>
        <w:jc w:val="left"/>
      </w:pPr>
      <w:r>
        <w:rPr/>
        <w:t>采用永续盘存制。</w:t>
      </w:r>
      <w:r>
        <w:rPr>
          <w:w w:val="100"/>
        </w:rPr>
        <w:t> </w:t>
      </w:r>
      <w:r>
        <w:rPr>
          <w:rFonts w:ascii="宋体" w:hAnsi="宋体" w:cs="宋体" w:eastAsia="宋体" w:hint="default"/>
          <w:spacing w:val="-2"/>
        </w:rPr>
        <w:t>(</w:t>
      </w:r>
      <w:r>
        <w:rPr>
          <w:rFonts w:ascii="Times New Roman" w:hAnsi="Times New Roman" w:cs="Times New Roman" w:eastAsia="Times New Roman" w:hint="default"/>
          <w:spacing w:val="-2"/>
        </w:rPr>
        <w:t>5</w:t>
      </w:r>
      <w:r>
        <w:rPr>
          <w:rFonts w:ascii="宋体" w:hAnsi="宋体" w:cs="宋体" w:eastAsia="宋体" w:hint="default"/>
          <w:spacing w:val="-2"/>
        </w:rPr>
        <w:t>)</w:t>
      </w:r>
      <w:r>
        <w:rPr>
          <w:spacing w:val="-2"/>
        </w:rPr>
        <w:t>低值易耗品和包装物的摊销方法</w:t>
      </w:r>
    </w:p>
    <w:p>
      <w:pPr>
        <w:pStyle w:val="Heading3"/>
        <w:spacing w:line="240" w:lineRule="auto" w:before="5"/>
        <w:ind w:left="558" w:right="1683"/>
        <w:jc w:val="left"/>
      </w:pPr>
      <w:r>
        <w:rPr/>
        <w:t>①低值易耗品采用一次转销法。</w:t>
      </w:r>
    </w:p>
    <w:p>
      <w:pPr>
        <w:pStyle w:val="Heading3"/>
        <w:spacing w:line="240" w:lineRule="auto" w:before="133"/>
        <w:ind w:left="558" w:right="1683"/>
        <w:jc w:val="left"/>
      </w:pPr>
      <w:r>
        <w:rPr/>
        <w:t>②包装物采用一次转销法。</w:t>
      </w:r>
    </w:p>
    <w:p>
      <w:pPr>
        <w:pStyle w:val="Heading5"/>
        <w:spacing w:line="240" w:lineRule="auto" w:before="137"/>
        <w:ind w:right="1683"/>
        <w:jc w:val="left"/>
        <w:rPr>
          <w:b w:val="0"/>
          <w:bCs w:val="0"/>
        </w:rPr>
      </w:pPr>
      <w:r>
        <w:rPr>
          <w:rFonts w:ascii="Times New Roman" w:hAnsi="Times New Roman" w:cs="Times New Roman" w:eastAsia="Times New Roman" w:hint="default"/>
        </w:rPr>
        <w:t>13</w:t>
      </w:r>
      <w:r>
        <w:rPr/>
        <w:t>、持有待售资产</w:t>
      </w:r>
      <w:r>
        <w:rPr>
          <w:b w:val="0"/>
          <w:bCs w:val="0"/>
        </w:rPr>
      </w:r>
    </w:p>
    <w:p>
      <w:pPr>
        <w:pStyle w:val="Heading3"/>
        <w:spacing w:line="240" w:lineRule="auto" w:before="99"/>
        <w:ind w:left="558" w:right="1683"/>
        <w:jc w:val="left"/>
      </w:pPr>
      <w:r>
        <w:rPr>
          <w:w w:val="100"/>
        </w:rPr>
        <w:t>公司</w:t>
      </w:r>
      <w:r>
        <w:rPr>
          <w:spacing w:val="-3"/>
          <w:w w:val="100"/>
        </w:rPr>
        <w:t>主</w:t>
      </w:r>
      <w:r>
        <w:rPr>
          <w:w w:val="100"/>
        </w:rPr>
        <w:t>要</w:t>
      </w:r>
      <w:r>
        <w:rPr>
          <w:spacing w:val="-3"/>
          <w:w w:val="100"/>
        </w:rPr>
        <w:t>通</w:t>
      </w:r>
      <w:r>
        <w:rPr>
          <w:w w:val="100"/>
        </w:rPr>
        <w:t>过</w:t>
      </w:r>
      <w:r>
        <w:rPr>
          <w:spacing w:val="-3"/>
          <w:w w:val="100"/>
        </w:rPr>
        <w:t>出</w:t>
      </w:r>
      <w:r>
        <w:rPr>
          <w:w w:val="100"/>
        </w:rPr>
        <w:t>售</w:t>
      </w:r>
      <w:r>
        <w:rPr>
          <w:spacing w:val="-3"/>
          <w:w w:val="100"/>
        </w:rPr>
        <w:t>而</w:t>
      </w:r>
      <w:r>
        <w:rPr>
          <w:w w:val="100"/>
        </w:rPr>
        <w:t>非</w:t>
      </w:r>
      <w:r>
        <w:rPr>
          <w:spacing w:val="-3"/>
          <w:w w:val="100"/>
        </w:rPr>
        <w:t>持</w:t>
      </w:r>
      <w:r>
        <w:rPr>
          <w:w w:val="100"/>
        </w:rPr>
        <w:t>续使</w:t>
      </w:r>
      <w:r>
        <w:rPr>
          <w:spacing w:val="-3"/>
          <w:w w:val="100"/>
        </w:rPr>
        <w:t>用</w:t>
      </w:r>
      <w:r>
        <w:rPr>
          <w:w w:val="100"/>
        </w:rPr>
        <w:t>一</w:t>
      </w:r>
      <w:r>
        <w:rPr>
          <w:spacing w:val="-3"/>
          <w:w w:val="100"/>
        </w:rPr>
        <w:t>项</w:t>
      </w:r>
      <w:r>
        <w:rPr>
          <w:w w:val="100"/>
        </w:rPr>
        <w:t>非</w:t>
      </w:r>
      <w:r>
        <w:rPr>
          <w:spacing w:val="-3"/>
          <w:w w:val="100"/>
        </w:rPr>
        <w:t>流</w:t>
      </w:r>
      <w:r>
        <w:rPr>
          <w:w w:val="100"/>
        </w:rPr>
        <w:t>动</w:t>
      </w:r>
      <w:r>
        <w:rPr>
          <w:spacing w:val="-3"/>
          <w:w w:val="100"/>
        </w:rPr>
        <w:t>资</w:t>
      </w:r>
      <w:r>
        <w:rPr>
          <w:w w:val="100"/>
        </w:rPr>
        <w:t>产</w:t>
      </w:r>
      <w:r>
        <w:rPr>
          <w:spacing w:val="-3"/>
          <w:w w:val="100"/>
        </w:rPr>
        <w:t>或</w:t>
      </w:r>
      <w:r>
        <w:rPr>
          <w:w w:val="100"/>
        </w:rPr>
        <w:t>处置</w:t>
      </w:r>
      <w:r>
        <w:rPr>
          <w:spacing w:val="-3"/>
          <w:w w:val="100"/>
        </w:rPr>
        <w:t>组</w:t>
      </w:r>
      <w:r>
        <w:rPr>
          <w:w w:val="100"/>
        </w:rPr>
        <w:t>收</w:t>
      </w:r>
      <w:r>
        <w:rPr>
          <w:spacing w:val="-3"/>
          <w:w w:val="100"/>
        </w:rPr>
        <w:t>回</w:t>
      </w:r>
      <w:r>
        <w:rPr>
          <w:w w:val="100"/>
        </w:rPr>
        <w:t>其</w:t>
      </w:r>
      <w:r>
        <w:rPr>
          <w:spacing w:val="-3"/>
          <w:w w:val="100"/>
        </w:rPr>
        <w:t>账</w:t>
      </w:r>
      <w:r>
        <w:rPr>
          <w:w w:val="100"/>
        </w:rPr>
        <w:t>面</w:t>
      </w:r>
      <w:r>
        <w:rPr>
          <w:spacing w:val="-3"/>
          <w:w w:val="100"/>
        </w:rPr>
        <w:t>价</w:t>
      </w:r>
      <w:r>
        <w:rPr>
          <w:w w:val="100"/>
        </w:rPr>
        <w:t>值</w:t>
      </w:r>
      <w:r>
        <w:rPr>
          <w:spacing w:val="-3"/>
          <w:w w:val="100"/>
        </w:rPr>
        <w:t>的</w:t>
      </w:r>
      <w:r>
        <w:rPr>
          <w:spacing w:val="-89"/>
          <w:w w:val="100"/>
        </w:rPr>
        <w:t>，</w:t>
      </w:r>
      <w:r>
        <w:rPr>
          <w:w w:val="100"/>
        </w:rPr>
        <w:t>应当</w:t>
      </w:r>
      <w:r>
        <w:rPr>
          <w:spacing w:val="-3"/>
          <w:w w:val="100"/>
        </w:rPr>
        <w:t>将</w:t>
      </w:r>
      <w:r>
        <w:rPr>
          <w:w w:val="100"/>
        </w:rPr>
        <w:t>其</w:t>
      </w:r>
    </w:p>
    <w:p>
      <w:pPr>
        <w:spacing w:after="0" w:line="240" w:lineRule="auto"/>
        <w:jc w:val="left"/>
        <w:sectPr>
          <w:pgSz w:w="11910" w:h="16840"/>
          <w:pgMar w:header="733" w:footer="977" w:top="960" w:bottom="1160" w:left="1660" w:right="0"/>
        </w:sectPr>
      </w:pPr>
    </w:p>
    <w:p>
      <w:pPr>
        <w:spacing w:line="240" w:lineRule="auto" w:before="0"/>
        <w:rPr>
          <w:rFonts w:ascii="宋体" w:hAnsi="宋体" w:cs="宋体" w:eastAsia="宋体" w:hint="default"/>
          <w:sz w:val="20"/>
          <w:szCs w:val="20"/>
        </w:rPr>
      </w:pPr>
    </w:p>
    <w:p>
      <w:pPr>
        <w:pStyle w:val="Heading3"/>
        <w:spacing w:line="355" w:lineRule="auto" w:before="168"/>
        <w:ind w:left="558" w:right="6309" w:hanging="420"/>
        <w:jc w:val="left"/>
      </w:pPr>
      <w:r>
        <w:rPr/>
        <w:t>划分为持有待售类别。</w:t>
      </w:r>
      <w:r>
        <w:rPr>
          <w:w w:val="100"/>
        </w:rPr>
        <w:t> </w:t>
      </w:r>
      <w:r>
        <w:rPr>
          <w:spacing w:val="-2"/>
        </w:rPr>
        <w:t>应当同时满足下列条件：</w:t>
      </w:r>
    </w:p>
    <w:p>
      <w:pPr>
        <w:pStyle w:val="Heading3"/>
        <w:spacing w:line="240" w:lineRule="auto" w:before="32"/>
        <w:ind w:left="558" w:right="1683"/>
        <w:jc w:val="left"/>
      </w:pPr>
      <w:r>
        <w:rPr/>
        <w:t>（一）根据类似交易中出售此类资产或处置组的惯例，在当前状况下即可立即出售；</w:t>
      </w:r>
    </w:p>
    <w:p>
      <w:pPr>
        <w:pStyle w:val="Heading3"/>
        <w:spacing w:line="355" w:lineRule="auto" w:before="135"/>
        <w:ind w:right="889" w:firstLine="419"/>
        <w:jc w:val="left"/>
      </w:pPr>
      <w:r>
        <w:rPr/>
        <w:t>（二）出售极可能发生，即企业已经就一项出售计划作出决议且获得确定的购买承诺，</w:t>
      </w:r>
      <w:r>
        <w:rPr>
          <w:w w:val="100"/>
        </w:rPr>
        <w:t> </w:t>
      </w:r>
      <w:r>
        <w:rPr>
          <w:spacing w:val="-4"/>
          <w:w w:val="100"/>
        </w:rPr>
        <w:t>预计出售将在一年内完成。有关规定要求企业相关权力机构或者监管部门批准后方可出售的，</w:t>
      </w:r>
      <w:r>
        <w:rPr>
          <w:spacing w:val="-85"/>
          <w:w w:val="100"/>
        </w:rPr>
        <w:t> </w:t>
      </w:r>
      <w:r>
        <w:rPr>
          <w:spacing w:val="-85"/>
          <w:w w:val="100"/>
        </w:rPr>
      </w:r>
      <w:r>
        <w:rPr/>
        <w:t>应当已经获得批准。</w:t>
      </w:r>
    </w:p>
    <w:p>
      <w:pPr>
        <w:pStyle w:val="Heading3"/>
        <w:spacing w:line="357" w:lineRule="auto" w:before="32"/>
        <w:ind w:right="1787" w:firstLine="525"/>
        <w:jc w:val="both"/>
      </w:pPr>
      <w:r>
        <w:rPr>
          <w:spacing w:val="-1"/>
        </w:rPr>
        <w:t>确定的购买承诺，是指企业与其他方签订的具有法律约束力的购买协议，该协议包含</w:t>
      </w:r>
      <w:r>
        <w:rPr>
          <w:w w:val="100"/>
        </w:rPr>
        <w:t> </w:t>
      </w:r>
      <w:r>
        <w:rPr>
          <w:spacing w:val="-4"/>
        </w:rPr>
        <w:t>交易价格、时间和足够严厉的违约惩罚等重要条款，使协议出现重大调整或者撤销的可能性</w:t>
      </w:r>
      <w:r>
        <w:rPr>
          <w:spacing w:val="-42"/>
        </w:rPr>
        <w:t> </w:t>
      </w:r>
      <w:r>
        <w:rPr>
          <w:spacing w:val="-42"/>
        </w:rPr>
      </w:r>
      <w:r>
        <w:rPr/>
        <w:t>极小。</w:t>
      </w:r>
    </w:p>
    <w:p>
      <w:pPr>
        <w:spacing w:before="32"/>
        <w:ind w:left="138" w:right="0" w:firstLine="0"/>
        <w:jc w:val="both"/>
        <w:rPr>
          <w:rFonts w:ascii="宋体" w:hAnsi="宋体" w:cs="宋体" w:eastAsia="宋体" w:hint="default"/>
          <w:sz w:val="20"/>
          <w:szCs w:val="20"/>
        </w:rPr>
      </w:pPr>
      <w:r>
        <w:rPr>
          <w:rFonts w:ascii="Times New Roman" w:hAnsi="Times New Roman" w:cs="Times New Roman" w:eastAsia="Times New Roman" w:hint="default"/>
          <w:b/>
          <w:bCs/>
          <w:sz w:val="18"/>
          <w:szCs w:val="18"/>
        </w:rPr>
        <w:t>14</w:t>
      </w:r>
      <w:r>
        <w:rPr>
          <w:rFonts w:ascii="宋体" w:hAnsi="宋体" w:cs="宋体" w:eastAsia="宋体" w:hint="default"/>
          <w:b/>
          <w:bCs/>
          <w:sz w:val="20"/>
          <w:szCs w:val="20"/>
        </w:rPr>
        <w:t>、长期股权投资</w:t>
      </w:r>
      <w:r>
        <w:rPr>
          <w:rFonts w:ascii="宋体" w:hAnsi="宋体" w:cs="宋体" w:eastAsia="宋体" w:hint="default"/>
          <w:sz w:val="20"/>
          <w:szCs w:val="20"/>
        </w:rPr>
      </w:r>
    </w:p>
    <w:p>
      <w:pPr>
        <w:pStyle w:val="Heading3"/>
        <w:spacing w:line="336" w:lineRule="auto" w:before="114"/>
        <w:ind w:left="558" w:right="1683"/>
        <w:jc w:val="left"/>
      </w:pPr>
      <w:r>
        <w:rPr/>
        <w:t>（</w:t>
      </w:r>
      <w:r>
        <w:rPr>
          <w:rFonts w:ascii="Times New Roman" w:hAnsi="Times New Roman" w:cs="Times New Roman" w:eastAsia="Times New Roman" w:hint="default"/>
        </w:rPr>
        <w:t>1</w:t>
      </w:r>
      <w:r>
        <w:rPr/>
        <w:t>）共同控制、重大影响的判断标准</w:t>
      </w:r>
      <w:r>
        <w:rPr>
          <w:w w:val="100"/>
        </w:rPr>
        <w:t> </w:t>
      </w:r>
      <w:r>
        <w:rPr>
          <w:spacing w:val="-4"/>
        </w:rPr>
        <w:t>共同控制，是指按照相关约定对某项安排所共有的控制，并且该安排的相关活动必须经</w:t>
      </w:r>
    </w:p>
    <w:p>
      <w:pPr>
        <w:pStyle w:val="Heading3"/>
        <w:spacing w:line="357" w:lineRule="auto" w:before="49"/>
        <w:ind w:right="1786"/>
        <w:jc w:val="both"/>
      </w:pPr>
      <w:r>
        <w:rPr>
          <w:spacing w:val="-4"/>
          <w:w w:val="100"/>
        </w:rPr>
        <w:t>过分享控制权的参与方一致同意后才能决策。本公司与其他合营方一同对被投资单位实施共</w:t>
      </w:r>
      <w:r>
        <w:rPr>
          <w:spacing w:val="-87"/>
          <w:w w:val="100"/>
        </w:rPr>
        <w:t> </w:t>
      </w:r>
      <w:r>
        <w:rPr>
          <w:spacing w:val="-87"/>
          <w:w w:val="100"/>
        </w:rPr>
      </w:r>
      <w:r>
        <w:rPr/>
        <w:t>同控制且对被投资单位净资产享有权利的，被投资单位为本公司的合营企业。</w:t>
      </w:r>
    </w:p>
    <w:p>
      <w:pPr>
        <w:pStyle w:val="Heading3"/>
        <w:spacing w:line="357" w:lineRule="auto"/>
        <w:ind w:right="1789" w:firstLine="419"/>
        <w:jc w:val="both"/>
      </w:pPr>
      <w:r>
        <w:rPr>
          <w:spacing w:val="-4"/>
        </w:rPr>
        <w:t>重大影响，是指对一个企业的财务和经营决策有参与决策的权力，但并不能够控制或者</w:t>
      </w:r>
      <w:r>
        <w:rPr>
          <w:w w:val="100"/>
        </w:rPr>
        <w:t> </w:t>
      </w:r>
      <w:r>
        <w:rPr>
          <w:spacing w:val="-4"/>
        </w:rPr>
        <w:t>与其他方一起共同控制这些政策的制定。本公司能够对被投资单位施加重大影响的，被投资</w:t>
      </w:r>
      <w:r>
        <w:rPr>
          <w:spacing w:val="-41"/>
        </w:rPr>
        <w:t> </w:t>
      </w:r>
      <w:r>
        <w:rPr>
          <w:spacing w:val="-41"/>
        </w:rPr>
      </w:r>
      <w:r>
        <w:rPr/>
        <w:t>单位为本公司联营企业。</w:t>
      </w:r>
    </w:p>
    <w:p>
      <w:pPr>
        <w:pStyle w:val="Heading3"/>
        <w:spacing w:line="240" w:lineRule="auto" w:before="32"/>
        <w:ind w:left="558" w:right="1683"/>
        <w:jc w:val="left"/>
      </w:pPr>
      <w:r>
        <w:rPr/>
        <w:t>（</w:t>
      </w:r>
      <w:r>
        <w:rPr>
          <w:rFonts w:ascii="Times New Roman" w:hAnsi="Times New Roman" w:cs="Times New Roman" w:eastAsia="Times New Roman" w:hint="default"/>
        </w:rPr>
        <w:t>2</w:t>
      </w:r>
      <w:r>
        <w:rPr/>
        <w:t>）初始投资成本的确定</w:t>
      </w:r>
    </w:p>
    <w:p>
      <w:pPr>
        <w:pStyle w:val="Heading3"/>
        <w:spacing w:line="355" w:lineRule="auto" w:before="117"/>
        <w:ind w:left="558" w:right="1683"/>
        <w:jc w:val="left"/>
      </w:pPr>
      <w:r>
        <w:rPr/>
        <w:t>①企业合并形成的长期股权投资</w:t>
      </w:r>
      <w:r>
        <w:rPr>
          <w:w w:val="100"/>
        </w:rPr>
        <w:t> </w:t>
      </w:r>
      <w:r>
        <w:rPr>
          <w:spacing w:val="-4"/>
        </w:rPr>
        <w:t>同一控制下的企业合并：公司以支付现金、转让非现金资产或承担债务方式以及以发行</w:t>
      </w:r>
    </w:p>
    <w:p>
      <w:pPr>
        <w:pStyle w:val="Heading3"/>
        <w:spacing w:line="357" w:lineRule="auto" w:before="32"/>
        <w:ind w:right="1786"/>
        <w:jc w:val="both"/>
      </w:pPr>
      <w:r>
        <w:rPr>
          <w:spacing w:val="-4"/>
          <w:w w:val="100"/>
        </w:rPr>
        <w:t>权益性证券作为合并对价的，在合并日按照取得被合并方所有者权益在最终控制方合并财务</w:t>
      </w:r>
      <w:r>
        <w:rPr>
          <w:spacing w:val="-86"/>
          <w:w w:val="100"/>
        </w:rPr>
        <w:t> </w:t>
      </w:r>
      <w:r>
        <w:rPr>
          <w:spacing w:val="-86"/>
          <w:w w:val="100"/>
        </w:rPr>
      </w:r>
      <w:r>
        <w:rPr>
          <w:spacing w:val="-4"/>
          <w:w w:val="100"/>
        </w:rPr>
        <w:t>报表中的账面价值的份额作为长期股权投资的初始投资成本。因追加投资等原因能够对同一</w:t>
      </w:r>
      <w:r>
        <w:rPr>
          <w:spacing w:val="-87"/>
          <w:w w:val="100"/>
        </w:rPr>
        <w:t> </w:t>
      </w:r>
      <w:r>
        <w:rPr>
          <w:spacing w:val="-87"/>
          <w:w w:val="100"/>
        </w:rPr>
      </w:r>
      <w:r>
        <w:rPr>
          <w:spacing w:val="-4"/>
          <w:w w:val="100"/>
        </w:rPr>
        <w:t>控制下的被投资单位实施控制的，在合并日根据合并后应享有被合并方净资产在最终控制方</w:t>
      </w:r>
      <w:r>
        <w:rPr>
          <w:spacing w:val="-87"/>
          <w:w w:val="100"/>
        </w:rPr>
        <w:t> </w:t>
      </w:r>
      <w:r>
        <w:rPr>
          <w:spacing w:val="-87"/>
          <w:w w:val="100"/>
        </w:rPr>
      </w:r>
      <w:r>
        <w:rPr>
          <w:spacing w:val="-4"/>
        </w:rPr>
        <w:t>合并财务报表中的账面价值的份额，确定长期股权投资的初始投资成本。合并日长期股权投</w:t>
      </w:r>
      <w:r>
        <w:rPr>
          <w:spacing w:val="-41"/>
        </w:rPr>
        <w:t> </w:t>
      </w:r>
      <w:r>
        <w:rPr>
          <w:spacing w:val="-41"/>
        </w:rPr>
      </w:r>
      <w:r>
        <w:rPr>
          <w:spacing w:val="-4"/>
          <w:w w:val="100"/>
        </w:rPr>
        <w:t>资的初始投资成本，与达到合并前的长期股权投资账面价值加上合并日进一步取得股份新支</w:t>
      </w:r>
      <w:r>
        <w:rPr>
          <w:spacing w:val="-87"/>
          <w:w w:val="100"/>
        </w:rPr>
        <w:t> </w:t>
      </w:r>
      <w:r>
        <w:rPr>
          <w:spacing w:val="-87"/>
          <w:w w:val="100"/>
        </w:rPr>
      </w:r>
      <w:r>
        <w:rPr/>
        <w:t>付对价的账面价值之和的差额，调整股本溢价，股本溢价不足冲减的，冲减留存收益。</w:t>
      </w:r>
    </w:p>
    <w:p>
      <w:pPr>
        <w:pStyle w:val="Heading3"/>
        <w:spacing w:line="357" w:lineRule="auto"/>
        <w:ind w:right="1786" w:firstLine="419"/>
        <w:jc w:val="both"/>
      </w:pPr>
      <w:r>
        <w:rPr>
          <w:spacing w:val="-4"/>
          <w:w w:val="100"/>
        </w:rPr>
        <w:t>非同一控制下的企业合并：公司按照购买日确定的合并成本作为长期股权投资的初始投</w:t>
      </w:r>
      <w:r>
        <w:rPr>
          <w:w w:val="100"/>
        </w:rPr>
        <w:t> </w:t>
      </w:r>
      <w:r>
        <w:rPr>
          <w:spacing w:val="-4"/>
        </w:rPr>
        <w:t>资成本。因追加投资等原因能够对非同一控制下的被投资单位实施控制的，按照原持有的股</w:t>
      </w:r>
      <w:r>
        <w:rPr>
          <w:spacing w:val="-40"/>
        </w:rPr>
        <w:t> </w:t>
      </w:r>
      <w:r>
        <w:rPr>
          <w:spacing w:val="-40"/>
        </w:rPr>
      </w:r>
      <w:r>
        <w:rPr/>
        <w:t>权投资账面价值加上新增投资成本之和，作为改按成本法核算的初始投资成本。</w:t>
      </w:r>
    </w:p>
    <w:p>
      <w:pPr>
        <w:pStyle w:val="Heading3"/>
        <w:spacing w:line="357" w:lineRule="auto"/>
        <w:ind w:left="558" w:right="1683"/>
        <w:jc w:val="left"/>
      </w:pPr>
      <w:r>
        <w:rPr/>
        <w:t>②其他方式取得的长期股权投资</w:t>
      </w:r>
      <w:r>
        <w:rPr>
          <w:w w:val="100"/>
        </w:rPr>
        <w:t> </w:t>
      </w:r>
      <w:r>
        <w:rPr/>
        <w:t>以支付现金方式取得的长期股权投资，按照实际支付的购买价款作为初始投资成本。</w:t>
      </w:r>
      <w:r>
        <w:rPr>
          <w:w w:val="100"/>
        </w:rPr>
        <w:t> </w:t>
      </w:r>
      <w:r>
        <w:rPr>
          <w:spacing w:val="-4"/>
          <w:w w:val="100"/>
        </w:rPr>
        <w:t>以发行权益性证券取得的长期股权投资，按照发行权益性证券的公允价值作为初始投资</w:t>
      </w:r>
    </w:p>
    <w:p>
      <w:pPr>
        <w:pStyle w:val="Heading3"/>
        <w:spacing w:line="240" w:lineRule="auto"/>
        <w:ind w:right="0"/>
        <w:jc w:val="both"/>
      </w:pPr>
      <w:r>
        <w:rPr/>
        <w:t>成本。</w:t>
      </w:r>
    </w:p>
    <w:p>
      <w:pPr>
        <w:pStyle w:val="Heading3"/>
        <w:spacing w:line="240" w:lineRule="auto" w:before="133"/>
        <w:ind w:left="558" w:right="1683"/>
        <w:jc w:val="left"/>
      </w:pPr>
      <w:r>
        <w:rPr/>
        <w:t>在非货币性资产交换具备商业实质和换入资产或换出资产的公允价值能够可靠计量的</w:t>
      </w:r>
    </w:p>
    <w:p>
      <w:pPr>
        <w:spacing w:after="0" w:line="240" w:lineRule="auto"/>
        <w:jc w:val="left"/>
        <w:sectPr>
          <w:pgSz w:w="11910" w:h="16840"/>
          <w:pgMar w:header="733" w:footer="977" w:top="960" w:bottom="1160" w:left="1660" w:right="0"/>
        </w:sectPr>
      </w:pPr>
    </w:p>
    <w:p>
      <w:pPr>
        <w:spacing w:line="240" w:lineRule="auto" w:before="0"/>
        <w:rPr>
          <w:rFonts w:ascii="宋体" w:hAnsi="宋体" w:cs="宋体" w:eastAsia="宋体" w:hint="default"/>
          <w:sz w:val="20"/>
          <w:szCs w:val="20"/>
        </w:rPr>
      </w:pPr>
    </w:p>
    <w:p>
      <w:pPr>
        <w:pStyle w:val="Heading3"/>
        <w:spacing w:line="357" w:lineRule="auto" w:before="168"/>
        <w:ind w:right="1786"/>
        <w:jc w:val="both"/>
      </w:pPr>
      <w:r>
        <w:rPr>
          <w:spacing w:val="-4"/>
          <w:w w:val="100"/>
        </w:rPr>
        <w:t>前提下，非货币性资产交换换入的长期股权投资以换出资产的公允价值和应支付的相关税费</w:t>
      </w:r>
      <w:r>
        <w:rPr>
          <w:spacing w:val="-86"/>
          <w:w w:val="100"/>
        </w:rPr>
        <w:t> </w:t>
      </w:r>
      <w:r>
        <w:rPr>
          <w:spacing w:val="-86"/>
          <w:w w:val="100"/>
        </w:rPr>
      </w:r>
      <w:r>
        <w:rPr>
          <w:spacing w:val="-4"/>
        </w:rPr>
        <w:t>确定其初始投资成本，除非有确凿证据表明换入资产的公允价值更加可靠；不满足上述前提</w:t>
      </w:r>
      <w:r>
        <w:rPr>
          <w:spacing w:val="-40"/>
        </w:rPr>
        <w:t> </w:t>
      </w:r>
      <w:r>
        <w:rPr>
          <w:spacing w:val="-40"/>
        </w:rPr>
      </w:r>
      <w:r>
        <w:rPr>
          <w:spacing w:val="-4"/>
          <w:w w:val="100"/>
        </w:rPr>
        <w:t>的非货币性资产交换，以换出资产的账面价值和应支付的相关税费作为换入长期股权投资的</w:t>
      </w:r>
      <w:r>
        <w:rPr>
          <w:spacing w:val="-86"/>
          <w:w w:val="100"/>
        </w:rPr>
        <w:t> </w:t>
      </w:r>
      <w:r>
        <w:rPr>
          <w:spacing w:val="-86"/>
          <w:w w:val="100"/>
        </w:rPr>
      </w:r>
      <w:r>
        <w:rPr/>
        <w:t>初始投资成本。</w:t>
      </w:r>
    </w:p>
    <w:p>
      <w:pPr>
        <w:pStyle w:val="Heading3"/>
        <w:spacing w:line="240" w:lineRule="auto"/>
        <w:ind w:left="558" w:right="1683"/>
        <w:jc w:val="left"/>
      </w:pPr>
      <w:r>
        <w:rPr/>
        <w:t>通过债务重组取得的长期股权投资，其初始投资成本按照公允价值为基础确定。</w:t>
      </w:r>
    </w:p>
    <w:p>
      <w:pPr>
        <w:pStyle w:val="Heading3"/>
        <w:spacing w:line="240" w:lineRule="auto" w:before="133"/>
        <w:ind w:left="558" w:right="1683"/>
        <w:jc w:val="left"/>
      </w:pPr>
      <w:r>
        <w:rPr/>
        <w:t>（</w:t>
      </w:r>
      <w:r>
        <w:rPr>
          <w:rFonts w:ascii="Times New Roman" w:hAnsi="Times New Roman" w:cs="Times New Roman" w:eastAsia="Times New Roman" w:hint="default"/>
        </w:rPr>
        <w:t>3</w:t>
      </w:r>
      <w:r>
        <w:rPr/>
        <w:t>）后续计量及损益确认方法</w:t>
      </w:r>
    </w:p>
    <w:p>
      <w:pPr>
        <w:pStyle w:val="Heading3"/>
        <w:spacing w:line="357" w:lineRule="auto" w:before="117"/>
        <w:ind w:left="558" w:right="1683"/>
        <w:jc w:val="left"/>
      </w:pPr>
      <w:r>
        <w:rPr/>
        <w:t>①成本法核算的长期股权投资</w:t>
      </w:r>
      <w:r>
        <w:rPr>
          <w:w w:val="100"/>
        </w:rPr>
        <w:t> </w:t>
      </w:r>
      <w:r>
        <w:rPr>
          <w:spacing w:val="-4"/>
        </w:rPr>
        <w:t>公司对子公司的长期股权投资，采用成本法核算。除取得投资时实际支付的价款或对价</w:t>
      </w:r>
    </w:p>
    <w:p>
      <w:pPr>
        <w:pStyle w:val="Heading3"/>
        <w:spacing w:line="355" w:lineRule="auto" w:before="31"/>
        <w:ind w:right="1683"/>
        <w:jc w:val="left"/>
      </w:pPr>
      <w:r>
        <w:rPr>
          <w:spacing w:val="-4"/>
          <w:w w:val="100"/>
        </w:rPr>
        <w:t>中包含的已宣告但尚未发放的现金股利或利润外，公司按照享有被投资单位宣告发放的现金</w:t>
      </w:r>
      <w:r>
        <w:rPr>
          <w:spacing w:val="-87"/>
          <w:w w:val="100"/>
        </w:rPr>
        <w:t> </w:t>
      </w:r>
      <w:r>
        <w:rPr>
          <w:spacing w:val="-87"/>
          <w:w w:val="100"/>
        </w:rPr>
      </w:r>
      <w:r>
        <w:rPr/>
        <w:t>股利或利润确认当期投资收益。</w:t>
      </w:r>
    </w:p>
    <w:p>
      <w:pPr>
        <w:pStyle w:val="Heading3"/>
        <w:spacing w:line="355" w:lineRule="auto" w:before="32"/>
        <w:ind w:left="558" w:right="1683"/>
        <w:jc w:val="left"/>
      </w:pPr>
      <w:r>
        <w:rPr/>
        <w:t>②权益法核算的长期股权投资</w:t>
      </w:r>
      <w:r>
        <w:rPr>
          <w:w w:val="100"/>
        </w:rPr>
        <w:t> </w:t>
      </w:r>
      <w:r>
        <w:rPr>
          <w:spacing w:val="-4"/>
        </w:rPr>
        <w:t>对联营企业和合营企业的长期股权投资，采用权益法核算。初始投资成本大于投资时应</w:t>
      </w:r>
    </w:p>
    <w:p>
      <w:pPr>
        <w:pStyle w:val="Heading3"/>
        <w:spacing w:line="355" w:lineRule="auto" w:before="34"/>
        <w:ind w:right="1683"/>
        <w:jc w:val="left"/>
      </w:pPr>
      <w:r>
        <w:rPr>
          <w:spacing w:val="-1"/>
        </w:rPr>
        <w:t>享有被投资单位可辨认净资产公允价值份额的差额，不调整长期股权投资的初始投资成本；</w:t>
      </w:r>
      <w:r>
        <w:rPr>
          <w:spacing w:val="-47"/>
        </w:rPr>
        <w:t> </w:t>
      </w:r>
      <w:r>
        <w:rPr>
          <w:spacing w:val="-47"/>
        </w:rPr>
      </w:r>
      <w:r>
        <w:rPr>
          <w:spacing w:val="-4"/>
          <w:w w:val="100"/>
        </w:rPr>
        <w:t>初始投资成本小于投资时应享有被投资单位可辨认净资产公允价值份额的差额，计入当期损</w:t>
      </w:r>
      <w:r>
        <w:rPr>
          <w:spacing w:val="-86"/>
          <w:w w:val="100"/>
        </w:rPr>
        <w:t> </w:t>
      </w:r>
      <w:r>
        <w:rPr>
          <w:spacing w:val="-86"/>
          <w:w w:val="100"/>
        </w:rPr>
      </w:r>
      <w:r>
        <w:rPr/>
        <w:t>益。</w:t>
      </w:r>
    </w:p>
    <w:p>
      <w:pPr>
        <w:pStyle w:val="Heading3"/>
        <w:spacing w:line="357" w:lineRule="auto" w:before="32"/>
        <w:ind w:right="1786" w:firstLine="419"/>
        <w:jc w:val="both"/>
      </w:pPr>
      <w:r>
        <w:rPr>
          <w:spacing w:val="-4"/>
          <w:w w:val="100"/>
        </w:rPr>
        <w:t>公司按照应享有或应分担的被投资单位实现的净损益和其他综合收益的份额，分别确认</w:t>
      </w:r>
      <w:r>
        <w:rPr>
          <w:w w:val="100"/>
        </w:rPr>
        <w:t> </w:t>
      </w:r>
      <w:r>
        <w:rPr>
          <w:spacing w:val="-4"/>
        </w:rPr>
        <w:t>投资收益和其他综合收益，同时调整长期股权投资的账面价值；按照被投资单位宣告分派的</w:t>
      </w:r>
      <w:r>
        <w:rPr>
          <w:spacing w:val="-41"/>
        </w:rPr>
        <w:t> </w:t>
      </w:r>
      <w:r>
        <w:rPr>
          <w:spacing w:val="-41"/>
        </w:rPr>
      </w:r>
      <w:r>
        <w:rPr>
          <w:spacing w:val="-4"/>
        </w:rPr>
        <w:t>利润或现金股利计算应享有的部分，相应减少长期股权投资的账面价值；对于被投资单位除</w:t>
      </w:r>
      <w:r>
        <w:rPr>
          <w:spacing w:val="-41"/>
        </w:rPr>
        <w:t> </w:t>
      </w:r>
      <w:r>
        <w:rPr>
          <w:spacing w:val="-41"/>
        </w:rPr>
      </w:r>
      <w:r>
        <w:rPr>
          <w:spacing w:val="-4"/>
        </w:rPr>
        <w:t>净损益、其他综合收益和利润分配以外所有者权益的其他变动，调整长期股权投资的账面价</w:t>
      </w:r>
      <w:r>
        <w:rPr>
          <w:spacing w:val="-40"/>
        </w:rPr>
        <w:t> </w:t>
      </w:r>
      <w:r>
        <w:rPr>
          <w:spacing w:val="-40"/>
        </w:rPr>
      </w:r>
      <w:r>
        <w:rPr/>
        <w:t>值并计入所有者权益。</w:t>
      </w:r>
    </w:p>
    <w:p>
      <w:pPr>
        <w:pStyle w:val="Heading3"/>
        <w:spacing w:line="357" w:lineRule="auto"/>
        <w:ind w:right="1683" w:firstLine="419"/>
        <w:jc w:val="left"/>
      </w:pPr>
      <w:r>
        <w:rPr>
          <w:spacing w:val="-4"/>
          <w:w w:val="100"/>
        </w:rPr>
        <w:t>在确认应享有被投资单位净损益的份额时，以取得投资时被投资单位可辨认净资产的公</w:t>
      </w:r>
      <w:r>
        <w:rPr>
          <w:w w:val="100"/>
        </w:rPr>
        <w:t> </w:t>
      </w:r>
      <w:r>
        <w:rPr>
          <w:spacing w:val="-7"/>
          <w:w w:val="100"/>
        </w:rPr>
        <w:t>允价值为基础，并按照公司的会计政策及会计期间，对被投资单位的净利润进行调整后确认。</w:t>
      </w:r>
      <w:r>
        <w:rPr>
          <w:spacing w:val="-68"/>
          <w:w w:val="100"/>
        </w:rPr>
        <w:t> </w:t>
      </w:r>
      <w:r>
        <w:rPr>
          <w:spacing w:val="-68"/>
          <w:w w:val="100"/>
        </w:rPr>
      </w:r>
      <w:r>
        <w:rPr>
          <w:spacing w:val="-4"/>
        </w:rPr>
        <w:t>在持有投资期间，被投资单位编制合并财务报表的，以合并财务报表中的净利润、其他综合</w:t>
      </w:r>
      <w:r>
        <w:rPr>
          <w:spacing w:val="-44"/>
        </w:rPr>
        <w:t> </w:t>
      </w:r>
      <w:r>
        <w:rPr>
          <w:spacing w:val="-44"/>
        </w:rPr>
      </w:r>
      <w:r>
        <w:rPr/>
        <w:t>收益和其他所有者权益变动中归属于被投资单位的金额为基础进行核算。</w:t>
      </w:r>
    </w:p>
    <w:p>
      <w:pPr>
        <w:pStyle w:val="Heading3"/>
        <w:spacing w:line="352" w:lineRule="auto" w:before="31"/>
        <w:ind w:right="1786" w:firstLine="419"/>
        <w:jc w:val="both"/>
      </w:pPr>
      <w:r>
        <w:rPr>
          <w:spacing w:val="-4"/>
          <w:w w:val="100"/>
        </w:rPr>
        <w:t>公司与联营企业、合营企业之间发生的未实现内部交易损益按照应享有的比例计算归属</w:t>
      </w:r>
      <w:r>
        <w:rPr>
          <w:w w:val="100"/>
        </w:rPr>
        <w:t> </w:t>
      </w:r>
      <w:r>
        <w:rPr>
          <w:spacing w:val="-4"/>
        </w:rPr>
        <w:t>于公司的部分，予以抵销，在此基础上确认投资收益。与被投资单位发生的未实现内部交易</w:t>
      </w:r>
      <w:r>
        <w:rPr>
          <w:spacing w:val="-44"/>
        </w:rPr>
        <w:t> </w:t>
      </w:r>
      <w:r>
        <w:rPr>
          <w:spacing w:val="-44"/>
        </w:rPr>
      </w:r>
      <w:r>
        <w:rPr>
          <w:spacing w:val="-4"/>
        </w:rPr>
        <w:t>损失，属于资产减值损失的，全额确认。公司与联营企业、合营企业之间发生投出或出售资</w:t>
      </w:r>
      <w:r>
        <w:rPr>
          <w:spacing w:val="-39"/>
        </w:rPr>
        <w:t> </w:t>
      </w:r>
      <w:r>
        <w:rPr>
          <w:spacing w:val="-39"/>
        </w:rPr>
      </w:r>
      <w:r>
        <w:rPr>
          <w:spacing w:val="-3"/>
        </w:rPr>
        <w:t>产的交易，该资产构成业务的，按照本附注“五、</w:t>
      </w:r>
      <w:r>
        <w:rPr>
          <w:rFonts w:ascii="Times New Roman" w:hAnsi="Times New Roman" w:cs="Times New Roman" w:eastAsia="Times New Roman" w:hint="default"/>
          <w:spacing w:val="-3"/>
        </w:rPr>
        <w:t>5</w:t>
      </w:r>
      <w:r>
        <w:rPr>
          <w:rFonts w:ascii="Times New Roman" w:hAnsi="Times New Roman" w:cs="Times New Roman" w:eastAsia="Times New Roman" w:hint="default"/>
          <w:spacing w:val="20"/>
        </w:rPr>
        <w:t> </w:t>
      </w:r>
      <w:r>
        <w:rPr/>
        <w:t>同一控制下和非同一控制下企业合并的</w:t>
      </w:r>
      <w:r>
        <w:rPr>
          <w:spacing w:val="-97"/>
        </w:rPr>
        <w:t> </w:t>
      </w:r>
      <w:r>
        <w:rPr>
          <w:spacing w:val="-97"/>
        </w:rPr>
      </w:r>
      <w:r>
        <w:rPr>
          <w:spacing w:val="-2"/>
        </w:rPr>
        <w:t>会计处理方法”和“五、</w:t>
      </w:r>
      <w:r>
        <w:rPr>
          <w:rFonts w:ascii="Times New Roman" w:hAnsi="Times New Roman" w:cs="Times New Roman" w:eastAsia="Times New Roman" w:hint="default"/>
          <w:spacing w:val="-2"/>
        </w:rPr>
        <w:t>6</w:t>
      </w:r>
      <w:r>
        <w:rPr>
          <w:rFonts w:ascii="Times New Roman" w:hAnsi="Times New Roman" w:cs="Times New Roman" w:eastAsia="Times New Roman" w:hint="default"/>
        </w:rPr>
        <w:t> </w:t>
      </w:r>
      <w:r>
        <w:rPr>
          <w:rFonts w:ascii="Times New Roman" w:hAnsi="Times New Roman" w:cs="Times New Roman" w:eastAsia="Times New Roman" w:hint="default"/>
          <w:spacing w:val="20"/>
        </w:rPr>
        <w:t> </w:t>
      </w:r>
      <w:r>
        <w:rPr>
          <w:spacing w:val="-2"/>
        </w:rPr>
        <w:t>合并财务报表的编制方法”中披露的相关政策进行会计处理。</w:t>
      </w:r>
    </w:p>
    <w:p>
      <w:pPr>
        <w:pStyle w:val="Heading3"/>
        <w:spacing w:line="357" w:lineRule="auto" w:before="8"/>
        <w:ind w:right="1786" w:firstLine="419"/>
        <w:jc w:val="both"/>
      </w:pPr>
      <w:r>
        <w:rPr>
          <w:spacing w:val="-4"/>
        </w:rPr>
        <w:t>在公司确认应分担被投资单位发生的亏损时，按照以下顺序进行处理：首先，冲减长期</w:t>
      </w:r>
      <w:r>
        <w:rPr>
          <w:w w:val="100"/>
        </w:rPr>
        <w:t> </w:t>
      </w:r>
      <w:r>
        <w:rPr>
          <w:spacing w:val="-4"/>
        </w:rPr>
        <w:t>股权投资的账面价值。其次，长期股权投资的账面价值不足以冲减的，以其他实质上构成对</w:t>
      </w:r>
      <w:r>
        <w:rPr>
          <w:spacing w:val="-44"/>
        </w:rPr>
        <w:t> </w:t>
      </w:r>
      <w:r>
        <w:rPr>
          <w:spacing w:val="-44"/>
        </w:rPr>
      </w:r>
      <w:r>
        <w:rPr>
          <w:spacing w:val="-4"/>
          <w:w w:val="100"/>
        </w:rPr>
        <w:t>被投资单位净投资的长期权益账面价值为限继续确认投资损失，冲减长期应收项目等的账面</w:t>
      </w:r>
      <w:r>
        <w:rPr>
          <w:spacing w:val="-86"/>
          <w:w w:val="100"/>
        </w:rPr>
        <w:t> </w:t>
      </w:r>
      <w:r>
        <w:rPr>
          <w:spacing w:val="-86"/>
          <w:w w:val="100"/>
        </w:rPr>
      </w:r>
      <w:r>
        <w:rPr>
          <w:spacing w:val="-4"/>
        </w:rPr>
        <w:t>价值。最后，经过上述处理，按照投资合同或协议约定企业仍承担额外义务的，按预计承担</w:t>
      </w:r>
      <w:r>
        <w:rPr>
          <w:spacing w:val="-42"/>
        </w:rPr>
        <w:t> </w:t>
      </w:r>
      <w:r>
        <w:rPr>
          <w:spacing w:val="-42"/>
        </w:rPr>
      </w:r>
      <w:r>
        <w:rPr/>
        <w:t>的义务确认预计负债，计入当期投资损失。</w:t>
      </w:r>
    </w:p>
    <w:p>
      <w:pPr>
        <w:spacing w:after="0" w:line="357" w:lineRule="auto"/>
        <w:jc w:val="both"/>
        <w:sectPr>
          <w:pgSz w:w="11910" w:h="16840"/>
          <w:pgMar w:header="733" w:footer="977" w:top="960" w:bottom="1160" w:left="1660" w:right="0"/>
        </w:sectPr>
      </w:pPr>
    </w:p>
    <w:p>
      <w:pPr>
        <w:spacing w:line="240" w:lineRule="auto" w:before="0"/>
        <w:rPr>
          <w:rFonts w:ascii="宋体" w:hAnsi="宋体" w:cs="宋体" w:eastAsia="宋体" w:hint="default"/>
          <w:sz w:val="20"/>
          <w:szCs w:val="20"/>
        </w:rPr>
      </w:pPr>
    </w:p>
    <w:p>
      <w:pPr>
        <w:pStyle w:val="Heading3"/>
        <w:spacing w:line="355" w:lineRule="auto" w:before="168"/>
        <w:ind w:left="558" w:right="1683"/>
        <w:jc w:val="left"/>
      </w:pPr>
      <w:r>
        <w:rPr/>
        <w:t>③长期股权投资的处置</w:t>
      </w:r>
      <w:r>
        <w:rPr>
          <w:w w:val="100"/>
        </w:rPr>
        <w:t> </w:t>
      </w:r>
      <w:r>
        <w:rPr/>
        <w:t>处置长期股权投资，其账面价值与实际取得价款的差额，计入当期损益。</w:t>
      </w:r>
      <w:r>
        <w:rPr>
          <w:w w:val="100"/>
        </w:rPr>
        <w:t> </w:t>
      </w:r>
      <w:r>
        <w:rPr>
          <w:spacing w:val="-4"/>
        </w:rPr>
        <w:t>采用权益法核算的长期股权投资，在处置该项投资时，采用与被投资单位直接处置相关</w:t>
      </w:r>
    </w:p>
    <w:p>
      <w:pPr>
        <w:pStyle w:val="Heading3"/>
        <w:spacing w:line="355" w:lineRule="auto" w:before="34"/>
        <w:ind w:right="1683"/>
        <w:jc w:val="left"/>
      </w:pPr>
      <w:r>
        <w:rPr>
          <w:spacing w:val="-4"/>
        </w:rPr>
        <w:t>资产或负债相同的基础，按相应比例对原计入其他综合收益的部分进行会计处理。因被投资</w:t>
      </w:r>
      <w:r>
        <w:rPr>
          <w:spacing w:val="-41"/>
        </w:rPr>
        <w:t> </w:t>
      </w:r>
      <w:r>
        <w:rPr>
          <w:spacing w:val="-41"/>
        </w:rPr>
      </w:r>
      <w:r>
        <w:rPr>
          <w:spacing w:val="-1"/>
        </w:rPr>
        <w:t>单位除净损益、其他综合收益和利润分配以外的其他所有者权益变动而确认的所有者权益，</w:t>
      </w:r>
      <w:r>
        <w:rPr>
          <w:spacing w:val="-47"/>
        </w:rPr>
        <w:t> </w:t>
      </w:r>
      <w:r>
        <w:rPr>
          <w:spacing w:val="-47"/>
        </w:rPr>
      </w:r>
      <w:r>
        <w:rPr>
          <w:spacing w:val="-4"/>
          <w:w w:val="100"/>
        </w:rPr>
        <w:t>按比例结转入当期损益，由于被投资方重新计量设定受益计划净负债或净资产变动而产生的</w:t>
      </w:r>
      <w:r>
        <w:rPr>
          <w:spacing w:val="-87"/>
          <w:w w:val="100"/>
        </w:rPr>
        <w:t> </w:t>
      </w:r>
      <w:r>
        <w:rPr>
          <w:spacing w:val="-87"/>
          <w:w w:val="100"/>
        </w:rPr>
      </w:r>
      <w:r>
        <w:rPr/>
        <w:t>其他综合收益除外。</w:t>
      </w:r>
    </w:p>
    <w:p>
      <w:pPr>
        <w:pStyle w:val="Heading3"/>
        <w:spacing w:line="357" w:lineRule="auto" w:before="34"/>
        <w:ind w:right="1683" w:firstLine="419"/>
        <w:jc w:val="left"/>
      </w:pPr>
      <w:r>
        <w:rPr>
          <w:spacing w:val="-4"/>
          <w:w w:val="100"/>
        </w:rPr>
        <w:t>因处置部分股权投资等原因丧失了对被投资单位的共同控制或重大影响的，处置后的剩</w:t>
      </w:r>
      <w:r>
        <w:rPr>
          <w:w w:val="100"/>
        </w:rPr>
        <w:t> </w:t>
      </w:r>
      <w:r>
        <w:rPr>
          <w:spacing w:val="-4"/>
          <w:w w:val="100"/>
        </w:rPr>
        <w:t>余股权改按金融工具确认和计量准则核算，其在丧失共同控制或重大影响之日的公允价值与</w:t>
      </w:r>
      <w:r>
        <w:rPr>
          <w:spacing w:val="-87"/>
          <w:w w:val="100"/>
        </w:rPr>
        <w:t> </w:t>
      </w:r>
      <w:r>
        <w:rPr>
          <w:spacing w:val="-87"/>
          <w:w w:val="100"/>
        </w:rPr>
      </w:r>
      <w:r>
        <w:rPr>
          <w:spacing w:val="-1"/>
        </w:rPr>
        <w:t>账面价值之间的差额计入当期损益。原股权投资因采用权益法核算而确认的其他综合收益，</w:t>
      </w:r>
      <w:r>
        <w:rPr>
          <w:spacing w:val="-47"/>
        </w:rPr>
        <w:t> </w:t>
      </w:r>
      <w:r>
        <w:rPr>
          <w:spacing w:val="-47"/>
        </w:rPr>
      </w:r>
      <w:r>
        <w:rPr/>
        <w:t>在终止采用权益法核算时采用与被投资单位直接处置相关资产或负债相同的基础进行会计</w:t>
      </w:r>
      <w:r>
        <w:rPr>
          <w:spacing w:val="7"/>
        </w:rPr>
        <w:t> </w:t>
      </w:r>
      <w:r>
        <w:rPr>
          <w:spacing w:val="7"/>
        </w:rPr>
      </w:r>
      <w:r>
        <w:rPr>
          <w:spacing w:val="-4"/>
        </w:rPr>
        <w:t>处理。因被投资方除净损益、其他综合收益和利润分配以外的其他所有者权益变动而确认的</w:t>
      </w:r>
      <w:r>
        <w:rPr>
          <w:spacing w:val="-41"/>
        </w:rPr>
        <w:t> </w:t>
      </w:r>
      <w:r>
        <w:rPr>
          <w:spacing w:val="-41"/>
        </w:rPr>
      </w:r>
      <w:r>
        <w:rPr/>
        <w:t>所有者权益，在终止采用权益法核算时全部转入当期损益。</w:t>
      </w:r>
    </w:p>
    <w:p>
      <w:pPr>
        <w:pStyle w:val="Heading3"/>
        <w:spacing w:line="357" w:lineRule="auto"/>
        <w:ind w:right="1786" w:firstLine="419"/>
        <w:jc w:val="both"/>
      </w:pPr>
      <w:r>
        <w:rPr>
          <w:spacing w:val="-4"/>
        </w:rPr>
        <w:t>因处置部分股权投资等原因丧失了对被投资单位控制权的，在编制个别财务报表时，处</w:t>
      </w:r>
      <w:r>
        <w:rPr>
          <w:w w:val="100"/>
        </w:rPr>
        <w:t> </w:t>
      </w:r>
      <w:r>
        <w:rPr>
          <w:spacing w:val="-4"/>
        </w:rPr>
        <w:t>置后的剩余股权能够对被投资单位实施共同控制或重大影响的，改按权益法核算，并对该剩</w:t>
      </w:r>
      <w:r>
        <w:rPr>
          <w:spacing w:val="-41"/>
        </w:rPr>
        <w:t> </w:t>
      </w:r>
      <w:r>
        <w:rPr>
          <w:spacing w:val="-41"/>
        </w:rPr>
      </w:r>
      <w:r>
        <w:rPr>
          <w:spacing w:val="-4"/>
          <w:w w:val="100"/>
        </w:rPr>
        <w:t>余股权视同自取得时即采用权益法核算进行调整；处置后的剩余股权不能对被投资单位实施</w:t>
      </w:r>
      <w:r>
        <w:rPr>
          <w:spacing w:val="-88"/>
          <w:w w:val="100"/>
        </w:rPr>
        <w:t> </w:t>
      </w:r>
      <w:r>
        <w:rPr>
          <w:spacing w:val="-88"/>
          <w:w w:val="100"/>
        </w:rPr>
      </w:r>
      <w:r>
        <w:rPr>
          <w:spacing w:val="-4"/>
        </w:rPr>
        <w:t>共同控制或施加重大影响的，改按金融工具确认和计量准则的有关规定进行会计处理，其在</w:t>
      </w:r>
      <w:r>
        <w:rPr>
          <w:spacing w:val="-41"/>
        </w:rPr>
        <w:t> </w:t>
      </w:r>
      <w:r>
        <w:rPr>
          <w:spacing w:val="-41"/>
        </w:rPr>
      </w:r>
      <w:r>
        <w:rPr/>
        <w:t>丧失控制之日的公允价值与账面价值间的差额计入当期损益。</w:t>
      </w:r>
    </w:p>
    <w:p>
      <w:pPr>
        <w:pStyle w:val="Heading3"/>
        <w:spacing w:line="357" w:lineRule="auto"/>
        <w:ind w:right="1786" w:firstLine="419"/>
        <w:jc w:val="both"/>
      </w:pPr>
      <w:r>
        <w:rPr>
          <w:spacing w:val="-4"/>
        </w:rPr>
        <w:t>处置的股权是因追加投资等原因通过企业合并取得的，在编制个别财务报表时，处置后</w:t>
      </w:r>
      <w:r>
        <w:rPr>
          <w:w w:val="100"/>
        </w:rPr>
        <w:t> </w:t>
      </w:r>
      <w:r>
        <w:rPr>
          <w:spacing w:val="-4"/>
          <w:w w:val="100"/>
        </w:rPr>
        <w:t>的剩余股权采用成本法或权益法核算的，购买日之前持有的股权投资因采用权益法核算而确</w:t>
      </w:r>
      <w:r>
        <w:rPr>
          <w:spacing w:val="-87"/>
          <w:w w:val="100"/>
        </w:rPr>
        <w:t> </w:t>
      </w:r>
      <w:r>
        <w:rPr>
          <w:spacing w:val="-87"/>
          <w:w w:val="100"/>
        </w:rPr>
      </w:r>
      <w:r>
        <w:rPr>
          <w:spacing w:val="-4"/>
          <w:w w:val="100"/>
        </w:rPr>
        <w:t>认的其他综合收益和其他所有者权益按比例结转；处置后的剩余股权改按金融工具确认和计</w:t>
      </w:r>
      <w:r>
        <w:rPr>
          <w:spacing w:val="-87"/>
          <w:w w:val="100"/>
        </w:rPr>
        <w:t> </w:t>
      </w:r>
      <w:r>
        <w:rPr>
          <w:spacing w:val="-87"/>
          <w:w w:val="100"/>
        </w:rPr>
      </w:r>
      <w:r>
        <w:rPr/>
        <w:t>量准则进行会计处理的，其他综合收益和其他所有者权益全部结转。</w:t>
      </w:r>
    </w:p>
    <w:p>
      <w:pPr>
        <w:spacing w:before="32"/>
        <w:ind w:left="138" w:right="1683"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15</w:t>
      </w:r>
      <w:r>
        <w:rPr>
          <w:rFonts w:ascii="宋体" w:hAnsi="宋体" w:cs="宋体" w:eastAsia="宋体" w:hint="default"/>
          <w:b/>
          <w:bCs/>
          <w:sz w:val="20"/>
          <w:szCs w:val="20"/>
        </w:rPr>
        <w:t>、投资性房地产</w:t>
      </w:r>
      <w:r>
        <w:rPr>
          <w:rFonts w:ascii="宋体" w:hAnsi="宋体" w:cs="宋体" w:eastAsia="宋体" w:hint="default"/>
          <w:sz w:val="20"/>
          <w:szCs w:val="20"/>
        </w:rPr>
      </w:r>
    </w:p>
    <w:p>
      <w:pPr>
        <w:pStyle w:val="Heading3"/>
        <w:spacing w:line="357" w:lineRule="auto" w:before="114"/>
        <w:ind w:right="1789" w:firstLine="419"/>
        <w:jc w:val="both"/>
      </w:pPr>
      <w:r>
        <w:rPr>
          <w:spacing w:val="-4"/>
        </w:rPr>
        <w:t>投资性房地产是指为赚取租金或资本增值，或两者兼有而持有的房地产，包括已出租的</w:t>
      </w:r>
      <w:r>
        <w:rPr>
          <w:w w:val="100"/>
        </w:rPr>
        <w:t> </w:t>
      </w:r>
      <w:r>
        <w:rPr>
          <w:spacing w:val="-4"/>
        </w:rPr>
        <w:t>土地使用权、持有并准备增值后转让的土地使用权、已出租的建筑物（含自行建造或开发活</w:t>
      </w:r>
      <w:r>
        <w:rPr>
          <w:spacing w:val="-41"/>
        </w:rPr>
        <w:t> </w:t>
      </w:r>
      <w:r>
        <w:rPr>
          <w:spacing w:val="-41"/>
        </w:rPr>
      </w:r>
      <w:r>
        <w:rPr/>
        <w:t>动完成后用于出租的建筑物以及正在建造或开发过程中将来用于出租的建筑物）。</w:t>
      </w:r>
    </w:p>
    <w:p>
      <w:pPr>
        <w:pStyle w:val="Heading3"/>
        <w:spacing w:line="357" w:lineRule="auto"/>
        <w:ind w:right="1786" w:firstLine="419"/>
        <w:jc w:val="both"/>
      </w:pPr>
      <w:r>
        <w:rPr>
          <w:spacing w:val="-4"/>
          <w:w w:val="100"/>
        </w:rPr>
        <w:t>公司对现有投资性房地产采用成本模式计量。对按照成本模式计量的投资性房地产－出</w:t>
      </w:r>
      <w:r>
        <w:rPr>
          <w:w w:val="100"/>
        </w:rPr>
        <w:t> </w:t>
      </w:r>
      <w:r>
        <w:rPr>
          <w:spacing w:val="-4"/>
          <w:w w:val="100"/>
        </w:rPr>
        <w:t>租用建筑物采用与本公司固定资产相同的折旧政策，出租用土地使用权按与无形资产相同的</w:t>
      </w:r>
      <w:r>
        <w:rPr>
          <w:spacing w:val="-86"/>
          <w:w w:val="100"/>
        </w:rPr>
        <w:t> </w:t>
      </w:r>
      <w:r>
        <w:rPr>
          <w:spacing w:val="-86"/>
          <w:w w:val="100"/>
        </w:rPr>
      </w:r>
      <w:r>
        <w:rPr/>
        <w:t>摊销政策执行。</w:t>
      </w:r>
    </w:p>
    <w:p>
      <w:pPr>
        <w:spacing w:before="32"/>
        <w:ind w:left="138" w:right="1683"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16</w:t>
      </w:r>
      <w:r>
        <w:rPr>
          <w:rFonts w:ascii="宋体" w:hAnsi="宋体" w:cs="宋体" w:eastAsia="宋体" w:hint="default"/>
          <w:b/>
          <w:bCs/>
          <w:sz w:val="20"/>
          <w:szCs w:val="20"/>
        </w:rPr>
        <w:t>、固定资产</w:t>
      </w:r>
      <w:r>
        <w:rPr>
          <w:rFonts w:ascii="宋体" w:hAnsi="宋体" w:cs="宋体" w:eastAsia="宋体" w:hint="default"/>
          <w:sz w:val="20"/>
          <w:szCs w:val="20"/>
        </w:rPr>
      </w:r>
    </w:p>
    <w:p>
      <w:pPr>
        <w:pStyle w:val="Heading4"/>
        <w:spacing w:line="240" w:lineRule="auto" w:before="116"/>
        <w:ind w:left="138" w:right="1683"/>
        <w:jc w:val="left"/>
        <w:rPr>
          <w:b w:val="0"/>
          <w:bCs w:val="0"/>
        </w:rPr>
      </w:pPr>
      <w:r>
        <w:rPr/>
        <w:t>（</w:t>
      </w:r>
      <w:r>
        <w:rPr>
          <w:rFonts w:ascii="Times New Roman" w:hAnsi="Times New Roman" w:cs="Times New Roman" w:eastAsia="Times New Roman" w:hint="default"/>
          <w:sz w:val="18"/>
          <w:szCs w:val="18"/>
        </w:rPr>
        <w:t>1</w:t>
      </w:r>
      <w:r>
        <w:rPr/>
        <w:t>）确认条件</w:t>
      </w:r>
      <w:r>
        <w:rPr>
          <w:b w:val="0"/>
          <w:bCs w:val="0"/>
        </w:rPr>
      </w:r>
    </w:p>
    <w:p>
      <w:pPr>
        <w:pStyle w:val="Heading3"/>
        <w:spacing w:line="357" w:lineRule="auto" w:before="114"/>
        <w:ind w:right="1791" w:firstLine="419"/>
        <w:jc w:val="both"/>
      </w:pPr>
      <w:r>
        <w:rPr>
          <w:spacing w:val="-4"/>
        </w:rPr>
        <w:t>固定资产指为生产商品、提供劳务、出租或经营管理而持有，并且使用寿命超过一个会</w:t>
      </w:r>
      <w:r>
        <w:rPr>
          <w:w w:val="100"/>
        </w:rPr>
        <w:t> </w:t>
      </w:r>
      <w:r>
        <w:rPr/>
        <w:t>计年度的有形资产。固定资产在同时满足下列条件时予以确认：</w:t>
      </w:r>
    </w:p>
    <w:p>
      <w:pPr>
        <w:pStyle w:val="Heading3"/>
        <w:spacing w:line="240" w:lineRule="auto"/>
        <w:ind w:left="558" w:right="1683"/>
        <w:jc w:val="left"/>
      </w:pPr>
      <w:r>
        <w:rPr/>
        <w:t>①与该固定资产有关的经济利益很可能流入企业。</w:t>
      </w:r>
    </w:p>
    <w:p>
      <w:pPr>
        <w:spacing w:after="0" w:line="240" w:lineRule="auto"/>
        <w:jc w:val="left"/>
        <w:sectPr>
          <w:pgSz w:w="11910" w:h="16840"/>
          <w:pgMar w:header="733" w:footer="977" w:top="960" w:bottom="1160" w:left="1660" w:right="0"/>
        </w:sectPr>
      </w:pPr>
    </w:p>
    <w:p>
      <w:pPr>
        <w:spacing w:line="240" w:lineRule="auto" w:before="0"/>
        <w:rPr>
          <w:rFonts w:ascii="宋体" w:hAnsi="宋体" w:cs="宋体" w:eastAsia="宋体" w:hint="default"/>
          <w:sz w:val="20"/>
          <w:szCs w:val="20"/>
        </w:rPr>
      </w:pPr>
    </w:p>
    <w:p>
      <w:pPr>
        <w:pStyle w:val="Heading3"/>
        <w:spacing w:line="240" w:lineRule="auto" w:before="168"/>
        <w:ind w:left="558" w:right="1683"/>
        <w:jc w:val="left"/>
      </w:pPr>
      <w:r>
        <w:rPr/>
        <w:t>②该固定资产的成本能够可靠地计量。</w:t>
      </w:r>
    </w:p>
    <w:p>
      <w:pPr>
        <w:pStyle w:val="Heading4"/>
        <w:spacing w:line="240" w:lineRule="auto" w:before="135"/>
        <w:ind w:left="138" w:right="1683"/>
        <w:jc w:val="left"/>
        <w:rPr>
          <w:b w:val="0"/>
          <w:bCs w:val="0"/>
        </w:rPr>
      </w:pPr>
      <w:r>
        <w:rPr/>
        <w:t>（</w:t>
      </w:r>
      <w:r>
        <w:rPr>
          <w:rFonts w:ascii="Times New Roman" w:hAnsi="Times New Roman" w:cs="Times New Roman" w:eastAsia="Times New Roman" w:hint="default"/>
          <w:sz w:val="18"/>
          <w:szCs w:val="18"/>
        </w:rPr>
        <w:t>2</w:t>
      </w:r>
      <w:r>
        <w:rPr/>
        <w:t>）折旧方法</w:t>
      </w:r>
      <w:r>
        <w:rPr>
          <w:b w:val="0"/>
          <w:bCs w:val="0"/>
        </w:rPr>
      </w:r>
    </w:p>
    <w:p>
      <w:pPr>
        <w:pStyle w:val="Heading3"/>
        <w:spacing w:line="357" w:lineRule="auto" w:before="114"/>
        <w:ind w:right="1786" w:firstLine="419"/>
        <w:jc w:val="both"/>
      </w:pPr>
      <w:r>
        <w:rPr>
          <w:spacing w:val="-4"/>
        </w:rPr>
        <w:t>固定资产折旧采用年限平均法分类计提，根据固定资产类别、预计使用寿命和预计净残</w:t>
      </w:r>
      <w:r>
        <w:rPr>
          <w:w w:val="100"/>
        </w:rPr>
        <w:t> </w:t>
      </w:r>
      <w:r>
        <w:rPr>
          <w:spacing w:val="-4"/>
          <w:w w:val="100"/>
        </w:rPr>
        <w:t>值率确定折旧率。如固定资产各组成部分的使用寿命不同或者以不同方式为企业提供经济利</w:t>
      </w:r>
      <w:r>
        <w:rPr>
          <w:spacing w:val="-86"/>
          <w:w w:val="100"/>
        </w:rPr>
        <w:t> </w:t>
      </w:r>
      <w:r>
        <w:rPr>
          <w:spacing w:val="-86"/>
          <w:w w:val="100"/>
        </w:rPr>
      </w:r>
      <w:r>
        <w:rPr/>
        <w:t>益，则选择不同折旧率或折旧方法，分别计提折旧。</w:t>
      </w:r>
    </w:p>
    <w:p>
      <w:pPr>
        <w:pStyle w:val="Heading3"/>
        <w:spacing w:line="355" w:lineRule="auto"/>
        <w:ind w:right="1683" w:firstLine="419"/>
        <w:jc w:val="left"/>
      </w:pPr>
      <w:r>
        <w:rPr>
          <w:spacing w:val="-1"/>
        </w:rPr>
        <w:t>融资租赁方式租入的固定资产，能合理确定租赁期届满时将会取得租赁资产所有权的，</w:t>
      </w:r>
      <w:r>
        <w:rPr>
          <w:w w:val="100"/>
        </w:rPr>
        <w:t> </w:t>
      </w:r>
      <w:r>
        <w:rPr>
          <w:spacing w:val="-4"/>
          <w:w w:val="100"/>
        </w:rPr>
        <w:t>在租赁资产尚可使用年限内计提折旧；无法合理确定租赁期届满时能够取得租赁资产所有权</w:t>
      </w:r>
      <w:r>
        <w:rPr>
          <w:spacing w:val="-86"/>
          <w:w w:val="100"/>
        </w:rPr>
        <w:t> </w:t>
      </w:r>
      <w:r>
        <w:rPr>
          <w:spacing w:val="-86"/>
          <w:w w:val="100"/>
        </w:rPr>
      </w:r>
      <w:r>
        <w:rPr/>
        <w:t>的，在租赁期与租赁资产尚可使用年限两者中较短的期间内计提折旧。</w:t>
      </w:r>
    </w:p>
    <w:p>
      <w:pPr>
        <w:pStyle w:val="Heading3"/>
        <w:spacing w:line="240" w:lineRule="auto" w:before="35"/>
        <w:ind w:left="558" w:right="1683"/>
        <w:jc w:val="left"/>
      </w:pPr>
      <w:r>
        <w:rPr/>
        <w:t>各类固定资产折旧年限和年折旧率如下：</w:t>
      </w:r>
    </w:p>
    <w:p>
      <w:pPr>
        <w:spacing w:line="240" w:lineRule="auto" w:before="10"/>
        <w:rPr>
          <w:rFonts w:ascii="宋体" w:hAnsi="宋体" w:cs="宋体" w:eastAsia="宋体"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1915"/>
        <w:gridCol w:w="1913"/>
        <w:gridCol w:w="1916"/>
        <w:gridCol w:w="1913"/>
        <w:gridCol w:w="1915"/>
      </w:tblGrid>
      <w:tr>
        <w:trPr>
          <w:trHeight w:val="360"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1"/>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360"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center"/>
              <w:rPr>
                <w:rFonts w:ascii="Times New Roman" w:hAnsi="Times New Roman" w:cs="Times New Roman" w:eastAsia="Times New Roman" w:hint="default"/>
                <w:sz w:val="18"/>
                <w:szCs w:val="18"/>
              </w:rPr>
            </w:pPr>
            <w:r>
              <w:rPr>
                <w:rFonts w:ascii="Times New Roman"/>
                <w:sz w:val="18"/>
              </w:rPr>
              <w:t>2.71%</w:t>
            </w:r>
          </w:p>
        </w:tc>
      </w:tr>
      <w:tr>
        <w:trPr>
          <w:trHeight w:val="360"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7-10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center"/>
              <w:rPr>
                <w:rFonts w:ascii="Times New Roman" w:hAnsi="Times New Roman" w:cs="Times New Roman" w:eastAsia="Times New Roman" w:hint="default"/>
                <w:sz w:val="18"/>
                <w:szCs w:val="18"/>
              </w:rPr>
            </w:pPr>
            <w:r>
              <w:rPr>
                <w:rFonts w:ascii="Times New Roman"/>
                <w:sz w:val="18"/>
              </w:rPr>
              <w:t>13.57%-9.50%</w:t>
            </w:r>
          </w:p>
        </w:tc>
      </w:tr>
      <w:tr>
        <w:trPr>
          <w:trHeight w:val="360"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center"/>
              <w:rPr>
                <w:rFonts w:ascii="Times New Roman" w:hAnsi="Times New Roman" w:cs="Times New Roman" w:eastAsia="Times New Roman" w:hint="default"/>
                <w:sz w:val="18"/>
                <w:szCs w:val="18"/>
              </w:rPr>
            </w:pPr>
            <w:r>
              <w:rPr>
                <w:rFonts w:ascii="Times New Roman"/>
                <w:sz w:val="18"/>
              </w:rPr>
              <w:t>19.00%-11.88%</w:t>
            </w:r>
          </w:p>
        </w:tc>
      </w:tr>
      <w:tr>
        <w:trPr>
          <w:trHeight w:val="360"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Times New Roman" w:hAnsi="Times New Roman" w:cs="Times New Roman" w:eastAsia="Times New Roman" w:hint="default"/>
                <w:sz w:val="18"/>
                <w:szCs w:val="18"/>
              </w:rPr>
            </w:pPr>
            <w:r>
              <w:rPr>
                <w:rFonts w:ascii="Times New Roman"/>
                <w:sz w:val="18"/>
              </w:rPr>
              <w:t>31.67%</w:t>
            </w:r>
          </w:p>
        </w:tc>
      </w:tr>
      <w:tr>
        <w:trPr>
          <w:trHeight w:val="360"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Times New Roman" w:hAnsi="Times New Roman" w:cs="Times New Roman" w:eastAsia="Times New Roman" w:hint="default"/>
                <w:sz w:val="18"/>
                <w:szCs w:val="18"/>
              </w:rPr>
            </w:pPr>
            <w:r>
              <w:rPr>
                <w:rFonts w:ascii="Times New Roman"/>
                <w:sz w:val="18"/>
              </w:rPr>
              <w:t>19.00%-15.83%</w:t>
            </w:r>
          </w:p>
        </w:tc>
      </w:tr>
      <w:tr>
        <w:trPr>
          <w:trHeight w:val="360"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Times New Roman" w:hAnsi="Times New Roman" w:cs="Times New Roman" w:eastAsia="Times New Roman" w:hint="default"/>
                <w:sz w:val="18"/>
                <w:szCs w:val="18"/>
              </w:rPr>
            </w:pPr>
            <w:r>
              <w:rPr>
                <w:rFonts w:ascii="Times New Roman"/>
                <w:sz w:val="18"/>
              </w:rPr>
              <w:t>19.00%-15.83%</w:t>
            </w:r>
          </w:p>
        </w:tc>
      </w:tr>
      <w:tr>
        <w:trPr>
          <w:trHeight w:val="360"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培训设备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Times New Roman" w:hAnsi="Times New Roman" w:cs="Times New Roman" w:eastAsia="Times New Roman" w:hint="default"/>
                <w:sz w:val="18"/>
                <w:szCs w:val="18"/>
              </w:rPr>
            </w:pPr>
            <w:r>
              <w:rPr>
                <w:rFonts w:ascii="Times New Roman"/>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Times New Roman" w:hAnsi="Times New Roman" w:cs="Times New Roman" w:eastAsia="Times New Roman" w:hint="default"/>
                <w:sz w:val="18"/>
                <w:szCs w:val="18"/>
              </w:rPr>
            </w:pPr>
            <w:r>
              <w:rPr>
                <w:rFonts w:ascii="Times New Roman"/>
                <w:sz w:val="18"/>
              </w:rPr>
              <w:t>14.29%</w:t>
            </w:r>
          </w:p>
        </w:tc>
      </w:tr>
      <w:tr>
        <w:trPr>
          <w:trHeight w:val="360"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Times New Roman" w:hAnsi="Times New Roman" w:cs="Times New Roman" w:eastAsia="Times New Roman" w:hint="default"/>
                <w:sz w:val="18"/>
                <w:szCs w:val="18"/>
              </w:rPr>
            </w:pPr>
            <w:r>
              <w:rPr>
                <w:rFonts w:ascii="Times New Roman"/>
                <w:sz w:val="18"/>
              </w:rPr>
              <w:t>19.00%-15.83%</w:t>
            </w:r>
          </w:p>
        </w:tc>
      </w:tr>
      <w:tr>
        <w:trPr>
          <w:trHeight w:val="362"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1" w:right="0"/>
              <w:jc w:val="left"/>
              <w:rPr>
                <w:rFonts w:ascii="宋体" w:hAnsi="宋体" w:cs="宋体" w:eastAsia="宋体" w:hint="default"/>
                <w:sz w:val="18"/>
                <w:szCs w:val="18"/>
              </w:rPr>
            </w:pPr>
            <w:r>
              <w:rPr>
                <w:rFonts w:ascii="宋体" w:hAnsi="宋体" w:cs="宋体" w:eastAsia="宋体" w:hint="default"/>
                <w:sz w:val="18"/>
                <w:szCs w:val="18"/>
              </w:rPr>
              <w:t>营运业务用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5-10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Times New Roman" w:hAnsi="Times New Roman" w:cs="Times New Roman" w:eastAsia="Times New Roman" w:hint="default"/>
                <w:sz w:val="18"/>
                <w:szCs w:val="18"/>
              </w:rPr>
            </w:pPr>
            <w:r>
              <w:rPr>
                <w:rFonts w:ascii="Times New Roman"/>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Times New Roman" w:hAnsi="Times New Roman" w:cs="Times New Roman" w:eastAsia="Times New Roman" w:hint="default"/>
                <w:sz w:val="18"/>
                <w:szCs w:val="18"/>
              </w:rPr>
            </w:pPr>
            <w:r>
              <w:rPr>
                <w:rFonts w:ascii="Times New Roman"/>
                <w:sz w:val="18"/>
              </w:rPr>
              <w:t>20.00%-10.00%</w:t>
            </w:r>
          </w:p>
        </w:tc>
      </w:tr>
    </w:tbl>
    <w:p>
      <w:pPr>
        <w:pStyle w:val="Heading4"/>
        <w:spacing w:line="241" w:lineRule="exact"/>
        <w:ind w:left="138" w:right="1683"/>
        <w:jc w:val="left"/>
        <w:rPr>
          <w:b w:val="0"/>
          <w:bCs w:val="0"/>
        </w:rPr>
      </w:pPr>
      <w:r>
        <w:rPr/>
        <w:t>（</w:t>
      </w:r>
      <w:r>
        <w:rPr>
          <w:rFonts w:ascii="Times New Roman" w:hAnsi="Times New Roman" w:cs="Times New Roman" w:eastAsia="Times New Roman" w:hint="default"/>
          <w:sz w:val="18"/>
          <w:szCs w:val="18"/>
        </w:rPr>
        <w:t>3</w:t>
      </w:r>
      <w:r>
        <w:rPr/>
        <w:t>）融资租入固定资产的认定依据、计价和折旧方法</w:t>
      </w:r>
      <w:r>
        <w:rPr>
          <w:b w:val="0"/>
          <w:bCs w:val="0"/>
        </w:rPr>
      </w:r>
    </w:p>
    <w:p>
      <w:pPr>
        <w:pStyle w:val="Heading3"/>
        <w:spacing w:line="240" w:lineRule="auto" w:before="114"/>
        <w:ind w:left="452" w:right="1683"/>
        <w:jc w:val="left"/>
      </w:pPr>
      <w:r>
        <w:rPr/>
        <w:t>公司与租赁方所签订的租赁协议条款中规定了下列条件之一的，确认为融资租入资产。</w:t>
      </w:r>
    </w:p>
    <w:p>
      <w:pPr>
        <w:pStyle w:val="Heading3"/>
        <w:spacing w:line="240" w:lineRule="auto" w:before="133"/>
        <w:ind w:left="483" w:right="1683"/>
        <w:jc w:val="left"/>
      </w:pPr>
      <w:r>
        <w:rPr/>
        <w:t>①租赁期满后租赁资产的所有权归属于本公司。</w:t>
      </w:r>
    </w:p>
    <w:p>
      <w:pPr>
        <w:pStyle w:val="Heading3"/>
        <w:spacing w:line="240" w:lineRule="auto" w:before="133"/>
        <w:ind w:left="481" w:right="1683"/>
        <w:jc w:val="left"/>
      </w:pPr>
      <w:r>
        <w:rPr/>
        <w:t>②公司具有购买资产的选择权，购买价款远低于行使选择权时该资产的公允价值。</w:t>
      </w:r>
    </w:p>
    <w:p>
      <w:pPr>
        <w:pStyle w:val="Heading3"/>
        <w:spacing w:line="240" w:lineRule="auto" w:before="133"/>
        <w:ind w:left="483" w:right="1683"/>
        <w:jc w:val="left"/>
      </w:pPr>
      <w:r>
        <w:rPr/>
        <w:t>③租赁期占所租赁资产使用寿命的大部分。</w:t>
      </w:r>
    </w:p>
    <w:p>
      <w:pPr>
        <w:pStyle w:val="Heading3"/>
        <w:spacing w:line="355" w:lineRule="auto" w:before="135"/>
        <w:ind w:left="483" w:right="1683" w:hanging="32"/>
        <w:jc w:val="left"/>
      </w:pPr>
      <w:r>
        <w:rPr/>
        <w:t>④租赁开始日的最低租赁付款额现值，与该资产的公允价值不存在较大的差异。</w:t>
      </w:r>
      <w:r>
        <w:rPr>
          <w:w w:val="100"/>
        </w:rPr>
        <w:t> </w:t>
      </w:r>
      <w:r>
        <w:rPr>
          <w:spacing w:val="-2"/>
        </w:rPr>
        <w:t>公司在承租开始日，将租赁资产公允价值与最低租赁付款额现值两者中较低者作为租入</w:t>
      </w:r>
    </w:p>
    <w:p>
      <w:pPr>
        <w:pStyle w:val="Heading3"/>
        <w:spacing w:line="355" w:lineRule="auto" w:before="33"/>
        <w:ind w:right="1683"/>
        <w:jc w:val="left"/>
      </w:pPr>
      <w:r>
        <w:rPr>
          <w:spacing w:val="-4"/>
        </w:rPr>
        <w:t>资产的入账价值，将最低租赁付款额作为长期应付款的入账价值，其差额作为未确认的融资</w:t>
      </w:r>
      <w:r>
        <w:rPr>
          <w:spacing w:val="-41"/>
        </w:rPr>
        <w:t> </w:t>
      </w:r>
      <w:r>
        <w:rPr>
          <w:spacing w:val="-41"/>
        </w:rPr>
      </w:r>
      <w:r>
        <w:rPr/>
        <w:t>费。</w:t>
      </w:r>
    </w:p>
    <w:p>
      <w:pPr>
        <w:spacing w:before="34"/>
        <w:ind w:left="138" w:right="1683"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17</w:t>
      </w:r>
      <w:r>
        <w:rPr>
          <w:rFonts w:ascii="宋体" w:hAnsi="宋体" w:cs="宋体" w:eastAsia="宋体" w:hint="default"/>
          <w:b/>
          <w:bCs/>
          <w:sz w:val="20"/>
          <w:szCs w:val="20"/>
        </w:rPr>
        <w:t>、在建工程</w:t>
      </w:r>
      <w:r>
        <w:rPr>
          <w:rFonts w:ascii="宋体" w:hAnsi="宋体" w:cs="宋体" w:eastAsia="宋体" w:hint="default"/>
          <w:sz w:val="20"/>
          <w:szCs w:val="20"/>
        </w:rPr>
      </w:r>
    </w:p>
    <w:p>
      <w:pPr>
        <w:pStyle w:val="Heading3"/>
        <w:spacing w:line="355" w:lineRule="auto" w:before="116"/>
        <w:ind w:right="1683" w:firstLine="345"/>
        <w:jc w:val="left"/>
      </w:pPr>
      <w:r>
        <w:rPr/>
        <w:t>在建工程项目按建造该项资产达到预定可使用状态前所发生的全部支出，作为固定资产</w:t>
      </w:r>
      <w:r>
        <w:rPr>
          <w:w w:val="100"/>
        </w:rPr>
        <w:t> </w:t>
      </w:r>
      <w:r>
        <w:rPr>
          <w:spacing w:val="-1"/>
        </w:rPr>
        <w:t>的入账价值。所建造的固定资产在建工程已达到预定可使用状态，但尚未办理竣工决算的，</w:t>
      </w:r>
      <w:r>
        <w:rPr>
          <w:spacing w:val="-56"/>
        </w:rPr>
        <w:t> </w:t>
      </w:r>
      <w:r>
        <w:rPr>
          <w:spacing w:val="-56"/>
        </w:rPr>
      </w:r>
      <w:r>
        <w:rPr>
          <w:spacing w:val="-4"/>
        </w:rPr>
        <w:t>自达到预定可使用状态之日起，根据工程预算、造价或者工程实际成本等，按估计的价值转</w:t>
      </w:r>
      <w:r>
        <w:rPr>
          <w:spacing w:val="-41"/>
        </w:rPr>
        <w:t> </w:t>
      </w:r>
      <w:r>
        <w:rPr>
          <w:spacing w:val="-41"/>
        </w:rPr>
      </w:r>
      <w:r>
        <w:rPr>
          <w:spacing w:val="-4"/>
        </w:rPr>
        <w:t>入固定资产，并按本公司固定资产折旧政策计提固定资产的折旧，待办理竣工决算后，再按</w:t>
      </w:r>
      <w:r>
        <w:rPr>
          <w:spacing w:val="-44"/>
        </w:rPr>
        <w:t> </w:t>
      </w:r>
      <w:r>
        <w:rPr>
          <w:spacing w:val="-44"/>
        </w:rPr>
      </w:r>
      <w:r>
        <w:rPr/>
        <w:t>实际成本调整原来的暂估价值，但不调整原已计提的折旧额。</w:t>
      </w:r>
    </w:p>
    <w:p>
      <w:pPr>
        <w:spacing w:after="0" w:line="355" w:lineRule="auto"/>
        <w:jc w:val="left"/>
        <w:sectPr>
          <w:pgSz w:w="11910" w:h="16840"/>
          <w:pgMar w:header="733" w:footer="977" w:top="960" w:bottom="1160" w:left="1660" w:right="0"/>
        </w:sectPr>
      </w:pPr>
    </w:p>
    <w:p>
      <w:pPr>
        <w:spacing w:line="240" w:lineRule="auto" w:before="0"/>
        <w:rPr>
          <w:rFonts w:ascii="宋体" w:hAnsi="宋体" w:cs="宋体" w:eastAsia="宋体" w:hint="default"/>
          <w:sz w:val="20"/>
          <w:szCs w:val="20"/>
        </w:rPr>
      </w:pPr>
    </w:p>
    <w:p>
      <w:pPr>
        <w:spacing w:before="170"/>
        <w:ind w:left="138" w:right="1683"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18</w:t>
      </w:r>
      <w:r>
        <w:rPr>
          <w:rFonts w:ascii="宋体" w:hAnsi="宋体" w:cs="宋体" w:eastAsia="宋体" w:hint="default"/>
          <w:b/>
          <w:bCs/>
          <w:sz w:val="20"/>
          <w:szCs w:val="20"/>
        </w:rPr>
        <w:t>、借款费用</w:t>
      </w:r>
      <w:r>
        <w:rPr>
          <w:rFonts w:ascii="宋体" w:hAnsi="宋体" w:cs="宋体" w:eastAsia="宋体" w:hint="default"/>
          <w:sz w:val="20"/>
          <w:szCs w:val="20"/>
        </w:rPr>
      </w:r>
    </w:p>
    <w:p>
      <w:pPr>
        <w:pStyle w:val="Heading3"/>
        <w:spacing w:line="336" w:lineRule="auto" w:before="114"/>
        <w:ind w:left="483" w:right="1683"/>
        <w:jc w:val="left"/>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w:t>
      </w:r>
      <w:r>
        <w:rPr/>
        <w:t>借款费用资本化的确认原则</w:t>
      </w:r>
      <w:r>
        <w:rPr>
          <w:w w:val="100"/>
        </w:rPr>
        <w:t> </w:t>
      </w:r>
      <w:r>
        <w:rPr>
          <w:spacing w:val="-2"/>
        </w:rPr>
        <w:t>借款费用，包括借款利息、折价或者溢价的摊销、辅助费用以及因外币借款而发生的汇</w:t>
      </w:r>
    </w:p>
    <w:p>
      <w:pPr>
        <w:pStyle w:val="Heading3"/>
        <w:spacing w:line="240" w:lineRule="auto" w:before="51"/>
        <w:ind w:right="1683"/>
        <w:jc w:val="left"/>
      </w:pPr>
      <w:r>
        <w:rPr/>
        <w:t>兑差额等。</w:t>
      </w:r>
    </w:p>
    <w:p>
      <w:pPr>
        <w:pStyle w:val="Heading3"/>
        <w:spacing w:line="355" w:lineRule="auto" w:before="133"/>
        <w:ind w:right="1786" w:firstLine="345"/>
        <w:jc w:val="both"/>
      </w:pPr>
      <w:r>
        <w:rPr>
          <w:spacing w:val="-2"/>
        </w:rPr>
        <w:t>公司发生的借款费用，可直接归属于符合资本化条件的资产的购建或者生产的，予以资</w:t>
      </w:r>
      <w:r>
        <w:rPr>
          <w:w w:val="100"/>
        </w:rPr>
        <w:t> </w:t>
      </w:r>
      <w:r>
        <w:rPr>
          <w:spacing w:val="-4"/>
        </w:rPr>
        <w:t>本化，计入相关资产成本；其他借款费用，在发生时根据其发生额确认为费用，计入当期损</w:t>
      </w:r>
      <w:r>
        <w:rPr>
          <w:spacing w:val="-42"/>
        </w:rPr>
        <w:t> </w:t>
      </w:r>
      <w:r>
        <w:rPr>
          <w:spacing w:val="-42"/>
        </w:rPr>
      </w:r>
      <w:r>
        <w:rPr/>
        <w:t>益。</w:t>
      </w:r>
    </w:p>
    <w:p>
      <w:pPr>
        <w:pStyle w:val="Heading3"/>
        <w:spacing w:line="360" w:lineRule="auto" w:before="32"/>
        <w:ind w:right="1786" w:firstLine="345"/>
        <w:jc w:val="both"/>
      </w:pPr>
      <w:r>
        <w:rPr>
          <w:spacing w:val="-2"/>
        </w:rPr>
        <w:t>符合资本化条件的资产，是指需要经过相当长时间的购建或者生产活动才能达到预定可</w:t>
      </w:r>
      <w:r>
        <w:rPr>
          <w:w w:val="100"/>
        </w:rPr>
        <w:t> </w:t>
      </w:r>
      <w:r>
        <w:rPr/>
        <w:t>使用或者可销售状态的固定资产、投资性房地产和存货等资产。</w:t>
      </w:r>
    </w:p>
    <w:p>
      <w:pPr>
        <w:pStyle w:val="Heading3"/>
        <w:spacing w:line="240" w:lineRule="auto" w:before="28"/>
        <w:ind w:left="483" w:right="1683"/>
        <w:jc w:val="left"/>
      </w:pPr>
      <w:r>
        <w:rPr/>
        <w:t>借款费用同时满足下列条件时开始资本化：</w:t>
      </w:r>
    </w:p>
    <w:p>
      <w:pPr>
        <w:pStyle w:val="Heading3"/>
        <w:spacing w:line="355" w:lineRule="auto" w:before="133"/>
        <w:ind w:right="1786" w:firstLine="345"/>
        <w:jc w:val="both"/>
      </w:pPr>
      <w:r>
        <w:rPr>
          <w:spacing w:val="-2"/>
        </w:rPr>
        <w:t>①资产支出已经发生，资产支出包括为购建或者生产符合资本化条件的资产而以支付现</w:t>
      </w:r>
      <w:r>
        <w:rPr>
          <w:w w:val="100"/>
        </w:rPr>
        <w:t> </w:t>
      </w:r>
      <w:r>
        <w:rPr/>
        <w:t>金、转移非现金资产或者承担带息债务形式发生的支出。</w:t>
      </w:r>
    </w:p>
    <w:p>
      <w:pPr>
        <w:pStyle w:val="Heading3"/>
        <w:spacing w:line="240" w:lineRule="auto" w:before="32"/>
        <w:ind w:left="483" w:right="1683"/>
        <w:jc w:val="left"/>
      </w:pPr>
      <w:r>
        <w:rPr/>
        <w:t>②借款费用已经发生。</w:t>
      </w:r>
    </w:p>
    <w:p>
      <w:pPr>
        <w:pStyle w:val="Heading3"/>
        <w:spacing w:line="345" w:lineRule="auto" w:before="135"/>
        <w:ind w:left="483" w:right="1683"/>
        <w:jc w:val="left"/>
      </w:pPr>
      <w:r>
        <w:rPr/>
        <w:t>③为使资产达到预定可使用或者可销售状态所必要的购建或者生产活动已经开始。</w:t>
      </w:r>
      <w:r>
        <w:rPr>
          <w:w w:val="100"/>
        </w:rPr>
        <w:t> </w:t>
      </w: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w:t>
      </w:r>
      <w:r>
        <w:rPr/>
        <w:t>借款费用资本化期间</w:t>
      </w:r>
      <w:r>
        <w:rPr>
          <w:w w:val="100"/>
        </w:rPr>
        <w:t> </w:t>
      </w:r>
      <w:r>
        <w:rPr>
          <w:spacing w:val="-2"/>
        </w:rPr>
        <w:t>资本化期间，指从借款费用开始资本化时点到停止资本化时点的期间，借款费用暂停资</w:t>
      </w:r>
    </w:p>
    <w:p>
      <w:pPr>
        <w:pStyle w:val="Heading3"/>
        <w:spacing w:line="357" w:lineRule="auto" w:before="41"/>
        <w:ind w:left="483" w:right="1683" w:hanging="346"/>
        <w:jc w:val="left"/>
      </w:pPr>
      <w:r>
        <w:rPr/>
        <w:t>本化的期间不包括在内。</w:t>
      </w:r>
      <w:r>
        <w:rPr>
          <w:w w:val="100"/>
        </w:rPr>
        <w:t> </w:t>
      </w:r>
      <w:r>
        <w:rPr>
          <w:spacing w:val="-2"/>
        </w:rPr>
        <w:t>当购建或者生产符合资本化条件的资产达到预定可使用或者可销售状态时，借款费用停</w:t>
      </w:r>
    </w:p>
    <w:p>
      <w:pPr>
        <w:pStyle w:val="Heading3"/>
        <w:spacing w:line="240" w:lineRule="auto"/>
        <w:ind w:right="1683"/>
        <w:jc w:val="left"/>
      </w:pPr>
      <w:r>
        <w:rPr/>
        <w:t>止资本化。</w:t>
      </w:r>
    </w:p>
    <w:p>
      <w:pPr>
        <w:pStyle w:val="Heading3"/>
        <w:spacing w:line="355" w:lineRule="auto" w:before="133"/>
        <w:ind w:right="1786" w:firstLine="345"/>
        <w:jc w:val="both"/>
      </w:pPr>
      <w:r>
        <w:rPr>
          <w:spacing w:val="-2"/>
        </w:rPr>
        <w:t>当购建或者生产符合资本化条件的资产中部分项目分别完工且可单独使用时，该部分资</w:t>
      </w:r>
      <w:r>
        <w:rPr>
          <w:w w:val="100"/>
        </w:rPr>
        <w:t> </w:t>
      </w:r>
      <w:r>
        <w:rPr/>
        <w:t>产借款费用停止资本化。</w:t>
      </w:r>
    </w:p>
    <w:p>
      <w:pPr>
        <w:pStyle w:val="Heading3"/>
        <w:spacing w:line="357" w:lineRule="auto" w:before="32"/>
        <w:ind w:right="1786" w:firstLine="345"/>
        <w:jc w:val="both"/>
      </w:pPr>
      <w:r>
        <w:rPr>
          <w:spacing w:val="-2"/>
        </w:rPr>
        <w:t>购建或者生产的资产的各部分分别完工，但必须等到整体完工后才可使用或可对外销售</w:t>
      </w:r>
      <w:r>
        <w:rPr>
          <w:w w:val="100"/>
        </w:rPr>
        <w:t> </w:t>
      </w:r>
      <w:r>
        <w:rPr/>
        <w:t>的，在该资产整体完工时停止借款费用资本化。</w:t>
      </w:r>
    </w:p>
    <w:p>
      <w:pPr>
        <w:pStyle w:val="Heading3"/>
        <w:spacing w:line="338" w:lineRule="auto"/>
        <w:ind w:left="483" w:right="1818"/>
        <w:jc w:val="left"/>
        <w:rPr>
          <w:rFonts w:ascii="Times New Roman" w:hAnsi="Times New Roman" w:cs="Times New Roman" w:eastAsia="Times New Roman" w:hint="default"/>
        </w:rPr>
      </w:pPr>
      <w:r>
        <w:rPr>
          <w:rFonts w:ascii="宋体" w:hAnsi="宋体" w:cs="宋体" w:eastAsia="宋体" w:hint="default"/>
        </w:rPr>
        <w:t>(</w:t>
      </w:r>
      <w:r>
        <w:rPr>
          <w:rFonts w:ascii="Times New Roman" w:hAnsi="Times New Roman" w:cs="Times New Roman" w:eastAsia="Times New Roman" w:hint="default"/>
        </w:rPr>
        <w:t>3</w:t>
      </w:r>
      <w:r>
        <w:rPr>
          <w:rFonts w:ascii="宋体" w:hAnsi="宋体" w:cs="宋体" w:eastAsia="宋体" w:hint="default"/>
        </w:rPr>
        <w:t>)</w:t>
      </w:r>
      <w:r>
        <w:rPr/>
        <w:t>暂停资本化期间</w:t>
      </w:r>
      <w:r>
        <w:rPr>
          <w:w w:val="100"/>
        </w:rPr>
        <w:t> </w:t>
      </w:r>
      <w:r>
        <w:rPr>
          <w:spacing w:val="-2"/>
        </w:rPr>
        <w:t>符合资本化条件的资产在购建或生产过程中发生的非正常中断、且中断时间连续超过</w:t>
      </w:r>
      <w:r>
        <w:rPr>
          <w:spacing w:val="19"/>
        </w:rPr>
        <w:t> </w:t>
      </w:r>
      <w:r>
        <w:rPr>
          <w:rFonts w:ascii="Times New Roman" w:hAnsi="Times New Roman" w:cs="Times New Roman" w:eastAsia="Times New Roman" w:hint="default"/>
        </w:rPr>
        <w:t>3</w:t>
      </w:r>
    </w:p>
    <w:p>
      <w:pPr>
        <w:pStyle w:val="Heading3"/>
        <w:spacing w:line="357" w:lineRule="auto" w:before="22"/>
        <w:ind w:right="1683"/>
        <w:jc w:val="left"/>
        <w:rPr>
          <w:rFonts w:ascii="宋体" w:hAnsi="宋体" w:cs="宋体" w:eastAsia="宋体" w:hint="default"/>
          <w:sz w:val="20"/>
          <w:szCs w:val="20"/>
        </w:rPr>
      </w:pPr>
      <w:r>
        <w:rPr>
          <w:spacing w:val="-4"/>
        </w:rPr>
        <w:t>个月的，则借款费用暂停资本化；该项中断如是所购建或生产的符合资本化条件的资产达到</w:t>
      </w:r>
      <w:r>
        <w:rPr>
          <w:spacing w:val="-40"/>
        </w:rPr>
        <w:t> </w:t>
      </w:r>
      <w:r>
        <w:rPr>
          <w:spacing w:val="-40"/>
        </w:rPr>
      </w:r>
      <w:r>
        <w:rPr>
          <w:spacing w:val="-4"/>
        </w:rPr>
        <w:t>预定可使用状态或者可销售状态必要的程序，则借款费用继续资本化。在中断期间发生的借</w:t>
      </w:r>
      <w:r>
        <w:rPr>
          <w:spacing w:val="-42"/>
        </w:rPr>
        <w:t> </w:t>
      </w:r>
      <w:r>
        <w:rPr>
          <w:spacing w:val="-42"/>
        </w:rPr>
      </w:r>
      <w:r>
        <w:rPr/>
        <w:t>款费用确认为当期损益，直至资产的购建或者生产活动重新开始后借款费用继续资本化。</w:t>
      </w:r>
      <w:r>
        <w:rPr>
          <w:w w:val="100"/>
        </w:rPr>
        <w:t> </w:t>
      </w:r>
      <w:r>
        <w:rPr>
          <w:rFonts w:ascii="Times New Roman" w:hAnsi="Times New Roman" w:cs="Times New Roman" w:eastAsia="Times New Roman" w:hint="default"/>
          <w:b/>
          <w:bCs/>
          <w:sz w:val="18"/>
          <w:szCs w:val="18"/>
        </w:rPr>
        <w:t>19</w:t>
      </w:r>
      <w:r>
        <w:rPr>
          <w:rFonts w:ascii="宋体" w:hAnsi="宋体" w:cs="宋体" w:eastAsia="宋体" w:hint="default"/>
          <w:b/>
          <w:bCs/>
          <w:sz w:val="20"/>
          <w:szCs w:val="20"/>
        </w:rPr>
        <w:t>、无形资产</w:t>
      </w:r>
      <w:r>
        <w:rPr>
          <w:rFonts w:ascii="宋体" w:hAnsi="宋体" w:cs="宋体" w:eastAsia="宋体" w:hint="default"/>
          <w:sz w:val="20"/>
          <w:szCs w:val="20"/>
        </w:rPr>
      </w:r>
    </w:p>
    <w:p>
      <w:pPr>
        <w:pStyle w:val="Heading3"/>
        <w:spacing w:line="240" w:lineRule="auto" w:before="11"/>
        <w:ind w:left="558" w:right="1683"/>
        <w:jc w:val="left"/>
      </w:pPr>
      <w:r>
        <w:rPr>
          <w:rFonts w:ascii="Times New Roman" w:hAnsi="Times New Roman" w:cs="Times New Roman" w:eastAsia="Times New Roman" w:hint="default"/>
        </w:rPr>
        <w:t>(1)</w:t>
      </w:r>
      <w:r>
        <w:rPr/>
        <w:t>无形资产的计价方法</w:t>
      </w:r>
    </w:p>
    <w:p>
      <w:pPr>
        <w:pStyle w:val="Heading3"/>
        <w:spacing w:line="355" w:lineRule="auto" w:before="117"/>
        <w:ind w:left="558" w:right="1683"/>
        <w:jc w:val="left"/>
      </w:pPr>
      <w:r>
        <w:rPr/>
        <w:t>①公司取得无形资产时按成本进行初始计量</w:t>
      </w:r>
      <w:r>
        <w:rPr>
          <w:w w:val="100"/>
        </w:rPr>
        <w:t> </w:t>
      </w:r>
      <w:r>
        <w:rPr>
          <w:spacing w:val="-4"/>
        </w:rPr>
        <w:t>外购无形资产的成本，包括购买价款、相关税费以及直接归属于使该项资产达到预定用</w:t>
      </w:r>
    </w:p>
    <w:p>
      <w:pPr>
        <w:pStyle w:val="Heading3"/>
        <w:spacing w:line="355" w:lineRule="auto" w:before="35"/>
        <w:ind w:right="1683"/>
        <w:jc w:val="left"/>
      </w:pPr>
      <w:r>
        <w:rPr>
          <w:spacing w:val="-4"/>
        </w:rPr>
        <w:t>途所发生的其他支出。购买无形资产的价款超过正常信用条件延期支付，实质上具有融资性</w:t>
      </w:r>
      <w:r>
        <w:rPr>
          <w:spacing w:val="-40"/>
        </w:rPr>
        <w:t> </w:t>
      </w:r>
      <w:r>
        <w:rPr>
          <w:spacing w:val="-40"/>
        </w:rPr>
      </w:r>
      <w:r>
        <w:rPr/>
        <w:t>质的，无形资产的成本以购买价款的现值为基础确定。</w:t>
      </w:r>
    </w:p>
    <w:p>
      <w:pPr>
        <w:spacing w:after="0" w:line="355" w:lineRule="auto"/>
        <w:jc w:val="left"/>
        <w:sectPr>
          <w:pgSz w:w="11910" w:h="16840"/>
          <w:pgMar w:header="733" w:footer="977" w:top="960" w:bottom="1160" w:left="1660" w:right="0"/>
        </w:sectPr>
      </w:pPr>
    </w:p>
    <w:p>
      <w:pPr>
        <w:spacing w:line="240" w:lineRule="auto" w:before="0"/>
        <w:rPr>
          <w:rFonts w:ascii="宋体" w:hAnsi="宋体" w:cs="宋体" w:eastAsia="宋体" w:hint="default"/>
          <w:sz w:val="20"/>
          <w:szCs w:val="20"/>
        </w:rPr>
      </w:pPr>
    </w:p>
    <w:p>
      <w:pPr>
        <w:pStyle w:val="Heading3"/>
        <w:spacing w:line="355" w:lineRule="auto" w:before="168"/>
        <w:ind w:right="1786" w:firstLine="424"/>
        <w:jc w:val="both"/>
      </w:pPr>
      <w:r>
        <w:rPr>
          <w:spacing w:val="-4"/>
          <w:w w:val="100"/>
        </w:rPr>
        <w:t>债务重组取得债务人用以抵债的无形资产，以该无形资产的公允价值为基础确定其入账</w:t>
      </w:r>
      <w:r>
        <w:rPr>
          <w:w w:val="100"/>
        </w:rPr>
        <w:t> </w:t>
      </w:r>
      <w:r>
        <w:rPr>
          <w:spacing w:val="-4"/>
        </w:rPr>
        <w:t>价值，并将重组债务的账面价值与该用以抵债的无形资产公允价值之间的差额，计入当期损</w:t>
      </w:r>
      <w:r>
        <w:rPr>
          <w:spacing w:val="-41"/>
        </w:rPr>
        <w:t> </w:t>
      </w:r>
      <w:r>
        <w:rPr>
          <w:spacing w:val="-41"/>
        </w:rPr>
      </w:r>
      <w:r>
        <w:rPr/>
        <w:t>益。</w:t>
      </w:r>
    </w:p>
    <w:p>
      <w:pPr>
        <w:pStyle w:val="Heading3"/>
        <w:spacing w:line="355" w:lineRule="auto" w:before="34"/>
        <w:ind w:right="1683" w:firstLine="419"/>
        <w:jc w:val="left"/>
      </w:pPr>
      <w:r>
        <w:rPr/>
        <w:t>在非货币性资产交换具备商业实质且换入资产或换出资产的公允价值能够可靠计量的</w:t>
      </w:r>
      <w:r>
        <w:rPr>
          <w:spacing w:val="2"/>
          <w:w w:val="100"/>
        </w:rPr>
        <w:t> </w:t>
      </w:r>
      <w:r>
        <w:rPr>
          <w:spacing w:val="-1"/>
        </w:rPr>
        <w:t>前提下，非货币性资产交换换入的无形资产以换出资产的公允价值为基础确定其入账价值，</w:t>
      </w:r>
      <w:r>
        <w:rPr>
          <w:spacing w:val="-47"/>
        </w:rPr>
        <w:t> </w:t>
      </w:r>
      <w:r>
        <w:rPr>
          <w:spacing w:val="-47"/>
        </w:rPr>
      </w:r>
      <w:r>
        <w:rPr>
          <w:spacing w:val="-1"/>
        </w:rPr>
        <w:t>除非有确凿证据表明换入资产的公允价值更加可靠；不满足上述前提的非货币性资产交换，</w:t>
      </w:r>
      <w:r>
        <w:rPr>
          <w:spacing w:val="-47"/>
        </w:rPr>
        <w:t> </w:t>
      </w:r>
      <w:r>
        <w:rPr>
          <w:spacing w:val="-47"/>
        </w:rPr>
      </w:r>
      <w:r>
        <w:rPr/>
        <w:t>以换出资产的账面价值和应支付的相关税费作为换入无形资产的成本，不确认损益。</w:t>
      </w:r>
    </w:p>
    <w:p>
      <w:pPr>
        <w:pStyle w:val="Heading3"/>
        <w:spacing w:line="357" w:lineRule="auto" w:before="34"/>
        <w:ind w:left="562" w:right="5588" w:hanging="3"/>
        <w:jc w:val="left"/>
      </w:pPr>
      <w:r>
        <w:rPr/>
        <w:t>②后续计量</w:t>
      </w:r>
      <w:r>
        <w:rPr>
          <w:spacing w:val="-102"/>
        </w:rPr>
        <w:t> </w:t>
      </w:r>
      <w:r>
        <w:rPr>
          <w:spacing w:val="-102"/>
        </w:rPr>
      </w:r>
      <w:r>
        <w:rPr>
          <w:spacing w:val="-2"/>
        </w:rPr>
        <w:t>在取得无形资产时分析判断其使用寿命。</w:t>
      </w:r>
    </w:p>
    <w:p>
      <w:pPr>
        <w:pStyle w:val="Heading3"/>
        <w:spacing w:line="355" w:lineRule="auto"/>
        <w:ind w:right="1683" w:firstLine="419"/>
        <w:jc w:val="left"/>
      </w:pPr>
      <w:r>
        <w:rPr>
          <w:spacing w:val="-4"/>
        </w:rPr>
        <w:t>对于使用寿命有限的无形资产，在为企业带来经济利益的期限内按直线法摊销；无法预</w:t>
      </w:r>
      <w:r>
        <w:rPr>
          <w:w w:val="100"/>
        </w:rPr>
        <w:t> </w:t>
      </w:r>
      <w:r>
        <w:rPr/>
        <w:t>见无形资产为企业带来经济利益期限的，视为使用寿命不确定的无形资产，不予摊销。</w:t>
      </w:r>
    </w:p>
    <w:p>
      <w:pPr>
        <w:pStyle w:val="Heading3"/>
        <w:spacing w:line="240" w:lineRule="auto" w:before="32"/>
        <w:ind w:left="488" w:right="1683"/>
        <w:jc w:val="left"/>
      </w:pPr>
      <w:r>
        <w:rPr>
          <w:rFonts w:ascii="Times New Roman" w:hAnsi="Times New Roman" w:cs="Times New Roman" w:eastAsia="Times New Roman" w:hint="default"/>
        </w:rPr>
        <w:t>(2)</w:t>
      </w:r>
      <w:r>
        <w:rPr/>
        <w:t>使用寿命有限的无形资产的使用寿命估计情况</w:t>
      </w:r>
    </w:p>
    <w:p>
      <w:pPr>
        <w:spacing w:line="240" w:lineRule="auto" w:before="10"/>
        <w:rPr>
          <w:rFonts w:ascii="宋体" w:hAnsi="宋体" w:cs="宋体" w:eastAsia="宋体" w:hint="default"/>
          <w:sz w:val="11"/>
          <w:szCs w:val="11"/>
        </w:rPr>
      </w:pPr>
    </w:p>
    <w:tbl>
      <w:tblPr>
        <w:tblW w:w="0" w:type="auto"/>
        <w:jc w:val="left"/>
        <w:tblInd w:w="557" w:type="dxa"/>
        <w:tblLayout w:type="fixed"/>
        <w:tblCellMar>
          <w:top w:w="0" w:type="dxa"/>
          <w:left w:w="0" w:type="dxa"/>
          <w:bottom w:w="0" w:type="dxa"/>
          <w:right w:w="0" w:type="dxa"/>
        </w:tblCellMar>
        <w:tblLook w:val="01E0"/>
      </w:tblPr>
      <w:tblGrid>
        <w:gridCol w:w="2120"/>
        <w:gridCol w:w="1877"/>
        <w:gridCol w:w="5214"/>
      </w:tblGrid>
      <w:tr>
        <w:trPr>
          <w:trHeight w:val="454" w:hRule="exact"/>
        </w:trPr>
        <w:tc>
          <w:tcPr>
            <w:tcW w:w="2120" w:type="dxa"/>
            <w:tcBorders>
              <w:top w:val="single" w:sz="6" w:space="0" w:color="000000"/>
              <w:left w:val="single" w:sz="6" w:space="0" w:color="000000"/>
              <w:bottom w:val="single" w:sz="8" w:space="0" w:color="000000"/>
              <w:right w:val="single" w:sz="8"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77" w:type="dxa"/>
            <w:tcBorders>
              <w:top w:val="single" w:sz="6" w:space="0" w:color="000000"/>
              <w:left w:val="single" w:sz="8" w:space="0" w:color="000000"/>
              <w:bottom w:val="single" w:sz="8" w:space="0" w:color="000000"/>
              <w:right w:val="single" w:sz="8" w:space="0" w:color="000000"/>
            </w:tcBorders>
          </w:tcPr>
          <w:p>
            <w:pPr>
              <w:pStyle w:val="TableParagraph"/>
              <w:spacing w:line="213" w:lineRule="exact"/>
              <w:ind w:right="3"/>
              <w:jc w:val="center"/>
              <w:rPr>
                <w:rFonts w:ascii="宋体" w:hAnsi="宋体" w:cs="宋体" w:eastAsia="宋体" w:hint="default"/>
                <w:sz w:val="18"/>
                <w:szCs w:val="18"/>
              </w:rPr>
            </w:pPr>
            <w:r>
              <w:rPr>
                <w:rFonts w:ascii="宋体" w:hAnsi="宋体" w:cs="宋体" w:eastAsia="宋体" w:hint="default"/>
                <w:b/>
                <w:bCs/>
                <w:sz w:val="18"/>
                <w:szCs w:val="18"/>
              </w:rPr>
              <w:t>预计使用寿命</w:t>
            </w:r>
            <w:r>
              <w:rPr>
                <w:rFonts w:ascii="宋体" w:hAnsi="宋体" w:cs="宋体" w:eastAsia="宋体" w:hint="default"/>
                <w:sz w:val="18"/>
                <w:szCs w:val="18"/>
              </w:rPr>
            </w:r>
          </w:p>
        </w:tc>
        <w:tc>
          <w:tcPr>
            <w:tcW w:w="5214" w:type="dxa"/>
            <w:tcBorders>
              <w:top w:val="single" w:sz="6" w:space="0" w:color="000000"/>
              <w:left w:val="single" w:sz="8" w:space="0" w:color="000000"/>
              <w:bottom w:val="single" w:sz="8" w:space="0" w:color="000000"/>
              <w:right w:val="single" w:sz="8" w:space="0" w:color="000000"/>
            </w:tcBorders>
          </w:tcPr>
          <w:p>
            <w:pPr>
              <w:pStyle w:val="TableParagraph"/>
              <w:spacing w:line="213" w:lineRule="exact"/>
              <w:ind w:right="3"/>
              <w:jc w:val="center"/>
              <w:rPr>
                <w:rFonts w:ascii="宋体" w:hAnsi="宋体" w:cs="宋体" w:eastAsia="宋体" w:hint="default"/>
                <w:sz w:val="18"/>
                <w:szCs w:val="18"/>
              </w:rPr>
            </w:pPr>
            <w:r>
              <w:rPr>
                <w:rFonts w:ascii="宋体" w:hAnsi="宋体" w:cs="宋体" w:eastAsia="宋体" w:hint="default"/>
                <w:b/>
                <w:bCs/>
                <w:sz w:val="18"/>
                <w:szCs w:val="18"/>
              </w:rPr>
              <w:t>依据</w:t>
            </w:r>
            <w:r>
              <w:rPr>
                <w:rFonts w:ascii="宋体" w:hAnsi="宋体" w:cs="宋体" w:eastAsia="宋体" w:hint="default"/>
                <w:sz w:val="18"/>
                <w:szCs w:val="18"/>
              </w:rPr>
            </w:r>
          </w:p>
        </w:tc>
      </w:tr>
      <w:tr>
        <w:trPr>
          <w:trHeight w:val="437" w:hRule="exact"/>
        </w:trPr>
        <w:tc>
          <w:tcPr>
            <w:tcW w:w="2120" w:type="dxa"/>
            <w:tcBorders>
              <w:top w:val="single" w:sz="8" w:space="0" w:color="000000"/>
              <w:left w:val="single" w:sz="6" w:space="0" w:color="000000"/>
              <w:bottom w:val="single" w:sz="8" w:space="0" w:color="000000"/>
              <w:right w:val="single" w:sz="8" w:space="0" w:color="000000"/>
            </w:tcBorders>
          </w:tcPr>
          <w:p>
            <w:pPr>
              <w:pStyle w:val="TableParagraph"/>
              <w:spacing w:line="213" w:lineRule="exact"/>
              <w:ind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77" w:type="dxa"/>
            <w:tcBorders>
              <w:top w:val="single" w:sz="8" w:space="0" w:color="000000"/>
              <w:left w:val="single" w:sz="8" w:space="0" w:color="000000"/>
              <w:bottom w:val="single" w:sz="8" w:space="0" w:color="000000"/>
              <w:right w:val="single" w:sz="8" w:space="0" w:color="000000"/>
            </w:tcBorders>
          </w:tcPr>
          <w:p>
            <w:pPr>
              <w:pStyle w:val="TableParagraph"/>
              <w:spacing w:line="226"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5214" w:type="dxa"/>
            <w:tcBorders>
              <w:top w:val="single" w:sz="8" w:space="0" w:color="000000"/>
              <w:left w:val="single" w:sz="8" w:space="0" w:color="000000"/>
              <w:bottom w:val="single" w:sz="8" w:space="0" w:color="000000"/>
              <w:right w:val="single" w:sz="8" w:space="0" w:color="000000"/>
            </w:tcBorders>
          </w:tcPr>
          <w:p>
            <w:pPr>
              <w:pStyle w:val="TableParagraph"/>
              <w:spacing w:line="213" w:lineRule="exact"/>
              <w:ind w:right="3"/>
              <w:jc w:val="center"/>
              <w:rPr>
                <w:rFonts w:ascii="宋体" w:hAnsi="宋体" w:cs="宋体" w:eastAsia="宋体" w:hint="default"/>
                <w:sz w:val="18"/>
                <w:szCs w:val="18"/>
              </w:rPr>
            </w:pPr>
            <w:r>
              <w:rPr>
                <w:rFonts w:ascii="宋体" w:hAnsi="宋体" w:cs="宋体" w:eastAsia="宋体" w:hint="default"/>
                <w:sz w:val="18"/>
                <w:szCs w:val="18"/>
              </w:rPr>
              <w:t>土地使用权证有效日期</w:t>
            </w:r>
          </w:p>
        </w:tc>
      </w:tr>
      <w:tr>
        <w:trPr>
          <w:trHeight w:val="439" w:hRule="exact"/>
        </w:trPr>
        <w:tc>
          <w:tcPr>
            <w:tcW w:w="2120" w:type="dxa"/>
            <w:tcBorders>
              <w:top w:val="single" w:sz="8" w:space="0" w:color="000000"/>
              <w:left w:val="single" w:sz="6" w:space="0" w:color="000000"/>
              <w:bottom w:val="single" w:sz="8" w:space="0" w:color="000000"/>
              <w:right w:val="single" w:sz="8" w:space="0" w:color="000000"/>
            </w:tcBorders>
          </w:tcPr>
          <w:p>
            <w:pPr>
              <w:pStyle w:val="TableParagraph"/>
              <w:spacing w:line="215" w:lineRule="exact"/>
              <w:ind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77" w:type="dxa"/>
            <w:tcBorders>
              <w:top w:val="single" w:sz="8" w:space="0" w:color="000000"/>
              <w:left w:val="single" w:sz="8" w:space="0" w:color="000000"/>
              <w:bottom w:val="single" w:sz="8" w:space="0" w:color="000000"/>
              <w:right w:val="single" w:sz="8" w:space="0" w:color="000000"/>
            </w:tcBorders>
          </w:tcPr>
          <w:p>
            <w:pPr>
              <w:pStyle w:val="TableParagraph"/>
              <w:spacing w:line="22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5214" w:type="dxa"/>
            <w:tcBorders>
              <w:top w:val="single" w:sz="8" w:space="0" w:color="000000"/>
              <w:left w:val="single" w:sz="8" w:space="0" w:color="000000"/>
              <w:bottom w:val="single" w:sz="8" w:space="0" w:color="000000"/>
              <w:right w:val="single" w:sz="8" w:space="0" w:color="000000"/>
            </w:tcBorders>
          </w:tcPr>
          <w:p>
            <w:pPr>
              <w:pStyle w:val="TableParagraph"/>
              <w:spacing w:line="215" w:lineRule="exact"/>
              <w:ind w:right="5"/>
              <w:jc w:val="center"/>
              <w:rPr>
                <w:rFonts w:ascii="宋体" w:hAnsi="宋体" w:cs="宋体" w:eastAsia="宋体" w:hint="default"/>
                <w:sz w:val="18"/>
                <w:szCs w:val="18"/>
              </w:rPr>
            </w:pPr>
            <w:r>
              <w:rPr>
                <w:rFonts w:ascii="宋体" w:hAnsi="宋体" w:cs="宋体" w:eastAsia="宋体" w:hint="default"/>
                <w:sz w:val="18"/>
                <w:szCs w:val="18"/>
              </w:rPr>
              <w:t>与该项无形资产有关的经济利益的预期实现方式</w:t>
            </w:r>
          </w:p>
        </w:tc>
      </w:tr>
    </w:tbl>
    <w:p>
      <w:pPr>
        <w:pStyle w:val="Heading3"/>
        <w:spacing w:line="241" w:lineRule="exact" w:before="0"/>
        <w:ind w:left="558" w:right="1683"/>
        <w:jc w:val="left"/>
      </w:pPr>
      <w:r>
        <w:rPr/>
        <w:t>每期末，对使用寿命有限的无形资产的使用寿命及摊销方法进行复核。</w:t>
      </w:r>
    </w:p>
    <w:p>
      <w:pPr>
        <w:pStyle w:val="Heading3"/>
        <w:spacing w:line="348" w:lineRule="auto" w:before="133"/>
        <w:ind w:left="558" w:right="1683"/>
        <w:jc w:val="left"/>
      </w:pPr>
      <w:r>
        <w:rPr/>
        <w:t>经复核，本年期末无形资产的使用寿命及摊销方法与以前估计未有不同。</w:t>
      </w:r>
      <w:r>
        <w:rPr>
          <w:w w:val="100"/>
        </w:rPr>
        <w:t> </w:t>
      </w:r>
      <w:r>
        <w:rPr>
          <w:rFonts w:ascii="Times New Roman" w:hAnsi="Times New Roman" w:cs="Times New Roman" w:eastAsia="Times New Roman" w:hint="default"/>
        </w:rPr>
        <w:t>(3)</w:t>
      </w:r>
      <w:r>
        <w:rPr/>
        <w:t>截至资产负债表日，本公司没有使用寿命不确定的无形资产。</w:t>
      </w:r>
      <w:r>
        <w:rPr>
          <w:w w:val="100"/>
        </w:rPr>
        <w:t> </w:t>
      </w:r>
      <w:r>
        <w:rPr>
          <w:rFonts w:ascii="Times New Roman" w:hAnsi="Times New Roman" w:cs="Times New Roman" w:eastAsia="Times New Roman" w:hint="default"/>
        </w:rPr>
        <w:t>(4)</w:t>
      </w:r>
      <w:r>
        <w:rPr/>
        <w:t>划分研究阶段和开发阶段的具体标准</w:t>
      </w:r>
      <w:r>
        <w:rPr>
          <w:w w:val="100"/>
        </w:rPr>
        <w:t> </w:t>
      </w:r>
      <w:r>
        <w:rPr/>
        <w:t>公司内部研究开发项目的支出分为研究阶段支出和开发阶段支出。</w:t>
      </w:r>
      <w:r>
        <w:rPr>
          <w:w w:val="100"/>
        </w:rPr>
        <w:t> </w:t>
      </w:r>
      <w:r>
        <w:rPr>
          <w:spacing w:val="-4"/>
        </w:rPr>
        <w:t>研究阶段：为获取并理解新的科学或技术知识等而进行的独创性的有计划调查、研究活</w:t>
      </w:r>
    </w:p>
    <w:p>
      <w:pPr>
        <w:pStyle w:val="Heading3"/>
        <w:spacing w:line="240" w:lineRule="auto" w:before="41"/>
        <w:ind w:right="1683"/>
        <w:jc w:val="left"/>
      </w:pPr>
      <w:r>
        <w:rPr/>
        <w:t>动的阶段。</w:t>
      </w:r>
    </w:p>
    <w:p>
      <w:pPr>
        <w:pStyle w:val="Heading3"/>
        <w:spacing w:line="355" w:lineRule="auto" w:before="133"/>
        <w:ind w:right="1683" w:firstLine="424"/>
        <w:jc w:val="left"/>
      </w:pPr>
      <w:r>
        <w:rPr>
          <w:spacing w:val="-7"/>
          <w:w w:val="100"/>
        </w:rPr>
        <w:t>开发阶段：在进行商业性生产或使用前，将研究成果或其他知识应用于某项计划或设计，</w:t>
      </w:r>
      <w:r>
        <w:rPr>
          <w:w w:val="100"/>
        </w:rPr>
        <w:t> </w:t>
      </w:r>
      <w:r>
        <w:rPr/>
        <w:t>以生产出新的或具有实质性改进的材料、装置、产品等活动的阶段。</w:t>
      </w:r>
    </w:p>
    <w:p>
      <w:pPr>
        <w:pStyle w:val="Heading3"/>
        <w:spacing w:line="336" w:lineRule="auto" w:before="33"/>
        <w:ind w:left="541" w:right="1683" w:firstLine="16"/>
        <w:jc w:val="left"/>
      </w:pPr>
      <w:r>
        <w:rPr>
          <w:rFonts w:ascii="Times New Roman" w:hAnsi="Times New Roman" w:cs="Times New Roman" w:eastAsia="Times New Roman" w:hint="default"/>
        </w:rPr>
        <w:t>(5)</w:t>
      </w:r>
      <w:r>
        <w:rPr/>
        <w:t>开发阶段支出符合资本化的具体条件</w:t>
      </w:r>
      <w:r>
        <w:rPr>
          <w:w w:val="100"/>
        </w:rPr>
        <w:t> </w:t>
      </w:r>
      <w:r>
        <w:rPr>
          <w:spacing w:val="-2"/>
        </w:rPr>
        <w:t>内部研究开发项目开发阶段的支出，同时满足下列条件时确认为无形资产：</w:t>
      </w:r>
    </w:p>
    <w:p>
      <w:pPr>
        <w:pStyle w:val="Heading3"/>
        <w:spacing w:line="240" w:lineRule="auto" w:before="51"/>
        <w:ind w:left="541" w:right="1683"/>
        <w:jc w:val="left"/>
      </w:pPr>
      <w:r>
        <w:rPr/>
        <w:t>①完成该无形资产以使其能够使用或出售在技术上具有可行性。</w:t>
      </w:r>
    </w:p>
    <w:p>
      <w:pPr>
        <w:pStyle w:val="Heading3"/>
        <w:spacing w:line="240" w:lineRule="auto" w:before="133"/>
        <w:ind w:left="562" w:right="1683"/>
        <w:jc w:val="left"/>
      </w:pPr>
      <w:r>
        <w:rPr/>
        <w:t>②具有完成该无形资产并使用或出售的意图。</w:t>
      </w:r>
    </w:p>
    <w:p>
      <w:pPr>
        <w:pStyle w:val="Heading3"/>
        <w:spacing w:line="355" w:lineRule="auto" w:before="133"/>
        <w:ind w:right="1683" w:firstLine="419"/>
        <w:jc w:val="left"/>
      </w:pPr>
      <w:r>
        <w:rPr>
          <w:spacing w:val="-4"/>
          <w:w w:val="100"/>
        </w:rPr>
        <w:t>③无形资产产生经济利益的方式，包括能够证明运用该无形资产生产的产品存在市场或</w:t>
      </w:r>
      <w:r>
        <w:rPr>
          <w:w w:val="100"/>
        </w:rPr>
        <w:t> </w:t>
      </w:r>
      <w:r>
        <w:rPr/>
        <w:t>无形资产自身存在市场，无形资产将在内部使用的，能够证明其有用性。</w:t>
      </w:r>
    </w:p>
    <w:p>
      <w:pPr>
        <w:pStyle w:val="Heading3"/>
        <w:spacing w:line="357" w:lineRule="auto" w:before="32"/>
        <w:ind w:right="1683" w:firstLine="419"/>
        <w:jc w:val="left"/>
      </w:pPr>
      <w:r>
        <w:rPr>
          <w:spacing w:val="-4"/>
        </w:rPr>
        <w:t>④有足够的技术、财务资源和其他资源支持，以完成该无形资产的开发，并有能力使用</w:t>
      </w:r>
      <w:r>
        <w:rPr>
          <w:w w:val="100"/>
        </w:rPr>
        <w:t> </w:t>
      </w:r>
      <w:r>
        <w:rPr/>
        <w:t>或出售该无形资产。</w:t>
      </w:r>
    </w:p>
    <w:p>
      <w:pPr>
        <w:pStyle w:val="Heading3"/>
        <w:spacing w:line="355" w:lineRule="auto"/>
        <w:ind w:left="562" w:right="1683" w:hanging="5"/>
        <w:jc w:val="left"/>
      </w:pPr>
      <w:r>
        <w:rPr/>
        <w:t>⑤归属于该无形资产开发阶段的支出能够可靠地计量。</w:t>
      </w:r>
      <w:r>
        <w:rPr>
          <w:w w:val="100"/>
        </w:rPr>
        <w:t> </w:t>
      </w:r>
      <w:r>
        <w:rPr>
          <w:spacing w:val="-4"/>
        </w:rPr>
        <w:t>开发阶段的支出，若不满足上列条件的，于发生时计入当期损益。研究阶段的支出，在</w:t>
      </w:r>
    </w:p>
    <w:p>
      <w:pPr>
        <w:spacing w:after="0" w:line="355" w:lineRule="auto"/>
        <w:jc w:val="left"/>
        <w:sectPr>
          <w:pgSz w:w="11910" w:h="16840"/>
          <w:pgMar w:header="733" w:footer="977" w:top="960" w:bottom="1160" w:left="1660" w:right="0"/>
        </w:sectPr>
      </w:pPr>
    </w:p>
    <w:p>
      <w:pPr>
        <w:spacing w:line="240" w:lineRule="auto" w:before="0"/>
        <w:rPr>
          <w:rFonts w:ascii="宋体" w:hAnsi="宋体" w:cs="宋体" w:eastAsia="宋体" w:hint="default"/>
          <w:sz w:val="20"/>
          <w:szCs w:val="20"/>
        </w:rPr>
      </w:pPr>
    </w:p>
    <w:p>
      <w:pPr>
        <w:pStyle w:val="Heading3"/>
        <w:spacing w:line="240" w:lineRule="auto" w:before="168"/>
        <w:ind w:right="1683"/>
        <w:jc w:val="left"/>
      </w:pPr>
      <w:r>
        <w:rPr/>
        <w:t>发生时计入当期损益。</w:t>
      </w:r>
    </w:p>
    <w:p>
      <w:pPr>
        <w:spacing w:before="135"/>
        <w:ind w:left="138" w:right="1683"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20</w:t>
      </w:r>
      <w:r>
        <w:rPr>
          <w:rFonts w:ascii="宋体" w:hAnsi="宋体" w:cs="宋体" w:eastAsia="宋体" w:hint="default"/>
          <w:b/>
          <w:bCs/>
          <w:sz w:val="20"/>
          <w:szCs w:val="20"/>
        </w:rPr>
        <w:t>、长期资产减值</w:t>
      </w:r>
      <w:r>
        <w:rPr>
          <w:rFonts w:ascii="宋体" w:hAnsi="宋体" w:cs="宋体" w:eastAsia="宋体" w:hint="default"/>
          <w:sz w:val="20"/>
          <w:szCs w:val="20"/>
        </w:rPr>
      </w:r>
    </w:p>
    <w:p>
      <w:pPr>
        <w:pStyle w:val="Heading3"/>
        <w:spacing w:line="357" w:lineRule="auto" w:before="114"/>
        <w:ind w:right="889" w:firstLine="427"/>
        <w:jc w:val="left"/>
      </w:pPr>
      <w:r>
        <w:rPr>
          <w:spacing w:val="-4"/>
        </w:rPr>
        <w:t>长期股权投资、采用成本模式计量的投资性房地产、固定资产、在建工程、无形资产等</w:t>
      </w:r>
      <w:r>
        <w:rPr>
          <w:w w:val="100"/>
        </w:rPr>
        <w:t> </w:t>
      </w:r>
      <w:r>
        <w:rPr>
          <w:spacing w:val="-4"/>
        </w:rPr>
        <w:t>长期资产，于资产负债表日存在减值迹象的，进行减值测试。减值测试结果表明资产的可收</w:t>
      </w:r>
      <w:r>
        <w:rPr>
          <w:spacing w:val="-44"/>
        </w:rPr>
        <w:t> </w:t>
      </w:r>
      <w:r>
        <w:rPr>
          <w:spacing w:val="-44"/>
        </w:rPr>
      </w:r>
      <w:r>
        <w:rPr>
          <w:spacing w:val="-4"/>
        </w:rPr>
        <w:t>回金额低于其账面价值的，按其差额计提减值准备并计入减值损失。可收回金额为资产的公</w:t>
      </w:r>
      <w:r>
        <w:rPr>
          <w:spacing w:val="-41"/>
        </w:rPr>
        <w:t> </w:t>
      </w:r>
      <w:r>
        <w:rPr>
          <w:spacing w:val="-41"/>
        </w:rPr>
      </w:r>
      <w:r>
        <w:rPr>
          <w:spacing w:val="-4"/>
          <w:w w:val="100"/>
        </w:rPr>
        <w:t>允价值减去处置费用后的净额与资产预计未来现金流量的现值两者之间的较高者。资产减值</w:t>
      </w:r>
      <w:r>
        <w:rPr>
          <w:spacing w:val="-87"/>
          <w:w w:val="100"/>
        </w:rPr>
        <w:t> </w:t>
      </w:r>
      <w:r>
        <w:rPr>
          <w:spacing w:val="-87"/>
          <w:w w:val="100"/>
        </w:rPr>
      </w:r>
      <w:r>
        <w:rPr>
          <w:spacing w:val="-4"/>
        </w:rPr>
        <w:t>准备按单项资产为基础计算并确认，如果难以对单项资产的可收回金额进行估计的，以该资</w:t>
      </w:r>
      <w:r>
        <w:rPr>
          <w:spacing w:val="-41"/>
        </w:rPr>
        <w:t> </w:t>
      </w:r>
      <w:r>
        <w:rPr>
          <w:spacing w:val="-41"/>
        </w:rPr>
      </w:r>
      <w:r>
        <w:rPr>
          <w:spacing w:val="-4"/>
          <w:w w:val="100"/>
        </w:rPr>
        <w:t>产所属的资产组确定资产组的可收回金额。资产组是能够独立产生现金流入的最小资产组合。</w:t>
      </w:r>
    </w:p>
    <w:p>
      <w:pPr>
        <w:pStyle w:val="Heading3"/>
        <w:spacing w:line="355" w:lineRule="auto" w:before="33"/>
        <w:ind w:left="565" w:right="1683"/>
        <w:jc w:val="left"/>
      </w:pPr>
      <w:r>
        <w:rPr/>
        <w:t>商誉至少在每年年度终了进行减值测试。</w:t>
      </w:r>
      <w:r>
        <w:rPr>
          <w:w w:val="100"/>
        </w:rPr>
        <w:t> </w:t>
      </w:r>
      <w:r>
        <w:rPr>
          <w:spacing w:val="-4"/>
        </w:rPr>
        <w:t>本公司进行商誉减值测试，对于因企业合并形成的商誉的账面价值，自购买日起按照合</w:t>
      </w:r>
    </w:p>
    <w:p>
      <w:pPr>
        <w:pStyle w:val="Heading3"/>
        <w:spacing w:line="357" w:lineRule="auto" w:before="32"/>
        <w:ind w:right="1683"/>
        <w:jc w:val="left"/>
      </w:pPr>
      <w:r>
        <w:rPr>
          <w:spacing w:val="-7"/>
          <w:w w:val="100"/>
        </w:rPr>
        <w:t>理的方法分摊至相关的资产组；难以分摊至相关的资产组的，将其分摊至相关的资产组组合。</w:t>
      </w:r>
      <w:r>
        <w:rPr>
          <w:spacing w:val="-69"/>
          <w:w w:val="100"/>
        </w:rPr>
        <w:t> </w:t>
      </w:r>
      <w:r>
        <w:rPr>
          <w:spacing w:val="-69"/>
          <w:w w:val="100"/>
        </w:rPr>
      </w:r>
      <w:r>
        <w:rPr>
          <w:spacing w:val="-4"/>
          <w:w w:val="100"/>
        </w:rPr>
        <w:t>在将商誉的账面价值分摊至相关的资产组或者资产组组合时，按照各资产组或者资产组组合</w:t>
      </w:r>
      <w:r>
        <w:rPr>
          <w:spacing w:val="-87"/>
          <w:w w:val="100"/>
        </w:rPr>
        <w:t> </w:t>
      </w:r>
      <w:r>
        <w:rPr>
          <w:spacing w:val="-87"/>
          <w:w w:val="100"/>
        </w:rPr>
      </w:r>
      <w:r>
        <w:rPr>
          <w:spacing w:val="-4"/>
          <w:w w:val="100"/>
        </w:rPr>
        <w:t>的公允价值占相关资产组或者资产组组合公允价值总额的比例进行分摊。公允价值难以可靠</w:t>
      </w:r>
      <w:r>
        <w:rPr>
          <w:spacing w:val="-86"/>
          <w:w w:val="100"/>
        </w:rPr>
        <w:t> </w:t>
      </w:r>
      <w:r>
        <w:rPr>
          <w:spacing w:val="-86"/>
          <w:w w:val="100"/>
        </w:rPr>
      </w:r>
      <w:r>
        <w:rPr>
          <w:spacing w:val="-4"/>
          <w:w w:val="100"/>
        </w:rPr>
        <w:t>计量的，按照各资产组或者资产组组合的账面价值占相关资产组或者资产组组合账面价值总</w:t>
      </w:r>
      <w:r>
        <w:rPr>
          <w:spacing w:val="-86"/>
          <w:w w:val="100"/>
        </w:rPr>
        <w:t> </w:t>
      </w:r>
      <w:r>
        <w:rPr>
          <w:spacing w:val="-86"/>
          <w:w w:val="100"/>
        </w:rPr>
      </w:r>
      <w:r>
        <w:rPr/>
        <w:t>额的比例进行分摊。</w:t>
      </w:r>
    </w:p>
    <w:p>
      <w:pPr>
        <w:pStyle w:val="Heading3"/>
        <w:spacing w:line="357" w:lineRule="auto"/>
        <w:ind w:right="1786" w:firstLine="419"/>
        <w:jc w:val="both"/>
      </w:pPr>
      <w:r>
        <w:rPr>
          <w:spacing w:val="-4"/>
          <w:w w:val="100"/>
        </w:rPr>
        <w:t>在对包含商誉的相关资产组或者资产组组合进行减值测试时，如与商誉相关的资产组或</w:t>
      </w:r>
      <w:r>
        <w:rPr>
          <w:w w:val="100"/>
        </w:rPr>
        <w:t> </w:t>
      </w:r>
      <w:r>
        <w:rPr>
          <w:spacing w:val="-4"/>
        </w:rPr>
        <w:t>者资产组组合存在减值迹象的，先对不包含商誉的资产组或者资产组组合进行减值测试，计</w:t>
      </w:r>
      <w:r>
        <w:rPr>
          <w:spacing w:val="-42"/>
        </w:rPr>
        <w:t> </w:t>
      </w:r>
      <w:r>
        <w:rPr>
          <w:spacing w:val="-42"/>
        </w:rPr>
      </w:r>
      <w:r>
        <w:rPr>
          <w:spacing w:val="-4"/>
        </w:rPr>
        <w:t>算可收回金额，并与相关账面价值相比较，确认相应的减值损失。再对包含商誉的资产组或</w:t>
      </w:r>
      <w:r>
        <w:rPr>
          <w:spacing w:val="-44"/>
        </w:rPr>
        <w:t> </w:t>
      </w:r>
      <w:r>
        <w:rPr>
          <w:spacing w:val="-44"/>
        </w:rPr>
      </w:r>
      <w:r>
        <w:rPr>
          <w:spacing w:val="-4"/>
        </w:rPr>
        <w:t>者资产组组合进行减值测试，比较这些相关资产组或者资产组组合的账面价值（包括所分摊</w:t>
      </w:r>
      <w:r>
        <w:rPr>
          <w:spacing w:val="-41"/>
        </w:rPr>
        <w:t> </w:t>
      </w:r>
      <w:r>
        <w:rPr>
          <w:spacing w:val="-41"/>
        </w:rPr>
      </w:r>
      <w:r>
        <w:rPr>
          <w:spacing w:val="-4"/>
        </w:rPr>
        <w:t>的商誉的账面价值部分）与其可收回金额，如相关资产组或者资产组组合的可收回金额低于</w:t>
      </w:r>
      <w:r>
        <w:rPr>
          <w:spacing w:val="-40"/>
        </w:rPr>
        <w:t> </w:t>
      </w:r>
      <w:r>
        <w:rPr>
          <w:spacing w:val="-40"/>
        </w:rPr>
      </w:r>
      <w:r>
        <w:rPr/>
        <w:t>其账面价值的，确认商誉的减值损失。</w:t>
      </w:r>
    </w:p>
    <w:p>
      <w:pPr>
        <w:pStyle w:val="Heading3"/>
        <w:spacing w:line="240" w:lineRule="auto"/>
        <w:ind w:left="558" w:right="1683"/>
        <w:jc w:val="left"/>
      </w:pPr>
      <w:r>
        <w:rPr/>
        <w:t>上述资产减值损失一经确认，在以后会计期间不予转回。</w:t>
      </w:r>
    </w:p>
    <w:p>
      <w:pPr>
        <w:spacing w:before="137"/>
        <w:ind w:left="138" w:right="1683"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21</w:t>
      </w:r>
      <w:r>
        <w:rPr>
          <w:rFonts w:ascii="宋体" w:hAnsi="宋体" w:cs="宋体" w:eastAsia="宋体" w:hint="default"/>
          <w:b/>
          <w:bCs/>
          <w:sz w:val="20"/>
          <w:szCs w:val="20"/>
        </w:rPr>
        <w:t>、长期待摊费用</w:t>
      </w:r>
      <w:r>
        <w:rPr>
          <w:rFonts w:ascii="宋体" w:hAnsi="宋体" w:cs="宋体" w:eastAsia="宋体" w:hint="default"/>
          <w:sz w:val="20"/>
          <w:szCs w:val="20"/>
        </w:rPr>
      </w:r>
    </w:p>
    <w:p>
      <w:pPr>
        <w:pStyle w:val="Heading3"/>
        <w:spacing w:line="357" w:lineRule="auto" w:before="114"/>
        <w:ind w:right="1683" w:firstLine="419"/>
        <w:jc w:val="left"/>
      </w:pPr>
      <w:r>
        <w:rPr/>
        <w:t>长期待摊费用为已经发生但应由本期和以后各期负担的分摊期限在一年以上的各项费</w:t>
      </w:r>
      <w:r>
        <w:rPr>
          <w:spacing w:val="2"/>
          <w:w w:val="100"/>
        </w:rPr>
        <w:t> </w:t>
      </w:r>
      <w:r>
        <w:rPr/>
        <w:t>用。</w:t>
      </w:r>
    </w:p>
    <w:p>
      <w:pPr>
        <w:pStyle w:val="Heading3"/>
        <w:spacing w:line="240" w:lineRule="auto"/>
        <w:ind w:left="558" w:right="1683"/>
        <w:jc w:val="left"/>
      </w:pPr>
      <w:r>
        <w:rPr/>
        <w:t>长期待摊费用在受益期内平均摊销。</w:t>
      </w:r>
    </w:p>
    <w:p>
      <w:pPr>
        <w:spacing w:before="135"/>
        <w:ind w:left="138" w:right="1683" w:firstLine="0"/>
        <w:jc w:val="left"/>
        <w:rPr>
          <w:rFonts w:ascii="宋体" w:hAnsi="宋体" w:cs="宋体" w:eastAsia="宋体" w:hint="default"/>
          <w:sz w:val="20"/>
          <w:szCs w:val="20"/>
        </w:rPr>
      </w:pPr>
      <w:r>
        <w:rPr>
          <w:rFonts w:ascii="Times New Roman" w:hAnsi="Times New Roman" w:cs="Times New Roman" w:eastAsia="Times New Roman" w:hint="default"/>
          <w:b/>
          <w:bCs/>
          <w:sz w:val="18"/>
          <w:szCs w:val="18"/>
        </w:rPr>
        <w:t>22</w:t>
      </w:r>
      <w:r>
        <w:rPr>
          <w:rFonts w:ascii="宋体" w:hAnsi="宋体" w:cs="宋体" w:eastAsia="宋体" w:hint="default"/>
          <w:b/>
          <w:bCs/>
          <w:sz w:val="20"/>
          <w:szCs w:val="20"/>
        </w:rPr>
        <w:t>、职工薪酬</w:t>
      </w:r>
      <w:r>
        <w:rPr>
          <w:rFonts w:ascii="宋体" w:hAnsi="宋体" w:cs="宋体" w:eastAsia="宋体" w:hint="default"/>
          <w:sz w:val="20"/>
          <w:szCs w:val="20"/>
        </w:rPr>
      </w:r>
    </w:p>
    <w:p>
      <w:pPr>
        <w:pStyle w:val="Heading3"/>
        <w:spacing w:line="338" w:lineRule="auto" w:before="114"/>
        <w:ind w:left="558" w:right="1683" w:hanging="106"/>
        <w:jc w:val="left"/>
      </w:pPr>
      <w:r>
        <w:rPr/>
        <w:t>（</w:t>
      </w:r>
      <w:r>
        <w:rPr>
          <w:rFonts w:ascii="Times New Roman" w:hAnsi="Times New Roman" w:cs="Times New Roman" w:eastAsia="Times New Roman" w:hint="default"/>
        </w:rPr>
        <w:t>1</w:t>
      </w:r>
      <w:r>
        <w:rPr/>
        <w:t>）短期薪酬的会计处理方法</w:t>
      </w:r>
      <w:r>
        <w:rPr>
          <w:w w:val="100"/>
        </w:rPr>
        <w:t> </w:t>
      </w:r>
      <w:r>
        <w:rPr>
          <w:spacing w:val="-4"/>
        </w:rPr>
        <w:t>本公司在职工为本公司提供服务的会计期间，将实际发生的短期薪酬确认为负债，并计</w:t>
      </w:r>
    </w:p>
    <w:p>
      <w:pPr>
        <w:pStyle w:val="Heading3"/>
        <w:spacing w:line="355" w:lineRule="auto" w:before="47"/>
        <w:ind w:left="558" w:right="1683" w:hanging="420"/>
        <w:jc w:val="left"/>
      </w:pPr>
      <w:r>
        <w:rPr/>
        <w:t>入当期损益或相关资产成本。</w:t>
      </w:r>
      <w:r>
        <w:rPr>
          <w:w w:val="100"/>
        </w:rPr>
        <w:t> </w:t>
      </w:r>
      <w:r>
        <w:rPr>
          <w:spacing w:val="-4"/>
          <w:w w:val="100"/>
        </w:rPr>
        <w:t>本公司为职工缴纳的社会保险费和住房公积金，以及按规定提取的工会经费和职工教育</w:t>
      </w:r>
    </w:p>
    <w:p>
      <w:pPr>
        <w:pStyle w:val="Heading3"/>
        <w:spacing w:line="357" w:lineRule="auto" w:before="32"/>
        <w:ind w:right="1683"/>
        <w:jc w:val="left"/>
      </w:pPr>
      <w:r>
        <w:rPr>
          <w:spacing w:val="-4"/>
        </w:rPr>
        <w:t>经费，在职工为本公司提供服务的会计期间，根据规定的计提基础和计提比例计算确定相应</w:t>
      </w:r>
      <w:r>
        <w:rPr>
          <w:spacing w:val="-42"/>
        </w:rPr>
        <w:t> </w:t>
      </w:r>
      <w:r>
        <w:rPr>
          <w:spacing w:val="-42"/>
        </w:rPr>
      </w:r>
      <w:r>
        <w:rPr/>
        <w:t>的职工薪酬金额。</w:t>
      </w:r>
    </w:p>
    <w:p>
      <w:pPr>
        <w:pStyle w:val="Heading3"/>
        <w:spacing w:line="240" w:lineRule="auto"/>
        <w:ind w:left="558" w:right="1683"/>
        <w:jc w:val="left"/>
      </w:pPr>
      <w:r>
        <w:rPr/>
        <w:t>职工福利费为非货币性福利的，如能够可靠计量的，按照公允价值计量。</w:t>
      </w:r>
    </w:p>
    <w:p>
      <w:pPr>
        <w:spacing w:after="0" w:line="240" w:lineRule="auto"/>
        <w:jc w:val="left"/>
        <w:sectPr>
          <w:pgSz w:w="11910" w:h="16840"/>
          <w:pgMar w:header="733" w:footer="977" w:top="960" w:bottom="1160" w:left="1660" w:right="0"/>
        </w:sectPr>
      </w:pPr>
    </w:p>
    <w:p>
      <w:pPr>
        <w:spacing w:line="240" w:lineRule="auto" w:before="0"/>
        <w:rPr>
          <w:rFonts w:ascii="宋体" w:hAnsi="宋体" w:cs="宋体" w:eastAsia="宋体" w:hint="default"/>
          <w:sz w:val="20"/>
          <w:szCs w:val="20"/>
        </w:rPr>
      </w:pPr>
    </w:p>
    <w:p>
      <w:pPr>
        <w:pStyle w:val="Heading3"/>
        <w:spacing w:line="336" w:lineRule="auto" w:before="168"/>
        <w:ind w:left="558" w:right="6309" w:hanging="106"/>
        <w:jc w:val="left"/>
      </w:pPr>
      <w:r>
        <w:rPr>
          <w:spacing w:val="-2"/>
        </w:rPr>
        <w:t>（</w:t>
      </w:r>
      <w:r>
        <w:rPr>
          <w:rFonts w:ascii="Times New Roman" w:hAnsi="Times New Roman" w:cs="Times New Roman" w:eastAsia="Times New Roman" w:hint="default"/>
          <w:spacing w:val="-2"/>
        </w:rPr>
        <w:t>2</w:t>
      </w:r>
      <w:r>
        <w:rPr>
          <w:spacing w:val="-2"/>
        </w:rPr>
        <w:t>）离职后福利的会计处理方法</w:t>
      </w:r>
      <w:r>
        <w:rPr>
          <w:spacing w:val="-76"/>
        </w:rPr>
        <w:t> </w:t>
      </w:r>
      <w:r>
        <w:rPr>
          <w:spacing w:val="-76"/>
        </w:rPr>
      </w:r>
      <w:r>
        <w:rPr/>
        <w:t>设定提存计划</w:t>
      </w:r>
    </w:p>
    <w:p>
      <w:pPr>
        <w:pStyle w:val="Heading3"/>
        <w:spacing w:line="357" w:lineRule="auto" w:before="49"/>
        <w:ind w:right="1786" w:firstLine="419"/>
        <w:jc w:val="both"/>
      </w:pPr>
      <w:r>
        <w:rPr>
          <w:spacing w:val="-4"/>
          <w:w w:val="100"/>
        </w:rPr>
        <w:t>本公司按当地政府的相关规定为职工缴纳基本养老保险和失业保险，在职工为本公司提</w:t>
      </w:r>
      <w:r>
        <w:rPr>
          <w:w w:val="100"/>
        </w:rPr>
        <w:t> </w:t>
      </w:r>
      <w:r>
        <w:rPr>
          <w:spacing w:val="-4"/>
        </w:rPr>
        <w:t>供服务的会计期间，按以当地规定的缴纳基数和比例计算应缴纳金额，确认为负债，并计入</w:t>
      </w:r>
      <w:r>
        <w:rPr>
          <w:spacing w:val="-44"/>
        </w:rPr>
        <w:t> </w:t>
      </w:r>
      <w:r>
        <w:rPr>
          <w:spacing w:val="-44"/>
        </w:rPr>
      </w:r>
      <w:r>
        <w:rPr/>
        <w:t>当期损益或相关资产成本。</w:t>
      </w:r>
    </w:p>
    <w:p>
      <w:pPr>
        <w:pStyle w:val="Heading3"/>
        <w:spacing w:line="336" w:lineRule="auto"/>
        <w:ind w:left="558" w:right="1683"/>
        <w:jc w:val="left"/>
      </w:pPr>
      <w:r>
        <w:rPr/>
        <w:t>（</w:t>
      </w:r>
      <w:r>
        <w:rPr>
          <w:rFonts w:ascii="Times New Roman" w:hAnsi="Times New Roman" w:cs="Times New Roman" w:eastAsia="Times New Roman" w:hint="default"/>
        </w:rPr>
        <w:t>3</w:t>
      </w:r>
      <w:r>
        <w:rPr/>
        <w:t>）辞退福利的会计处理方法</w:t>
      </w:r>
      <w:r>
        <w:rPr>
          <w:w w:val="100"/>
        </w:rPr>
        <w:t> </w:t>
      </w:r>
      <w:r>
        <w:rPr>
          <w:spacing w:val="-4"/>
          <w:w w:val="100"/>
        </w:rPr>
        <w:t>本公司在不能单方面撤回因解除劳动关系计划或裁减建议所提供的辞退福利时，或确认</w:t>
      </w:r>
    </w:p>
    <w:p>
      <w:pPr>
        <w:pStyle w:val="Heading3"/>
        <w:spacing w:line="357" w:lineRule="auto" w:before="51"/>
        <w:ind w:right="1789"/>
        <w:jc w:val="both"/>
      </w:pPr>
      <w:r>
        <w:rPr>
          <w:spacing w:val="-4"/>
        </w:rPr>
        <w:t>与涉及支付辞退福利的重组相关的成本或费用时（两者孰早），确认辞退福利产生的职工薪</w:t>
      </w:r>
      <w:r>
        <w:rPr>
          <w:spacing w:val="-41"/>
        </w:rPr>
        <w:t> </w:t>
      </w:r>
      <w:r>
        <w:rPr>
          <w:spacing w:val="-41"/>
        </w:rPr>
      </w:r>
      <w:r>
        <w:rPr/>
        <w:t>酬负债，并计入当期损益。</w:t>
      </w:r>
    </w:p>
    <w:p>
      <w:pPr>
        <w:spacing w:before="32"/>
        <w:ind w:left="138" w:right="0" w:firstLine="0"/>
        <w:jc w:val="both"/>
        <w:rPr>
          <w:rFonts w:ascii="宋体" w:hAnsi="宋体" w:cs="宋体" w:eastAsia="宋体" w:hint="default"/>
          <w:sz w:val="20"/>
          <w:szCs w:val="20"/>
        </w:rPr>
      </w:pPr>
      <w:r>
        <w:rPr>
          <w:rFonts w:ascii="Times New Roman" w:hAnsi="Times New Roman" w:cs="Times New Roman" w:eastAsia="Times New Roman" w:hint="default"/>
          <w:b/>
          <w:bCs/>
          <w:sz w:val="18"/>
          <w:szCs w:val="18"/>
        </w:rPr>
        <w:t>23</w:t>
      </w:r>
      <w:r>
        <w:rPr>
          <w:rFonts w:ascii="宋体" w:hAnsi="宋体" w:cs="宋体" w:eastAsia="宋体" w:hint="default"/>
          <w:b/>
          <w:bCs/>
          <w:sz w:val="20"/>
          <w:szCs w:val="20"/>
        </w:rPr>
        <w:t>、收入</w:t>
      </w:r>
      <w:r>
        <w:rPr>
          <w:rFonts w:ascii="宋体" w:hAnsi="宋体" w:cs="宋体" w:eastAsia="宋体" w:hint="default"/>
          <w:sz w:val="20"/>
          <w:szCs w:val="20"/>
        </w:rPr>
      </w:r>
    </w:p>
    <w:p>
      <w:pPr>
        <w:pStyle w:val="Heading3"/>
        <w:spacing w:line="240" w:lineRule="auto" w:before="114"/>
        <w:ind w:left="560" w:right="1683"/>
        <w:jc w:val="left"/>
      </w:pPr>
      <w:r>
        <w:rPr>
          <w:rFonts w:ascii="Times New Roman" w:hAnsi="Times New Roman" w:cs="Times New Roman" w:eastAsia="Times New Roman" w:hint="default"/>
        </w:rPr>
        <w:t>(1)</w:t>
      </w:r>
      <w:r>
        <w:rPr/>
        <w:t>销售商品收入确认和计量原则</w:t>
      </w:r>
    </w:p>
    <w:p>
      <w:pPr>
        <w:pStyle w:val="Heading3"/>
        <w:spacing w:line="355" w:lineRule="auto" w:before="117"/>
        <w:ind w:left="558" w:right="1683" w:hanging="34"/>
        <w:jc w:val="left"/>
      </w:pPr>
      <w:r>
        <w:rPr/>
        <w:t>①销售商品收入确认和计量的总体原则</w:t>
      </w:r>
      <w:r>
        <w:rPr>
          <w:w w:val="100"/>
        </w:rPr>
        <w:t> </w:t>
      </w:r>
      <w:r>
        <w:rPr>
          <w:spacing w:val="-4"/>
          <w:w w:val="100"/>
        </w:rPr>
        <w:t>公司已将商品所有权上的主要风险和报酬转移给购买方；公司既没有保留与所有权相联</w:t>
      </w:r>
    </w:p>
    <w:p>
      <w:pPr>
        <w:pStyle w:val="Heading3"/>
        <w:spacing w:line="355" w:lineRule="auto" w:before="34"/>
        <w:ind w:right="1789"/>
        <w:jc w:val="both"/>
      </w:pPr>
      <w:r>
        <w:rPr>
          <w:spacing w:val="-4"/>
        </w:rPr>
        <w:t>系的继续管理权，也没有对已售出的商品实施有效控制；收入的金额能够可靠地计量；相关</w:t>
      </w:r>
      <w:r>
        <w:rPr>
          <w:spacing w:val="-44"/>
        </w:rPr>
        <w:t> </w:t>
      </w:r>
      <w:r>
        <w:rPr>
          <w:spacing w:val="-44"/>
        </w:rPr>
      </w:r>
      <w:r>
        <w:rPr>
          <w:spacing w:val="-4"/>
        </w:rPr>
        <w:t>的经济利益很可能流入企业；相关的已发生或将发生的成本能够可靠地计量时，确认商品销</w:t>
      </w:r>
      <w:r>
        <w:rPr>
          <w:spacing w:val="-40"/>
        </w:rPr>
        <w:t> </w:t>
      </w:r>
      <w:r>
        <w:rPr>
          <w:spacing w:val="-40"/>
        </w:rPr>
      </w:r>
      <w:r>
        <w:rPr/>
        <w:t>售收入实现。</w:t>
      </w:r>
    </w:p>
    <w:p>
      <w:pPr>
        <w:pStyle w:val="Heading3"/>
        <w:spacing w:line="357" w:lineRule="auto" w:before="32"/>
        <w:ind w:left="558" w:right="1683" w:hanging="34"/>
        <w:jc w:val="left"/>
      </w:pPr>
      <w:r>
        <w:rPr/>
        <w:t>②本公司销售商品收入确认的确认标准及收入确认时间的具体判断标准</w:t>
      </w:r>
      <w:r>
        <w:rPr>
          <w:w w:val="100"/>
        </w:rPr>
        <w:t> </w:t>
      </w:r>
      <w:r>
        <w:rPr>
          <w:spacing w:val="-4"/>
          <w:w w:val="100"/>
        </w:rPr>
        <w:t>考虑公司相关业务流程，本公司货币自动处理设备的销售收入以取得购买方确认后的到</w:t>
      </w:r>
    </w:p>
    <w:p>
      <w:pPr>
        <w:pStyle w:val="Heading3"/>
        <w:spacing w:line="355" w:lineRule="auto"/>
        <w:ind w:left="558" w:right="1683" w:hanging="420"/>
        <w:jc w:val="left"/>
      </w:pPr>
      <w:r>
        <w:rPr/>
        <w:t>货签收表作为收入确认的时点。</w:t>
      </w:r>
      <w:r>
        <w:rPr>
          <w:w w:val="100"/>
        </w:rPr>
        <w:t> </w:t>
      </w:r>
      <w:r>
        <w:rPr>
          <w:spacing w:val="-4"/>
        </w:rPr>
        <w:t>本公司销售房产，在房屋完工并验收合格，签订了销售合同，并办理完成商品房实物移</w:t>
      </w:r>
    </w:p>
    <w:p>
      <w:pPr>
        <w:pStyle w:val="Heading3"/>
        <w:spacing w:line="357" w:lineRule="auto" w:before="32"/>
        <w:ind w:right="1786"/>
        <w:jc w:val="both"/>
      </w:pPr>
      <w:r>
        <w:rPr>
          <w:spacing w:val="-4"/>
        </w:rPr>
        <w:t>交手续时，确认收入的实现。对公司已通知买方在规定时间内办理商品房实物移交手续，而</w:t>
      </w:r>
      <w:r>
        <w:rPr>
          <w:spacing w:val="-44"/>
        </w:rPr>
        <w:t> </w:t>
      </w:r>
      <w:r>
        <w:rPr>
          <w:spacing w:val="-44"/>
        </w:rPr>
      </w:r>
      <w:r>
        <w:rPr>
          <w:spacing w:val="-4"/>
          <w:w w:val="100"/>
        </w:rPr>
        <w:t>买方未在规定时间内办理完成商品房实物移交手续且无正当理由的，在其他条件符合的情况</w:t>
      </w:r>
      <w:r>
        <w:rPr>
          <w:spacing w:val="-86"/>
          <w:w w:val="100"/>
        </w:rPr>
        <w:t> </w:t>
      </w:r>
      <w:r>
        <w:rPr>
          <w:spacing w:val="-86"/>
          <w:w w:val="100"/>
        </w:rPr>
      </w:r>
      <w:r>
        <w:rPr/>
        <w:t>下，公司在通知所规定的时限结束后即确认收入的实现。</w:t>
      </w:r>
    </w:p>
    <w:p>
      <w:pPr>
        <w:pStyle w:val="Heading3"/>
        <w:spacing w:line="240" w:lineRule="auto"/>
        <w:ind w:left="543" w:right="1683"/>
        <w:jc w:val="left"/>
      </w:pPr>
      <w:r>
        <w:rPr>
          <w:rFonts w:ascii="Times New Roman" w:hAnsi="Times New Roman" w:cs="Times New Roman" w:eastAsia="Times New Roman" w:hint="default"/>
        </w:rPr>
        <w:t>(2)</w:t>
      </w:r>
      <w:r>
        <w:rPr/>
        <w:t>让渡资产使用权收入的确认和计量原则</w:t>
      </w:r>
    </w:p>
    <w:p>
      <w:pPr>
        <w:pStyle w:val="Heading3"/>
        <w:spacing w:line="355" w:lineRule="auto" w:before="118"/>
        <w:ind w:left="558" w:right="1683" w:hanging="34"/>
        <w:jc w:val="left"/>
      </w:pPr>
      <w:r>
        <w:rPr/>
        <w:t>①让渡资产使用权收入确认和计量的总体原则</w:t>
      </w:r>
      <w:r>
        <w:rPr>
          <w:w w:val="100"/>
        </w:rPr>
        <w:t> </w:t>
      </w:r>
      <w:r>
        <w:rPr>
          <w:spacing w:val="-4"/>
        </w:rPr>
        <w:t>与交易相关的经济利益很可能流入企业，收入的金额能够可靠地计量时。分别下列情况</w:t>
      </w:r>
    </w:p>
    <w:p>
      <w:pPr>
        <w:pStyle w:val="Heading3"/>
        <w:spacing w:line="357" w:lineRule="auto" w:before="32"/>
        <w:ind w:left="558" w:right="1683" w:hanging="420"/>
        <w:jc w:val="left"/>
      </w:pPr>
      <w:r>
        <w:rPr/>
        <w:t>确定让渡资产使用权收入金额：</w:t>
      </w:r>
      <w:r>
        <w:rPr>
          <w:w w:val="100"/>
        </w:rPr>
        <w:t> </w:t>
      </w:r>
      <w:r>
        <w:rPr>
          <w:spacing w:val="-2"/>
        </w:rPr>
        <w:t>利息收入金额，按照他人使用本企业货币资金的时间和实际利率计算确定。</w:t>
      </w:r>
      <w:r>
        <w:rPr>
          <w:w w:val="100"/>
        </w:rPr>
        <w:t> </w:t>
      </w:r>
      <w:r>
        <w:rPr/>
        <w:t>使用费收入金额，按照有关合同或协议约定的收费时间和方法计算确定。</w:t>
      </w:r>
    </w:p>
    <w:p>
      <w:pPr>
        <w:pStyle w:val="Heading3"/>
        <w:spacing w:line="240" w:lineRule="auto"/>
        <w:ind w:left="630" w:right="1683"/>
        <w:jc w:val="left"/>
      </w:pPr>
      <w:r>
        <w:rPr/>
        <w:t>②本公司确认让渡资产使用权收入的依据</w:t>
      </w:r>
    </w:p>
    <w:p>
      <w:pPr>
        <w:pStyle w:val="Heading3"/>
        <w:spacing w:line="348" w:lineRule="auto" w:before="133"/>
        <w:ind w:right="1790" w:firstLine="419"/>
        <w:jc w:val="both"/>
      </w:pPr>
      <w:r>
        <w:rPr>
          <w:rFonts w:ascii="Times New Roman" w:hAnsi="Times New Roman" w:cs="Times New Roman" w:eastAsia="Times New Roman" w:hint="default"/>
        </w:rPr>
        <w:t>ATM</w:t>
      </w:r>
      <w:r>
        <w:rPr/>
        <w:t>服务收入金额，按照收入的金额能够可靠地计量；相关的经济利益很可能流入企</w:t>
      </w:r>
      <w:r>
        <w:rPr>
          <w:w w:val="100"/>
        </w:rPr>
        <w:t> </w:t>
      </w:r>
      <w:r>
        <w:rPr>
          <w:spacing w:val="-4"/>
        </w:rPr>
        <w:t>业时确认收入。考虑服务的特殊性，收入确认时点为公司已提供服务、接受服务方已确认所</w:t>
      </w:r>
      <w:r>
        <w:rPr>
          <w:spacing w:val="-44"/>
        </w:rPr>
        <w:t> </w:t>
      </w:r>
      <w:r>
        <w:rPr>
          <w:spacing w:val="-44"/>
        </w:rPr>
      </w:r>
      <w:r>
        <w:rPr/>
        <w:t>提供的服务。</w:t>
      </w:r>
    </w:p>
    <w:p>
      <w:pPr>
        <w:pStyle w:val="Heading3"/>
        <w:spacing w:line="240" w:lineRule="auto" w:before="38"/>
        <w:ind w:left="558" w:right="1683"/>
        <w:jc w:val="left"/>
      </w:pPr>
      <w:r>
        <w:rPr/>
        <w:t>经营收入金额，按照有关合同或协议约定的收费时间和方法计算确定。</w:t>
      </w:r>
    </w:p>
    <w:p>
      <w:pPr>
        <w:spacing w:after="0" w:line="240" w:lineRule="auto"/>
        <w:jc w:val="left"/>
        <w:sectPr>
          <w:pgSz w:w="11910" w:h="16840"/>
          <w:pgMar w:header="733" w:footer="977" w:top="960" w:bottom="1160" w:left="1660" w:right="0"/>
        </w:sectPr>
      </w:pPr>
    </w:p>
    <w:p>
      <w:pPr>
        <w:spacing w:line="240" w:lineRule="auto" w:before="0"/>
        <w:rPr>
          <w:rFonts w:ascii="宋体" w:hAnsi="宋体" w:cs="宋体" w:eastAsia="宋体" w:hint="default"/>
          <w:sz w:val="20"/>
          <w:szCs w:val="20"/>
        </w:rPr>
      </w:pPr>
    </w:p>
    <w:p>
      <w:pPr>
        <w:pStyle w:val="Heading3"/>
        <w:spacing w:line="336" w:lineRule="auto" w:before="168"/>
        <w:ind w:left="558" w:right="1683" w:hanging="15"/>
        <w:jc w:val="left"/>
      </w:pPr>
      <w:r>
        <w:rPr>
          <w:rFonts w:ascii="Times New Roman" w:hAnsi="Times New Roman" w:cs="Times New Roman" w:eastAsia="Times New Roman" w:hint="default"/>
        </w:rPr>
        <w:t>(3)</w:t>
      </w:r>
      <w:r>
        <w:rPr/>
        <w:t>确认物业管理费收入的判断标准</w:t>
      </w:r>
      <w:r>
        <w:rPr>
          <w:w w:val="100"/>
        </w:rPr>
        <w:t> </w:t>
      </w:r>
      <w:r>
        <w:rPr>
          <w:spacing w:val="-4"/>
        </w:rPr>
        <w:t>本公司在物业管理服务已经提供，与物业管理服务相关的经济利益能够流入企业，与物</w:t>
      </w:r>
    </w:p>
    <w:p>
      <w:pPr>
        <w:pStyle w:val="Heading3"/>
        <w:spacing w:line="240" w:lineRule="auto" w:before="49"/>
        <w:ind w:right="1683"/>
        <w:jc w:val="left"/>
      </w:pPr>
      <w:r>
        <w:rPr/>
        <w:t>业管理服务相关的成本能够可靠计量时，确认物业管理收入的实现。</w:t>
      </w:r>
    </w:p>
    <w:p>
      <w:pPr>
        <w:pStyle w:val="Heading3"/>
        <w:spacing w:line="240" w:lineRule="auto" w:before="135"/>
        <w:ind w:left="572" w:right="1683"/>
        <w:jc w:val="left"/>
      </w:pPr>
      <w:r>
        <w:rPr>
          <w:rFonts w:ascii="Times New Roman" w:hAnsi="Times New Roman" w:cs="Times New Roman" w:eastAsia="Times New Roman" w:hint="default"/>
        </w:rPr>
        <w:t>(4)</w:t>
      </w:r>
      <w:r>
        <w:rPr/>
        <w:t>劳务收入的确认和计量原则</w:t>
      </w:r>
    </w:p>
    <w:p>
      <w:pPr>
        <w:pStyle w:val="Heading3"/>
        <w:spacing w:line="355" w:lineRule="auto" w:before="117"/>
        <w:ind w:left="558" w:right="1683" w:firstLine="72"/>
        <w:jc w:val="left"/>
      </w:pPr>
      <w:r>
        <w:rPr/>
        <w:t>①劳务收入确认和计量的总体原则</w:t>
      </w:r>
      <w:r>
        <w:rPr>
          <w:w w:val="100"/>
        </w:rPr>
        <w:t> </w:t>
      </w:r>
      <w:r>
        <w:rPr>
          <w:spacing w:val="-4"/>
          <w:w w:val="100"/>
        </w:rPr>
        <w:t>本公司在资产负债表日提供劳务交易的结果能够可靠估计的，应当采用完工百分比法确</w:t>
      </w:r>
    </w:p>
    <w:p>
      <w:pPr>
        <w:pStyle w:val="Heading3"/>
        <w:spacing w:line="240" w:lineRule="auto" w:before="32"/>
        <w:ind w:right="1683"/>
        <w:jc w:val="left"/>
      </w:pPr>
      <w:r>
        <w:rPr/>
        <w:t>认劳务收入。</w:t>
      </w:r>
    </w:p>
    <w:p>
      <w:pPr>
        <w:pStyle w:val="Heading3"/>
        <w:spacing w:line="357" w:lineRule="auto" w:before="135"/>
        <w:ind w:left="558" w:right="1683"/>
        <w:jc w:val="left"/>
      </w:pPr>
      <w:r>
        <w:rPr/>
        <w:t>提供劳务交易的结果能够可靠估计，是指同时满足列列条件：</w:t>
      </w:r>
      <w:r>
        <w:rPr>
          <w:w w:val="100"/>
        </w:rPr>
        <w:t> </w:t>
      </w:r>
      <w:r>
        <w:rPr>
          <w:spacing w:val="-4"/>
        </w:rPr>
        <w:t>与交易相关的经济利益很可能流入企业，收入的金额能够可靠地计量；交易的完工进度</w:t>
      </w:r>
    </w:p>
    <w:p>
      <w:pPr>
        <w:pStyle w:val="Heading3"/>
        <w:spacing w:line="355" w:lineRule="auto"/>
        <w:ind w:left="558" w:right="3556" w:hanging="420"/>
        <w:jc w:val="left"/>
      </w:pPr>
      <w:r>
        <w:rPr>
          <w:spacing w:val="-2"/>
        </w:rPr>
        <w:t>能够可靠地确定；交易中已发生和将发生的成本能够可靠地计量。</w:t>
      </w:r>
      <w:r>
        <w:rPr>
          <w:spacing w:val="-49"/>
        </w:rPr>
        <w:t> </w:t>
      </w:r>
      <w:r>
        <w:rPr>
          <w:spacing w:val="-49"/>
        </w:rPr>
      </w:r>
      <w:r>
        <w:rPr/>
        <w:t>本公司确定提供劳务交易的完工进度，可以选用下列方法：</w:t>
      </w:r>
      <w:r>
        <w:rPr>
          <w:w w:val="100"/>
        </w:rPr>
        <w:t> </w:t>
      </w:r>
      <w:r>
        <w:rPr>
          <w:rFonts w:ascii="Times New Roman" w:hAnsi="Times New Roman" w:cs="Times New Roman" w:eastAsia="Times New Roman" w:hint="default"/>
        </w:rPr>
        <w:t>1</w:t>
      </w:r>
      <w:r>
        <w:rPr>
          <w:rFonts w:ascii="宋体" w:hAnsi="宋体" w:cs="宋体" w:eastAsia="宋体" w:hint="default"/>
        </w:rPr>
        <w:t>.</w:t>
      </w:r>
      <w:r>
        <w:rPr/>
        <w:t>已完工作的测量。</w:t>
      </w:r>
    </w:p>
    <w:p>
      <w:pPr>
        <w:pStyle w:val="Heading3"/>
        <w:spacing w:line="240" w:lineRule="auto" w:before="8"/>
        <w:ind w:left="558" w:right="1683"/>
        <w:jc w:val="left"/>
      </w:pPr>
      <w:r>
        <w:rPr>
          <w:rFonts w:ascii="Times New Roman" w:hAnsi="Times New Roman" w:cs="Times New Roman" w:eastAsia="Times New Roman" w:hint="default"/>
        </w:rPr>
        <w:t>2</w:t>
      </w:r>
      <w:r>
        <w:rPr>
          <w:rFonts w:ascii="宋体" w:hAnsi="宋体" w:cs="宋体" w:eastAsia="宋体" w:hint="default"/>
        </w:rPr>
        <w:t>.</w:t>
      </w:r>
      <w:r>
        <w:rPr/>
        <w:t>已经提供的劳务占应提供劳务总量的比例。</w:t>
      </w:r>
    </w:p>
    <w:p>
      <w:pPr>
        <w:pStyle w:val="Heading3"/>
        <w:spacing w:line="336" w:lineRule="auto" w:before="117"/>
        <w:ind w:left="558" w:right="1683"/>
        <w:jc w:val="left"/>
      </w:pPr>
      <w:r>
        <w:rPr>
          <w:rFonts w:ascii="Times New Roman" w:hAnsi="Times New Roman" w:cs="Times New Roman" w:eastAsia="Times New Roman" w:hint="default"/>
        </w:rPr>
        <w:t>3</w:t>
      </w:r>
      <w:r>
        <w:rPr>
          <w:rFonts w:ascii="宋体" w:hAnsi="宋体" w:cs="宋体" w:eastAsia="宋体" w:hint="default"/>
        </w:rPr>
        <w:t>.</w:t>
      </w:r>
      <w:r>
        <w:rPr/>
        <w:t>已经发生的成本点估计总成本的比例。</w:t>
      </w:r>
      <w:r>
        <w:rPr>
          <w:w w:val="100"/>
        </w:rPr>
        <w:t> </w:t>
      </w:r>
      <w:r>
        <w:rPr>
          <w:spacing w:val="-4"/>
          <w:w w:val="100"/>
        </w:rPr>
        <w:t>公司应当按从接受劳务方已收或应收的合同或协议价款确定提供劳务收入总额，但已收</w:t>
      </w:r>
    </w:p>
    <w:p>
      <w:pPr>
        <w:pStyle w:val="Heading3"/>
        <w:spacing w:line="357" w:lineRule="auto" w:before="49"/>
        <w:ind w:left="562" w:right="1683" w:hanging="425"/>
        <w:jc w:val="left"/>
      </w:pPr>
      <w:r>
        <w:rPr/>
        <w:t>或应收的合同或协议款不公允的除外。</w:t>
      </w:r>
      <w:r>
        <w:rPr>
          <w:w w:val="100"/>
        </w:rPr>
        <w:t> </w:t>
      </w:r>
      <w:r>
        <w:rPr/>
        <w:t>公司在资产负债表日按照提供劳务收入总额乘以完工进度扣除以前会计期间累计已确</w:t>
      </w:r>
    </w:p>
    <w:p>
      <w:pPr>
        <w:pStyle w:val="Heading3"/>
        <w:spacing w:line="355" w:lineRule="auto" w:before="32"/>
        <w:ind w:right="1683"/>
        <w:jc w:val="left"/>
      </w:pPr>
      <w:r>
        <w:rPr>
          <w:spacing w:val="-4"/>
        </w:rPr>
        <w:t>认提供劳务收入后的金额，确认当期提供劳务收入；同时，按照提供劳务估计总成本乘以完</w:t>
      </w:r>
      <w:r>
        <w:rPr>
          <w:spacing w:val="-41"/>
        </w:rPr>
        <w:t> </w:t>
      </w:r>
      <w:r>
        <w:rPr>
          <w:spacing w:val="-41"/>
        </w:rPr>
      </w:r>
      <w:r>
        <w:rPr/>
        <w:t>工进度扣除以前会计期间累计已确认劳务成本后的金额，结转当期劳务成本。</w:t>
      </w:r>
    </w:p>
    <w:p>
      <w:pPr>
        <w:pStyle w:val="Heading3"/>
        <w:spacing w:line="240" w:lineRule="auto" w:before="32"/>
        <w:ind w:left="565" w:right="1683"/>
        <w:jc w:val="left"/>
      </w:pPr>
      <w:r>
        <w:rPr/>
        <w:t>公司在资产负债表日提供劳务交易结果不能够可靠估计的，应当分别下列情况处理：</w:t>
      </w:r>
    </w:p>
    <w:p>
      <w:pPr>
        <w:pStyle w:val="Heading3"/>
        <w:spacing w:line="338" w:lineRule="auto" w:before="133"/>
        <w:ind w:right="1683" w:firstLine="424"/>
        <w:jc w:val="left"/>
      </w:pPr>
      <w:r>
        <w:rPr>
          <w:rFonts w:ascii="Times New Roman" w:hAnsi="Times New Roman" w:cs="Times New Roman" w:eastAsia="Times New Roman" w:hint="default"/>
          <w:spacing w:val="-4"/>
          <w:w w:val="100"/>
        </w:rPr>
        <w:t>1</w:t>
      </w:r>
      <w:r>
        <w:rPr>
          <w:rFonts w:ascii="宋体" w:hAnsi="宋体" w:cs="宋体" w:eastAsia="宋体" w:hint="default"/>
          <w:spacing w:val="-4"/>
          <w:w w:val="100"/>
        </w:rPr>
        <w:t>.</w:t>
      </w:r>
      <w:r>
        <w:rPr>
          <w:spacing w:val="-4"/>
          <w:w w:val="100"/>
        </w:rPr>
        <w:t>已经发生的劳务成本预计能够得到补偿的，按照已经发生的劳务成本金额确认提供劳</w:t>
      </w:r>
      <w:r>
        <w:rPr>
          <w:w w:val="100"/>
        </w:rPr>
        <w:t> </w:t>
      </w:r>
      <w:r>
        <w:rPr/>
        <w:t>务收入，并按相同金额结转劳务成本。</w:t>
      </w:r>
    </w:p>
    <w:p>
      <w:pPr>
        <w:pStyle w:val="Heading3"/>
        <w:spacing w:line="336" w:lineRule="auto" w:before="47"/>
        <w:ind w:right="1683" w:firstLine="424"/>
        <w:jc w:val="left"/>
      </w:pPr>
      <w:r>
        <w:rPr>
          <w:rFonts w:ascii="Times New Roman" w:hAnsi="Times New Roman" w:cs="Times New Roman" w:eastAsia="Times New Roman" w:hint="default"/>
          <w:spacing w:val="-4"/>
          <w:w w:val="100"/>
        </w:rPr>
        <w:t>2</w:t>
      </w:r>
      <w:r>
        <w:rPr>
          <w:rFonts w:ascii="宋体" w:hAnsi="宋体" w:cs="宋体" w:eastAsia="宋体" w:hint="default"/>
          <w:spacing w:val="-4"/>
          <w:w w:val="100"/>
        </w:rPr>
        <w:t>.</w:t>
      </w:r>
      <w:r>
        <w:rPr>
          <w:spacing w:val="-4"/>
          <w:w w:val="100"/>
        </w:rPr>
        <w:t>已经发生的劳务成本预计不能够得到补偿的，应当将已经发生的劳务成本计入当期损</w:t>
      </w:r>
      <w:r>
        <w:rPr>
          <w:w w:val="100"/>
        </w:rPr>
        <w:t> </w:t>
      </w:r>
      <w:r>
        <w:rPr/>
        <w:t>益，不确认提供劳务收入。</w:t>
      </w:r>
    </w:p>
    <w:p>
      <w:pPr>
        <w:pStyle w:val="Heading3"/>
        <w:spacing w:line="357" w:lineRule="auto" w:before="49"/>
        <w:ind w:right="1786" w:firstLine="424"/>
        <w:jc w:val="both"/>
      </w:pPr>
      <w:r>
        <w:rPr>
          <w:spacing w:val="-4"/>
          <w:w w:val="100"/>
        </w:rPr>
        <w:t>公司与其他企业签订的合同或协议包括销售商品和提供劳务时，销售商品部分和提供劳</w:t>
      </w:r>
      <w:r>
        <w:rPr>
          <w:w w:val="100"/>
        </w:rPr>
        <w:t> </w:t>
      </w:r>
      <w:r>
        <w:rPr>
          <w:spacing w:val="-4"/>
        </w:rPr>
        <w:t>务部分能够区分且能够单独计量的，应当将销售商品的部分作为销售商品处理，将提供劳务</w:t>
      </w:r>
      <w:r>
        <w:rPr>
          <w:spacing w:val="-41"/>
        </w:rPr>
        <w:t> </w:t>
      </w:r>
      <w:r>
        <w:rPr>
          <w:spacing w:val="-41"/>
        </w:rPr>
      </w:r>
      <w:r>
        <w:rPr/>
        <w:t>的部分作为提供劳务处理。</w:t>
      </w:r>
    </w:p>
    <w:p>
      <w:pPr>
        <w:pStyle w:val="Heading3"/>
        <w:spacing w:line="355" w:lineRule="auto"/>
        <w:ind w:right="1683" w:firstLine="424"/>
        <w:jc w:val="left"/>
      </w:pPr>
      <w:r>
        <w:rPr>
          <w:spacing w:val="-4"/>
        </w:rPr>
        <w:t>销售商品部分和提供劳务部分不能够区分，或虽能区分但不能够单独计量的，应当将销</w:t>
      </w:r>
      <w:r>
        <w:rPr>
          <w:w w:val="100"/>
        </w:rPr>
        <w:t> </w:t>
      </w:r>
      <w:r>
        <w:rPr/>
        <w:t>售商品部分和提供劳务部分全部作为销售商品处理。</w:t>
      </w:r>
    </w:p>
    <w:p>
      <w:pPr>
        <w:pStyle w:val="Heading3"/>
        <w:spacing w:line="355" w:lineRule="auto" w:before="32"/>
        <w:ind w:left="562" w:right="1683"/>
        <w:jc w:val="left"/>
      </w:pPr>
      <w:r>
        <w:rPr/>
        <w:t>②本公司确认让劳务收入的依据</w:t>
      </w:r>
      <w:r>
        <w:rPr>
          <w:w w:val="100"/>
        </w:rPr>
        <w:t> </w:t>
      </w:r>
      <w:r>
        <w:rPr>
          <w:spacing w:val="-4"/>
          <w:w w:val="100"/>
        </w:rPr>
        <w:t>确认进度收入时，取得对方的阶段任务完成确认书或阶段工作量确认书为进度收入确认</w:t>
      </w:r>
    </w:p>
    <w:p>
      <w:pPr>
        <w:pStyle w:val="Heading3"/>
        <w:spacing w:line="240" w:lineRule="auto" w:before="34"/>
        <w:ind w:right="1683"/>
        <w:jc w:val="left"/>
      </w:pPr>
      <w:r>
        <w:rPr/>
        <w:t>的时点。</w:t>
      </w:r>
    </w:p>
    <w:p>
      <w:pPr>
        <w:pStyle w:val="Heading3"/>
        <w:spacing w:line="240" w:lineRule="auto" w:before="133"/>
        <w:ind w:left="562" w:right="1683"/>
        <w:jc w:val="left"/>
      </w:pPr>
      <w:r>
        <w:rPr/>
        <w:t>项目完成时，取得对方签收的系统验收报告为综验收入确认的时点。</w:t>
      </w:r>
    </w:p>
    <w:p>
      <w:pPr>
        <w:spacing w:after="0" w:line="240" w:lineRule="auto"/>
        <w:jc w:val="left"/>
        <w:sectPr>
          <w:pgSz w:w="11910" w:h="16840"/>
          <w:pgMar w:header="733" w:footer="977" w:top="960" w:bottom="1160" w:left="1660" w:right="0"/>
        </w:sectPr>
      </w:pPr>
    </w:p>
    <w:p>
      <w:pPr>
        <w:spacing w:line="240" w:lineRule="auto" w:before="0"/>
        <w:rPr>
          <w:rFonts w:ascii="宋体" w:hAnsi="宋体" w:cs="宋体" w:eastAsia="宋体" w:hint="default"/>
          <w:sz w:val="20"/>
          <w:szCs w:val="20"/>
        </w:rPr>
      </w:pPr>
    </w:p>
    <w:p>
      <w:pPr>
        <w:spacing w:before="170"/>
        <w:ind w:left="138" w:right="0" w:firstLine="0"/>
        <w:jc w:val="both"/>
        <w:rPr>
          <w:rFonts w:ascii="宋体" w:hAnsi="宋体" w:cs="宋体" w:eastAsia="宋体" w:hint="default"/>
          <w:sz w:val="20"/>
          <w:szCs w:val="20"/>
        </w:rPr>
      </w:pPr>
      <w:r>
        <w:rPr>
          <w:rFonts w:ascii="Times New Roman" w:hAnsi="Times New Roman" w:cs="Times New Roman" w:eastAsia="Times New Roman" w:hint="default"/>
          <w:b/>
          <w:bCs/>
          <w:sz w:val="18"/>
          <w:szCs w:val="18"/>
        </w:rPr>
        <w:t>24</w:t>
      </w:r>
      <w:r>
        <w:rPr>
          <w:rFonts w:ascii="宋体" w:hAnsi="宋体" w:cs="宋体" w:eastAsia="宋体" w:hint="default"/>
          <w:b/>
          <w:bCs/>
          <w:sz w:val="20"/>
          <w:szCs w:val="20"/>
        </w:rPr>
        <w:t>、政府补助</w:t>
      </w:r>
      <w:r>
        <w:rPr>
          <w:rFonts w:ascii="宋体" w:hAnsi="宋体" w:cs="宋体" w:eastAsia="宋体" w:hint="default"/>
          <w:sz w:val="20"/>
          <w:szCs w:val="20"/>
        </w:rPr>
      </w:r>
    </w:p>
    <w:p>
      <w:pPr>
        <w:pStyle w:val="Heading3"/>
        <w:spacing w:line="336" w:lineRule="auto" w:before="114"/>
        <w:ind w:left="562" w:right="1683" w:hanging="5"/>
        <w:jc w:val="left"/>
      </w:pPr>
      <w:r>
        <w:rPr/>
        <w:t>（</w:t>
      </w:r>
      <w:r>
        <w:rPr>
          <w:rFonts w:ascii="Times New Roman" w:hAnsi="Times New Roman" w:cs="Times New Roman" w:eastAsia="Times New Roman" w:hint="default"/>
        </w:rPr>
        <w:t>1</w:t>
      </w:r>
      <w:r>
        <w:rPr/>
        <w:t>）类型</w:t>
      </w:r>
      <w:r>
        <w:rPr>
          <w:spacing w:val="-103"/>
        </w:rPr>
        <w:t> </w:t>
      </w:r>
      <w:r>
        <w:rPr>
          <w:spacing w:val="-103"/>
        </w:rPr>
      </w:r>
      <w:r>
        <w:rPr>
          <w:spacing w:val="-4"/>
        </w:rPr>
        <w:t>政府补助，是本公司从政府无偿取得的货币性资产与非货币性资产。分为与资产相关的</w:t>
      </w:r>
    </w:p>
    <w:p>
      <w:pPr>
        <w:pStyle w:val="Heading3"/>
        <w:spacing w:line="355" w:lineRule="auto" w:before="51"/>
        <w:ind w:left="562" w:right="1683" w:hanging="425"/>
        <w:jc w:val="left"/>
      </w:pPr>
      <w:r>
        <w:rPr/>
        <w:t>政府补助和与收益相关的政府补助。</w:t>
      </w:r>
      <w:r>
        <w:rPr>
          <w:w w:val="100"/>
        </w:rPr>
        <w:t> </w:t>
      </w:r>
      <w:r>
        <w:rPr>
          <w:spacing w:val="-4"/>
        </w:rPr>
        <w:t>与资产相关的政府补助，是指企业取得的、用于购建或以其他方式形成长期资产的政府</w:t>
      </w:r>
    </w:p>
    <w:p>
      <w:pPr>
        <w:pStyle w:val="Heading3"/>
        <w:spacing w:line="355" w:lineRule="auto" w:before="32"/>
        <w:ind w:right="1791"/>
        <w:jc w:val="both"/>
      </w:pPr>
      <w:r>
        <w:rPr>
          <w:spacing w:val="-4"/>
        </w:rPr>
        <w:t>补助，包括购买固定资产或无形资产的财政拨款、固定资产专项借款的财政贴息等。与收益</w:t>
      </w:r>
      <w:r>
        <w:rPr>
          <w:spacing w:val="-44"/>
        </w:rPr>
        <w:t> </w:t>
      </w:r>
      <w:r>
        <w:rPr>
          <w:spacing w:val="-44"/>
        </w:rPr>
      </w:r>
      <w:r>
        <w:rPr/>
        <w:t>相关的政府补助，是指除与资产相关的政府补助之外的政府补助。</w:t>
      </w:r>
    </w:p>
    <w:p>
      <w:pPr>
        <w:pStyle w:val="Heading3"/>
        <w:spacing w:line="360" w:lineRule="auto" w:before="32"/>
        <w:ind w:right="1683" w:firstLine="424"/>
        <w:jc w:val="left"/>
      </w:pPr>
      <w:r>
        <w:rPr>
          <w:spacing w:val="-4"/>
          <w:w w:val="100"/>
        </w:rPr>
        <w:t>本公司将政府补助划分为与资产相关的具体标准为：本公司取得的政府补助用于购建或</w:t>
      </w:r>
      <w:r>
        <w:rPr>
          <w:w w:val="100"/>
        </w:rPr>
        <w:t> </w:t>
      </w:r>
      <w:r>
        <w:rPr/>
        <w:t>以其他方式形成长期资产的作为与资产相关的政府补助。</w:t>
      </w:r>
    </w:p>
    <w:p>
      <w:pPr>
        <w:pStyle w:val="Heading3"/>
        <w:spacing w:line="355" w:lineRule="auto" w:before="28"/>
        <w:ind w:right="1683" w:firstLine="424"/>
        <w:jc w:val="left"/>
      </w:pPr>
      <w:r>
        <w:rPr>
          <w:spacing w:val="-4"/>
          <w:w w:val="100"/>
        </w:rPr>
        <w:t>本公司将政府补助划分为与收益相关的具体标准为：除与资产相关的政府补助之外的政</w:t>
      </w:r>
      <w:r>
        <w:rPr>
          <w:w w:val="100"/>
        </w:rPr>
        <w:t> </w:t>
      </w:r>
      <w:r>
        <w:rPr/>
        <w:t>府补助，作为与收益相关的政府补助。</w:t>
      </w:r>
    </w:p>
    <w:p>
      <w:pPr>
        <w:pStyle w:val="Heading3"/>
        <w:spacing w:line="357" w:lineRule="auto" w:before="32"/>
        <w:ind w:right="889" w:firstLine="424"/>
        <w:jc w:val="left"/>
        <w:rPr>
          <w:rFonts w:ascii="宋体" w:hAnsi="宋体" w:cs="宋体" w:eastAsia="宋体" w:hint="default"/>
        </w:rPr>
      </w:pPr>
      <w:r>
        <w:rPr>
          <w:spacing w:val="-4"/>
          <w:w w:val="100"/>
        </w:rPr>
        <w:t>对于政府文件未明确规定补助对象的，本公司将该政府补助划分为与资产相关或与收益</w:t>
      </w:r>
      <w:r>
        <w:rPr>
          <w:w w:val="100"/>
        </w:rPr>
        <w:t> </w:t>
      </w:r>
      <w:r>
        <w:rPr>
          <w:spacing w:val="-4"/>
        </w:rPr>
        <w:t>相关的判断依据为：对于政府文件未明确规定补助对象的，能够形成长期资产的，与资产价</w:t>
      </w:r>
      <w:r>
        <w:rPr>
          <w:spacing w:val="-44"/>
        </w:rPr>
        <w:t> </w:t>
      </w:r>
      <w:r>
        <w:rPr>
          <w:spacing w:val="-44"/>
        </w:rPr>
      </w:r>
      <w:r>
        <w:rPr>
          <w:spacing w:val="-4"/>
          <w:w w:val="100"/>
        </w:rPr>
        <w:t>值相对应的政府补助部分作为与资产相关的政府补助，其余部分作为与收益相关的政府补助；</w:t>
      </w:r>
      <w:r>
        <w:rPr>
          <w:spacing w:val="-85"/>
          <w:w w:val="100"/>
        </w:rPr>
        <w:t> </w:t>
      </w:r>
      <w:r>
        <w:rPr>
          <w:spacing w:val="-85"/>
          <w:w w:val="100"/>
        </w:rPr>
      </w:r>
      <w:r>
        <w:rPr/>
        <w:t>难以区分的，将政府补助整体作为与收益相关的政府补助</w:t>
      </w:r>
      <w:r>
        <w:rPr>
          <w:rFonts w:ascii="宋体" w:hAnsi="宋体" w:cs="宋体" w:eastAsia="宋体" w:hint="default"/>
          <w:b/>
          <w:bCs/>
        </w:rPr>
        <w:t>。</w:t>
      </w:r>
      <w:r>
        <w:rPr>
          <w:rFonts w:ascii="宋体" w:hAnsi="宋体" w:cs="宋体" w:eastAsia="宋体" w:hint="default"/>
        </w:rPr>
      </w:r>
    </w:p>
    <w:p>
      <w:pPr>
        <w:pStyle w:val="Heading3"/>
        <w:spacing w:line="336" w:lineRule="auto"/>
        <w:ind w:left="562" w:right="1683" w:hanging="5"/>
        <w:jc w:val="left"/>
      </w:pPr>
      <w:r>
        <w:rPr/>
        <w:t>（</w:t>
      </w:r>
      <w:r>
        <w:rPr>
          <w:rFonts w:ascii="Times New Roman" w:hAnsi="Times New Roman" w:cs="Times New Roman" w:eastAsia="Times New Roman" w:hint="default"/>
        </w:rPr>
        <w:t>2</w:t>
      </w:r>
      <w:r>
        <w:rPr/>
        <w:t>）确认时点</w:t>
      </w:r>
      <w:r>
        <w:rPr>
          <w:w w:val="100"/>
        </w:rPr>
        <w:t> </w:t>
      </w:r>
      <w:r>
        <w:rPr>
          <w:spacing w:val="-4"/>
        </w:rPr>
        <w:t>与资产相关的政府补助，在收到政府补助时确认为递延收益，并在所建造或购买的资产</w:t>
      </w:r>
    </w:p>
    <w:p>
      <w:pPr>
        <w:pStyle w:val="Heading3"/>
        <w:spacing w:line="355" w:lineRule="auto" w:before="51"/>
        <w:ind w:right="1786"/>
        <w:jc w:val="both"/>
      </w:pPr>
      <w:r>
        <w:rPr>
          <w:spacing w:val="-4"/>
        </w:rPr>
        <w:t>投入使用后，在相关资产使用期限内平均分配，计入当期损益。与收益相关的政府补助，如</w:t>
      </w:r>
      <w:r>
        <w:rPr>
          <w:spacing w:val="-39"/>
        </w:rPr>
        <w:t> </w:t>
      </w:r>
      <w:r>
        <w:rPr>
          <w:spacing w:val="-39"/>
        </w:rPr>
      </w:r>
      <w:r>
        <w:rPr>
          <w:spacing w:val="-4"/>
        </w:rPr>
        <w:t>果用于补偿已发生的相关费用或损失，则在收到时计入当期损益；如果用于补偿以后期间的</w:t>
      </w:r>
      <w:r>
        <w:rPr>
          <w:spacing w:val="-41"/>
        </w:rPr>
        <w:t> </w:t>
      </w:r>
      <w:r>
        <w:rPr>
          <w:spacing w:val="-41"/>
        </w:rPr>
      </w:r>
      <w:r>
        <w:rPr/>
        <w:t>相关费用或损失，则在收到时计入递延收益，于费用确认期间计入当期损益。</w:t>
      </w:r>
    </w:p>
    <w:p>
      <w:pPr>
        <w:pStyle w:val="Heading3"/>
        <w:spacing w:line="336" w:lineRule="auto" w:before="32"/>
        <w:ind w:left="562" w:right="1683" w:hanging="5"/>
        <w:jc w:val="left"/>
      </w:pPr>
      <w:r>
        <w:rPr/>
        <w:t>（</w:t>
      </w:r>
      <w:r>
        <w:rPr>
          <w:rFonts w:ascii="Times New Roman" w:hAnsi="Times New Roman" w:cs="Times New Roman" w:eastAsia="Times New Roman" w:hint="default"/>
        </w:rPr>
        <w:t>3</w:t>
      </w:r>
      <w:r>
        <w:rPr/>
        <w:t>）会计处理</w:t>
      </w:r>
      <w:r>
        <w:rPr>
          <w:w w:val="100"/>
        </w:rPr>
        <w:t> </w:t>
      </w:r>
      <w:r>
        <w:rPr>
          <w:spacing w:val="-4"/>
        </w:rPr>
        <w:t>与资产相关的政府补助，确认为递延收益，按照所建造或购买的资产使用年限分期计入</w:t>
      </w:r>
    </w:p>
    <w:p>
      <w:pPr>
        <w:pStyle w:val="Heading3"/>
        <w:spacing w:line="240" w:lineRule="auto" w:before="51"/>
        <w:ind w:right="0"/>
        <w:jc w:val="both"/>
      </w:pPr>
      <w:r>
        <w:rPr/>
        <w:t>当期损益。</w:t>
      </w:r>
    </w:p>
    <w:p>
      <w:pPr>
        <w:pStyle w:val="Heading3"/>
        <w:spacing w:line="357" w:lineRule="auto" w:before="133"/>
        <w:ind w:right="1683" w:firstLine="424"/>
        <w:jc w:val="left"/>
      </w:pPr>
      <w:r>
        <w:rPr>
          <w:spacing w:val="-4"/>
        </w:rPr>
        <w:t>与收益相关的政府补助，用于补偿企业以后期间的相关费用或损失的，取得时确认为递</w:t>
      </w:r>
      <w:r>
        <w:rPr>
          <w:w w:val="100"/>
        </w:rPr>
        <w:t> </w:t>
      </w:r>
      <w:r>
        <w:rPr>
          <w:spacing w:val="-1"/>
        </w:rPr>
        <w:t>延收益，在确认相关费用的期间计入当期损益；用于补偿企业已发生的相关费用或损失的，</w:t>
      </w:r>
      <w:r>
        <w:rPr>
          <w:spacing w:val="-47"/>
        </w:rPr>
        <w:t> </w:t>
      </w:r>
      <w:r>
        <w:rPr>
          <w:spacing w:val="-47"/>
        </w:rPr>
      </w:r>
      <w:r>
        <w:rPr/>
        <w:t>取得时直接计入当期损益。</w:t>
      </w:r>
    </w:p>
    <w:p>
      <w:pPr>
        <w:pStyle w:val="Heading4"/>
        <w:spacing w:line="240" w:lineRule="auto" w:before="32"/>
        <w:ind w:left="138" w:right="0"/>
        <w:jc w:val="both"/>
        <w:rPr>
          <w:b w:val="0"/>
          <w:bCs w:val="0"/>
        </w:rPr>
      </w:pPr>
      <w:r>
        <w:rPr>
          <w:rFonts w:ascii="Times New Roman" w:hAnsi="Times New Roman" w:cs="Times New Roman" w:eastAsia="Times New Roman" w:hint="default"/>
          <w:sz w:val="18"/>
          <w:szCs w:val="18"/>
        </w:rPr>
        <w:t>25</w:t>
      </w:r>
      <w:r>
        <w:rPr/>
        <w:t>、递延所得税资产</w:t>
      </w:r>
      <w:r>
        <w:rPr>
          <w:rFonts w:ascii="Times New Roman" w:hAnsi="Times New Roman" w:cs="Times New Roman" w:eastAsia="Times New Roman" w:hint="default"/>
        </w:rPr>
        <w:t>/</w:t>
      </w:r>
      <w:r>
        <w:rPr/>
        <w:t>递延所得税负债</w:t>
      </w:r>
      <w:r>
        <w:rPr>
          <w:b w:val="0"/>
          <w:bCs w:val="0"/>
        </w:rPr>
      </w:r>
    </w:p>
    <w:p>
      <w:pPr>
        <w:pStyle w:val="Heading3"/>
        <w:spacing w:line="355" w:lineRule="auto" w:before="112"/>
        <w:ind w:right="1786" w:firstLine="424"/>
        <w:jc w:val="both"/>
      </w:pPr>
      <w:r>
        <w:rPr>
          <w:spacing w:val="-4"/>
          <w:w w:val="100"/>
        </w:rPr>
        <w:t>对于可抵扣暂时性差异确认递延所得税资产，以未来期间很可能取得的用来抵扣可抵扣</w:t>
      </w:r>
      <w:r>
        <w:rPr>
          <w:w w:val="100"/>
        </w:rPr>
        <w:t> </w:t>
      </w:r>
      <w:r>
        <w:rPr>
          <w:spacing w:val="-4"/>
        </w:rPr>
        <w:t>暂时性差异的应纳税所得额为限。对于能够结转以后年度的可抵扣亏损和税款抵减，以很可</w:t>
      </w:r>
      <w:r>
        <w:rPr>
          <w:spacing w:val="-40"/>
        </w:rPr>
        <w:t> </w:t>
      </w:r>
      <w:r>
        <w:rPr>
          <w:spacing w:val="-40"/>
        </w:rPr>
      </w:r>
      <w:r>
        <w:rPr>
          <w:spacing w:val="-4"/>
          <w:w w:val="100"/>
        </w:rPr>
        <w:t>能获得用来抵扣可抵扣亏损和税款抵减的未来应纳税所得额为限，确认相应的递延所得税资</w:t>
      </w:r>
      <w:r>
        <w:rPr>
          <w:spacing w:val="-87"/>
          <w:w w:val="100"/>
        </w:rPr>
        <w:t> </w:t>
      </w:r>
      <w:r>
        <w:rPr>
          <w:spacing w:val="-87"/>
          <w:w w:val="100"/>
        </w:rPr>
      </w:r>
      <w:r>
        <w:rPr/>
        <w:t>产。</w:t>
      </w:r>
    </w:p>
    <w:p>
      <w:pPr>
        <w:pStyle w:val="Heading3"/>
        <w:spacing w:line="357" w:lineRule="auto" w:before="32"/>
        <w:ind w:left="562" w:right="1683" w:firstLine="2"/>
        <w:jc w:val="left"/>
      </w:pPr>
      <w:r>
        <w:rPr/>
        <w:t>对于应纳税暂时性差异，除特殊情况外，确认递延所得税负债。</w:t>
      </w:r>
      <w:r>
        <w:rPr>
          <w:w w:val="100"/>
        </w:rPr>
        <w:t> </w:t>
      </w:r>
      <w:r>
        <w:rPr>
          <w:spacing w:val="-4"/>
        </w:rPr>
        <w:t>不确认递延所得税资产或递延所得税负债的特殊情况包括：商誉的初始确认；除企业合</w:t>
      </w:r>
    </w:p>
    <w:p>
      <w:pPr>
        <w:pStyle w:val="Heading3"/>
        <w:spacing w:line="240" w:lineRule="auto"/>
        <w:ind w:right="1683"/>
        <w:jc w:val="left"/>
      </w:pPr>
      <w:r>
        <w:rPr>
          <w:spacing w:val="-4"/>
        </w:rPr>
        <w:t>并以外的发生时既不影响会计利润也不影响应纳税所得额（或可抵扣亏损）的其他交易或事</w:t>
      </w:r>
    </w:p>
    <w:p>
      <w:pPr>
        <w:spacing w:after="0" w:line="240" w:lineRule="auto"/>
        <w:jc w:val="left"/>
        <w:sectPr>
          <w:pgSz w:w="11910" w:h="16840"/>
          <w:pgMar w:header="733" w:footer="977" w:top="960" w:bottom="1160" w:left="1660" w:right="0"/>
        </w:sectPr>
      </w:pPr>
    </w:p>
    <w:p>
      <w:pPr>
        <w:spacing w:line="240" w:lineRule="auto" w:before="0"/>
        <w:rPr>
          <w:rFonts w:ascii="宋体" w:hAnsi="宋体" w:cs="宋体" w:eastAsia="宋体" w:hint="default"/>
          <w:sz w:val="20"/>
          <w:szCs w:val="20"/>
        </w:rPr>
      </w:pPr>
    </w:p>
    <w:p>
      <w:pPr>
        <w:pStyle w:val="Heading3"/>
        <w:spacing w:line="240" w:lineRule="auto" w:before="168"/>
        <w:ind w:left="218" w:right="0"/>
        <w:jc w:val="left"/>
      </w:pPr>
      <w:r>
        <w:rPr/>
        <w:t>项。</w:t>
      </w:r>
    </w:p>
    <w:p>
      <w:pPr>
        <w:pStyle w:val="Heading3"/>
        <w:spacing w:line="240" w:lineRule="auto" w:before="133"/>
        <w:ind w:left="642" w:right="0"/>
        <w:jc w:val="left"/>
      </w:pPr>
      <w:r>
        <w:rPr/>
        <w:t>当拥有以净额结算的法定权利，且意图以净额结算或取得资产、清偿负债同时进行时，</w:t>
      </w:r>
    </w:p>
    <w:p>
      <w:pPr>
        <w:pStyle w:val="Heading3"/>
        <w:spacing w:line="357" w:lineRule="auto" w:before="133"/>
        <w:ind w:left="638" w:right="0" w:hanging="420"/>
        <w:jc w:val="left"/>
      </w:pPr>
      <w:r>
        <w:rPr/>
        <w:t>本公司当期所得税资产及当期所得税负债以抵销后的净额列报。</w:t>
      </w:r>
      <w:r>
        <w:rPr>
          <w:w w:val="100"/>
        </w:rPr>
        <w:t> </w:t>
      </w:r>
      <w:r>
        <w:rPr>
          <w:spacing w:val="-4"/>
          <w:w w:val="100"/>
        </w:rPr>
        <w:t>当拥有以净额结算当期所得税资产及当期所得税负债的法定权利，且递延所得税资产及</w:t>
      </w:r>
    </w:p>
    <w:p>
      <w:pPr>
        <w:pStyle w:val="Heading3"/>
        <w:spacing w:line="357" w:lineRule="auto"/>
        <w:ind w:left="218" w:right="1789"/>
        <w:jc w:val="both"/>
      </w:pPr>
      <w:r>
        <w:rPr/>
        <w:t>递延所得税负债是与同一税收征管部门对同一纳税主体征收的所得税相关或者是对不同的</w:t>
      </w:r>
      <w:r>
        <w:rPr>
          <w:spacing w:val="7"/>
        </w:rPr>
        <w:t> </w:t>
      </w:r>
      <w:r>
        <w:rPr>
          <w:spacing w:val="7"/>
        </w:rPr>
      </w:r>
      <w:r>
        <w:rPr>
          <w:spacing w:val="-4"/>
        </w:rPr>
        <w:t>纳税主体相关，但在未来每一具有重要性的递延所得税资产及负债转回的期间内，涉及的纳</w:t>
      </w:r>
      <w:r>
        <w:rPr>
          <w:spacing w:val="-42"/>
        </w:rPr>
        <w:t> </w:t>
      </w:r>
      <w:r>
        <w:rPr>
          <w:spacing w:val="-42"/>
        </w:rPr>
      </w:r>
      <w:r>
        <w:rPr>
          <w:spacing w:val="-4"/>
        </w:rPr>
        <w:t>税主体意图以净额结算当期所得税资产和负债或是同时取得资产、清偿负债时，本公司递延</w:t>
      </w:r>
      <w:r>
        <w:rPr>
          <w:spacing w:val="-41"/>
        </w:rPr>
        <w:t> </w:t>
      </w:r>
      <w:r>
        <w:rPr>
          <w:spacing w:val="-41"/>
        </w:rPr>
      </w:r>
      <w:r>
        <w:rPr/>
        <w:t>所得税资产及递延所得税负债以抵销后的净额列报。</w:t>
      </w:r>
    </w:p>
    <w:p>
      <w:pPr>
        <w:spacing w:before="33"/>
        <w:ind w:left="218" w:right="0" w:firstLine="0"/>
        <w:jc w:val="both"/>
        <w:rPr>
          <w:rFonts w:ascii="宋体" w:hAnsi="宋体" w:cs="宋体" w:eastAsia="宋体" w:hint="default"/>
          <w:sz w:val="20"/>
          <w:szCs w:val="20"/>
        </w:rPr>
      </w:pPr>
      <w:r>
        <w:rPr>
          <w:rFonts w:ascii="Times New Roman" w:hAnsi="Times New Roman" w:cs="Times New Roman" w:eastAsia="Times New Roman" w:hint="default"/>
          <w:b/>
          <w:bCs/>
          <w:sz w:val="18"/>
          <w:szCs w:val="18"/>
        </w:rPr>
        <w:t>26</w:t>
      </w:r>
      <w:r>
        <w:rPr>
          <w:rFonts w:ascii="宋体" w:hAnsi="宋体" w:cs="宋体" w:eastAsia="宋体" w:hint="default"/>
          <w:b/>
          <w:bCs/>
          <w:sz w:val="20"/>
          <w:szCs w:val="20"/>
        </w:rPr>
        <w:t>、租赁</w:t>
      </w:r>
      <w:r>
        <w:rPr>
          <w:rFonts w:ascii="宋体" w:hAnsi="宋体" w:cs="宋体" w:eastAsia="宋体" w:hint="default"/>
          <w:sz w:val="20"/>
          <w:szCs w:val="20"/>
        </w:rPr>
      </w:r>
    </w:p>
    <w:p>
      <w:pPr>
        <w:pStyle w:val="Heading3"/>
        <w:spacing w:line="240" w:lineRule="auto" w:before="114"/>
        <w:ind w:left="532" w:right="0"/>
        <w:jc w:val="left"/>
      </w:pPr>
      <w:r>
        <w:rPr/>
        <w:t>（</w:t>
      </w:r>
      <w:r>
        <w:rPr>
          <w:rFonts w:ascii="Times New Roman" w:hAnsi="Times New Roman" w:cs="Times New Roman" w:eastAsia="Times New Roman" w:hint="default"/>
        </w:rPr>
        <w:t>1</w:t>
      </w:r>
      <w:r>
        <w:rPr/>
        <w:t>）经营租赁的会计处理方法</w:t>
      </w:r>
    </w:p>
    <w:p>
      <w:pPr>
        <w:pStyle w:val="Heading3"/>
        <w:spacing w:line="355" w:lineRule="auto" w:before="117"/>
        <w:ind w:left="218" w:right="0" w:firstLine="419"/>
        <w:jc w:val="left"/>
      </w:pPr>
      <w:r>
        <w:rPr>
          <w:spacing w:val="-7"/>
          <w:w w:val="100"/>
        </w:rPr>
        <w:t>①公司租入资产所支付的租赁费，在不扣除免租期的整个租赁期内，按直线法进行分摊，</w:t>
      </w:r>
      <w:r>
        <w:rPr>
          <w:w w:val="100"/>
        </w:rPr>
        <w:t> </w:t>
      </w:r>
      <w:r>
        <w:rPr/>
        <w:t>计入当期费用。公司支付的与租赁交易相关的初始直接费用，计入当期费用。</w:t>
      </w:r>
    </w:p>
    <w:p>
      <w:pPr>
        <w:pStyle w:val="Heading3"/>
        <w:spacing w:line="357" w:lineRule="auto" w:before="32"/>
        <w:ind w:left="251" w:right="1796" w:firstLine="419"/>
        <w:jc w:val="both"/>
      </w:pPr>
      <w:r>
        <w:rPr/>
        <w:t>资产出租方承担了应由公司承担的与租赁相关的费用时，公司将该部分费用从租金总</w:t>
      </w:r>
      <w:r>
        <w:rPr>
          <w:w w:val="100"/>
        </w:rPr>
        <w:t> </w:t>
      </w:r>
      <w:r>
        <w:rPr/>
        <w:t>额中扣除，按扣除后的租金费用在租赁期内分摊，计入当期费用。</w:t>
      </w:r>
    </w:p>
    <w:p>
      <w:pPr>
        <w:pStyle w:val="Heading3"/>
        <w:spacing w:line="357" w:lineRule="auto"/>
        <w:ind w:left="251" w:right="1796" w:firstLine="419"/>
        <w:jc w:val="both"/>
      </w:pPr>
      <w:r>
        <w:rPr/>
        <w:t>②公司出租资产所收取的租赁费，在不扣除免租期的整个租赁期内，按直线法进行分</w:t>
      </w:r>
      <w:r>
        <w:rPr>
          <w:w w:val="100"/>
        </w:rPr>
        <w:t> </w:t>
      </w:r>
      <w:r>
        <w:rPr/>
        <w:t>摊，确认为租赁相关收入。公司支付的与租赁交易相关的初始直接费用，计入当期费用；</w:t>
      </w:r>
      <w:r>
        <w:rPr>
          <w:spacing w:val="-23"/>
        </w:rPr>
        <w:t> </w:t>
      </w:r>
      <w:r>
        <w:rPr>
          <w:spacing w:val="-23"/>
        </w:rPr>
      </w:r>
      <w:r>
        <w:rPr/>
        <w:t>如金额较大的，则予以资本化，在整个租赁期间内按照与租赁收入确认相同的基础分期计</w:t>
      </w:r>
      <w:r>
        <w:rPr>
          <w:spacing w:val="-23"/>
        </w:rPr>
        <w:t> </w:t>
      </w:r>
      <w:r>
        <w:rPr>
          <w:spacing w:val="-23"/>
        </w:rPr>
      </w:r>
      <w:r>
        <w:rPr/>
        <w:t>入当期收益。</w:t>
      </w:r>
    </w:p>
    <w:p>
      <w:pPr>
        <w:pStyle w:val="Heading3"/>
        <w:spacing w:line="355" w:lineRule="auto"/>
        <w:ind w:left="251" w:right="1796" w:firstLine="419"/>
        <w:jc w:val="both"/>
      </w:pPr>
      <w:r>
        <w:rPr/>
        <w:t>公司承担了应由承租方承担的与租赁相关的费用时，公司将该部分费用从租金收入总</w:t>
      </w:r>
      <w:r>
        <w:rPr>
          <w:w w:val="100"/>
        </w:rPr>
        <w:t> </w:t>
      </w:r>
      <w:r>
        <w:rPr/>
        <w:t>额中扣除，按扣除后的租金费用在租赁期内分配。</w:t>
      </w:r>
    </w:p>
    <w:p>
      <w:pPr>
        <w:pStyle w:val="Heading4"/>
        <w:spacing w:line="240" w:lineRule="auto" w:before="34"/>
        <w:ind w:left="218" w:right="0"/>
        <w:jc w:val="both"/>
        <w:rPr>
          <w:b w:val="0"/>
          <w:bCs w:val="0"/>
        </w:rPr>
      </w:pPr>
      <w:r>
        <w:rPr>
          <w:rFonts w:ascii="Times New Roman" w:hAnsi="Times New Roman" w:cs="Times New Roman" w:eastAsia="Times New Roman" w:hint="default"/>
        </w:rPr>
        <w:t>27</w:t>
      </w:r>
      <w:r>
        <w:rPr/>
        <w:t>、重要会计政策和会计估计变更</w:t>
      </w:r>
      <w:r>
        <w:rPr>
          <w:b w:val="0"/>
          <w:bCs w:val="0"/>
        </w:rPr>
      </w:r>
    </w:p>
    <w:p>
      <w:pPr>
        <w:pStyle w:val="Heading4"/>
        <w:spacing w:line="240" w:lineRule="auto" w:before="112"/>
        <w:ind w:left="218" w:right="0"/>
        <w:jc w:val="both"/>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6"/>
        <w:rPr>
          <w:rFonts w:ascii="宋体" w:hAnsi="宋体" w:cs="宋体" w:eastAsia="宋体" w:hint="default"/>
          <w:b/>
          <w:bCs/>
          <w:sz w:val="22"/>
          <w:szCs w:val="22"/>
        </w:rPr>
      </w:pPr>
    </w:p>
    <w:p>
      <w:pPr>
        <w:pStyle w:val="BodyText"/>
        <w:spacing w:line="240" w:lineRule="auto"/>
        <w:ind w:left="762" w:right="0"/>
        <w:jc w:val="left"/>
      </w:pPr>
      <w:r>
        <w:rPr/>
        <w:t>财政部于</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日发布了《财政部关于修订印发</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年度一般企业财务报表格式的通知》</w:t>
      </w:r>
    </w:p>
    <w:p>
      <w:pPr>
        <w:pStyle w:val="BodyText"/>
        <w:spacing w:line="384" w:lineRule="auto" w:before="151"/>
        <w:ind w:left="762" w:right="1776"/>
        <w:jc w:val="left"/>
      </w:pPr>
      <w:r>
        <w:rPr/>
        <w:pict>
          <v:group style="position:absolute;margin-left:367.51001pt;margin-top:45.571724pt;width:.5pt;height:18.4pt;mso-position-horizontal-relative:page;mso-position-vertical-relative:paragraph;z-index:-1289200" coordorigin="7350,911" coordsize="10,368">
            <v:shape style="position:absolute;left:7350;top:911;width:10;height:2" type="#_x0000_t75" stroked="false">
              <v:imagedata r:id="rId15" o:title=""/>
            </v:shape>
            <v:group style="position:absolute;left:7350;top:933;width:10;height:20" coordorigin="7350,933" coordsize="10,20">
              <v:shape style="position:absolute;left:7350;top:933;width:10;height:20" coordorigin="7350,933" coordsize="10,20" path="m7350,952l7360,952,7360,933,7350,933,7350,952xe" filled="true" fillcolor="#000000" stroked="false">
                <v:path arrowok="t"/>
                <v:fill type="solid"/>
              </v:shape>
            </v:group>
            <v:group style="position:absolute;left:7350;top:952;width:10;height:20" coordorigin="7350,952" coordsize="10,20">
              <v:shape style="position:absolute;left:7350;top:952;width:10;height:20" coordorigin="7350,952" coordsize="10,20" path="m7350,971l7360,971,7360,952,7350,952,7350,971xe" filled="true" fillcolor="#000000" stroked="false">
                <v:path arrowok="t"/>
                <v:fill type="solid"/>
              </v:shape>
            </v:group>
            <v:group style="position:absolute;left:7350;top:971;width:10;height:20" coordorigin="7350,971" coordsize="10,20">
              <v:shape style="position:absolute;left:7350;top:971;width:10;height:20" coordorigin="7350,971" coordsize="10,20" path="m7350,991l7360,991,7360,971,7350,971,7350,991xe" filled="true" fillcolor="#000000" stroked="false">
                <v:path arrowok="t"/>
                <v:fill type="solid"/>
              </v:shape>
            </v:group>
            <v:group style="position:absolute;left:7350;top:991;width:10;height:20" coordorigin="7350,991" coordsize="10,20">
              <v:shape style="position:absolute;left:7350;top:991;width:10;height:20" coordorigin="7350,991" coordsize="10,20" path="m7350,1010l7360,1010,7360,991,7350,991,7350,1010xe" filled="true" fillcolor="#000000" stroked="false">
                <v:path arrowok="t"/>
                <v:fill type="solid"/>
              </v:shape>
            </v:group>
            <v:group style="position:absolute;left:7350;top:1010;width:10;height:20" coordorigin="7350,1010" coordsize="10,20">
              <v:shape style="position:absolute;left:7350;top:1010;width:10;height:20" coordorigin="7350,1010" coordsize="10,20" path="m7350,1029l7360,1029,7360,1010,7350,1010,7350,1029xe" filled="true" fillcolor="#000000" stroked="false">
                <v:path arrowok="t"/>
                <v:fill type="solid"/>
              </v:shape>
            </v:group>
            <v:group style="position:absolute;left:7350;top:1029;width:10;height:20" coordorigin="7350,1029" coordsize="10,20">
              <v:shape style="position:absolute;left:7350;top:1029;width:10;height:20" coordorigin="7350,1029" coordsize="10,20" path="m7350,1048l7360,1048,7360,1029,7350,1029,7350,1048xe" filled="true" fillcolor="#000000" stroked="false">
                <v:path arrowok="t"/>
                <v:fill type="solid"/>
              </v:shape>
            </v:group>
            <v:group style="position:absolute;left:7350;top:1048;width:10;height:20" coordorigin="7350,1048" coordsize="10,20">
              <v:shape style="position:absolute;left:7350;top:1048;width:10;height:20" coordorigin="7350,1048" coordsize="10,20" path="m7350,1067l7360,1067,7360,1048,7350,1048,7350,1067xe" filled="true" fillcolor="#000000" stroked="false">
                <v:path arrowok="t"/>
                <v:fill type="solid"/>
              </v:shape>
            </v:group>
            <v:group style="position:absolute;left:7350;top:1067;width:10;height:20" coordorigin="7350,1067" coordsize="10,20">
              <v:shape style="position:absolute;left:7350;top:1067;width:10;height:20" coordorigin="7350,1067" coordsize="10,20" path="m7350,1087l7360,1087,7360,1067,7350,1067,7350,1087xe" filled="true" fillcolor="#000000" stroked="false">
                <v:path arrowok="t"/>
                <v:fill type="solid"/>
              </v:shape>
            </v:group>
            <v:group style="position:absolute;left:7350;top:1087;width:10;height:20" coordorigin="7350,1087" coordsize="10,20">
              <v:shape style="position:absolute;left:7350;top:1087;width:10;height:20" coordorigin="7350,1087" coordsize="10,20" path="m7350,1106l7360,1106,7360,1087,7350,1087,7350,1106xe" filled="true" fillcolor="#000000" stroked="false">
                <v:path arrowok="t"/>
                <v:fill type="solid"/>
              </v:shape>
            </v:group>
            <v:group style="position:absolute;left:7350;top:1106;width:10;height:20" coordorigin="7350,1106" coordsize="10,20">
              <v:shape style="position:absolute;left:7350;top:1106;width:10;height:20" coordorigin="7350,1106" coordsize="10,20" path="m7350,1125l7360,1125,7360,1106,7350,1106,7350,1125xe" filled="true" fillcolor="#000000" stroked="false">
                <v:path arrowok="t"/>
                <v:fill type="solid"/>
              </v:shape>
            </v:group>
            <v:group style="position:absolute;left:7350;top:1125;width:10;height:20" coordorigin="7350,1125" coordsize="10,20">
              <v:shape style="position:absolute;left:7350;top:1125;width:10;height:20" coordorigin="7350,1125" coordsize="10,20" path="m7350,1144l7360,1144,7360,1125,7350,1125,7350,1144xe" filled="true" fillcolor="#000000" stroked="false">
                <v:path arrowok="t"/>
                <v:fill type="solid"/>
              </v:shape>
            </v:group>
            <v:group style="position:absolute;left:7350;top:1144;width:10;height:20" coordorigin="7350,1144" coordsize="10,20">
              <v:shape style="position:absolute;left:7350;top:1144;width:10;height:20" coordorigin="7350,1144" coordsize="10,20" path="m7350,1163l7360,1163,7360,1144,7350,1144,7350,1163xe" filled="true" fillcolor="#000000" stroked="false">
                <v:path arrowok="t"/>
                <v:fill type="solid"/>
              </v:shape>
            </v:group>
            <v:group style="position:absolute;left:7350;top:1163;width:10;height:20" coordorigin="7350,1163" coordsize="10,20">
              <v:shape style="position:absolute;left:7350;top:1163;width:10;height:20" coordorigin="7350,1163" coordsize="10,20" path="m7350,1183l7360,1183,7360,1163,7350,1163,7350,1183xe" filled="true" fillcolor="#000000" stroked="false">
                <v:path arrowok="t"/>
                <v:fill type="solid"/>
              </v:shape>
            </v:group>
            <v:group style="position:absolute;left:7350;top:1183;width:10;height:20" coordorigin="7350,1183" coordsize="10,20">
              <v:shape style="position:absolute;left:7350;top:1183;width:10;height:20" coordorigin="7350,1183" coordsize="10,20" path="m7350,1202l7360,1202,7360,1183,7350,1183,7350,1202xe" filled="true" fillcolor="#000000" stroked="false">
                <v:path arrowok="t"/>
                <v:fill type="solid"/>
              </v:shape>
            </v:group>
            <v:group style="position:absolute;left:7350;top:1202;width:10;height:20" coordorigin="7350,1202" coordsize="10,20">
              <v:shape style="position:absolute;left:7350;top:1202;width:10;height:20" coordorigin="7350,1202" coordsize="10,20" path="m7350,1221l7360,1221,7360,1202,7350,1202,7350,1221xe" filled="true" fillcolor="#000000" stroked="false">
                <v:path arrowok="t"/>
                <v:fill type="solid"/>
              </v:shape>
            </v:group>
            <v:group style="position:absolute;left:7350;top:1221;width:10;height:20" coordorigin="7350,1221" coordsize="10,20">
              <v:shape style="position:absolute;left:7350;top:1221;width:10;height:20" coordorigin="7350,1221" coordsize="10,20" path="m7350,1240l7360,1240,7360,1221,7350,1221,7350,1240xe" filled="true" fillcolor="#000000" stroked="false">
                <v:path arrowok="t"/>
                <v:fill type="solid"/>
              </v:shape>
            </v:group>
            <v:group style="position:absolute;left:7350;top:1240;width:10;height:20" coordorigin="7350,1240" coordsize="10,20">
              <v:shape style="position:absolute;left:7350;top:1240;width:10;height:20" coordorigin="7350,1240" coordsize="10,20" path="m7350,1259l7360,1259,7360,1240,7350,1240,7350,1259xe" filled="true" fillcolor="#000000" stroked="false">
                <v:path arrowok="t"/>
                <v:fill type="solid"/>
              </v:shape>
            </v:group>
            <v:group style="position:absolute;left:7350;top:1259;width:10;height:20" coordorigin="7350,1259" coordsize="10,20">
              <v:shape style="position:absolute;left:7350;top:1259;width:10;height:20" coordorigin="7350,1259" coordsize="10,20" path="m7350,1279l7360,1279,7360,1259,7350,1259,7350,1279xe" filled="true" fillcolor="#000000" stroked="false">
                <v:path arrowok="t"/>
                <v:fill type="solid"/>
              </v:shape>
            </v:group>
            <w10:wrap type="none"/>
          </v:group>
        </w:pict>
      </w:r>
      <w:r>
        <w:rPr/>
        <w:t>（财会（</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15</w:t>
      </w:r>
      <w:r>
        <w:rPr>
          <w:rFonts w:ascii="Times New Roman" w:hAnsi="Times New Roman" w:cs="Times New Roman" w:eastAsia="Times New Roman" w:hint="default"/>
          <w:spacing w:val="-17"/>
        </w:rPr>
        <w:t> </w:t>
      </w:r>
      <w:r>
        <w:rPr/>
        <w:t>号），对一般企业财务报表格式进行了修订。本公司执行上述规定的主要影响如 下：</w:t>
      </w:r>
    </w:p>
    <w:tbl>
      <w:tblPr>
        <w:tblW w:w="0" w:type="auto"/>
        <w:jc w:val="left"/>
        <w:tblInd w:w="110" w:type="dxa"/>
        <w:tblLayout w:type="fixed"/>
        <w:tblCellMar>
          <w:top w:w="0" w:type="dxa"/>
          <w:left w:w="0" w:type="dxa"/>
          <w:bottom w:w="0" w:type="dxa"/>
          <w:right w:w="0" w:type="dxa"/>
        </w:tblCellMar>
        <w:tblLook w:val="01E0"/>
      </w:tblPr>
      <w:tblGrid>
        <w:gridCol w:w="5665"/>
        <w:gridCol w:w="2866"/>
      </w:tblGrid>
      <w:tr>
        <w:trPr>
          <w:trHeight w:val="420" w:hRule="exact"/>
        </w:trPr>
        <w:tc>
          <w:tcPr>
            <w:tcW w:w="5665" w:type="dxa"/>
            <w:tcBorders>
              <w:top w:val="single" w:sz="12" w:space="0" w:color="000000"/>
              <w:left w:val="nil" w:sz="6" w:space="0" w:color="auto"/>
              <w:bottom w:val="single" w:sz="4" w:space="0" w:color="000000"/>
              <w:right w:val="nil" w:sz="6" w:space="0" w:color="auto"/>
            </w:tcBorders>
          </w:tcPr>
          <w:p>
            <w:pPr>
              <w:pStyle w:val="TableParagraph"/>
              <w:spacing w:line="240" w:lineRule="auto" w:before="74"/>
              <w:ind w:left="175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866" w:type="dxa"/>
            <w:tcBorders>
              <w:top w:val="single" w:sz="12" w:space="0" w:color="000000"/>
              <w:left w:val="nil" w:sz="6" w:space="0" w:color="auto"/>
              <w:bottom w:val="single" w:sz="4" w:space="0" w:color="000000"/>
              <w:right w:val="nil" w:sz="6" w:space="0" w:color="auto"/>
            </w:tcBorders>
          </w:tcPr>
          <w:p>
            <w:pPr>
              <w:pStyle w:val="TableParagraph"/>
              <w:spacing w:line="240" w:lineRule="auto" w:before="74"/>
              <w:ind w:right="5"/>
              <w:jc w:val="center"/>
              <w:rPr>
                <w:rFonts w:ascii="宋体" w:hAnsi="宋体" w:cs="宋体" w:eastAsia="宋体" w:hint="default"/>
                <w:sz w:val="18"/>
                <w:szCs w:val="18"/>
              </w:rPr>
            </w:pPr>
            <w:r>
              <w:rPr>
                <w:rFonts w:ascii="宋体" w:hAnsi="宋体" w:cs="宋体" w:eastAsia="宋体" w:hint="default"/>
                <w:sz w:val="18"/>
                <w:szCs w:val="18"/>
              </w:rPr>
              <w:t>受影响的报表项目名称及金额</w:t>
            </w:r>
          </w:p>
        </w:tc>
      </w:tr>
      <w:tr>
        <w:trPr>
          <w:trHeight w:val="2330" w:hRule="exact"/>
        </w:trPr>
        <w:tc>
          <w:tcPr>
            <w:tcW w:w="5665" w:type="dxa"/>
            <w:tcBorders>
              <w:top w:val="single" w:sz="4" w:space="0" w:color="000000"/>
              <w:left w:val="nil" w:sz="6" w:space="0" w:color="auto"/>
              <w:bottom w:val="single" w:sz="4" w:space="0" w:color="000000"/>
              <w:right w:val="single" w:sz="4" w:space="0" w:color="000000"/>
            </w:tcBorders>
          </w:tcPr>
          <w:p>
            <w:pPr>
              <w:pStyle w:val="TableParagraph"/>
              <w:spacing w:line="324" w:lineRule="auto" w:before="76"/>
              <w:ind w:left="107" w:right="1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）资产负债表中“应收票据”和“应收账款”合并列示为“应收票 据及应收账款”；“应付票据”和“应付账款”合并列示为“应付票</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据及应付账款”；“应收利息”和“应收股利”并入“其他应收款”</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列示；“应付利息”和“应付股利”并入“其他应付款”列示；“固</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2"/>
                <w:sz w:val="18"/>
                <w:szCs w:val="18"/>
              </w:rPr>
              <w:t>定资产清理”并入“固定资产”列示；“工程物资”并入“在建工程”</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列示；“专项应付款”并入“长期应付款”列示。比较期数据相应调</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整。</w:t>
            </w:r>
          </w:p>
        </w:tc>
        <w:tc>
          <w:tcPr>
            <w:tcW w:w="2866"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见下表</w:t>
            </w:r>
          </w:p>
        </w:tc>
      </w:tr>
      <w:tr>
        <w:trPr>
          <w:trHeight w:val="711" w:hRule="exact"/>
        </w:trPr>
        <w:tc>
          <w:tcPr>
            <w:tcW w:w="5665" w:type="dxa"/>
            <w:tcBorders>
              <w:top w:val="single" w:sz="4" w:space="0" w:color="000000"/>
              <w:left w:val="nil" w:sz="6" w:space="0" w:color="auto"/>
              <w:bottom w:val="single" w:sz="4" w:space="0" w:color="000000"/>
              <w:right w:val="single" w:sz="4" w:space="0" w:color="000000"/>
            </w:tcBorders>
          </w:tcPr>
          <w:p>
            <w:pPr>
              <w:pStyle w:val="TableParagraph"/>
              <w:spacing w:line="307" w:lineRule="auto" w:before="96"/>
              <w:ind w:left="107" w:right="102"/>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）在利润表中新增“研发费用”项目，将原“管理费用”中的研发</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费用重分类至“研发费用”单独列示；在利润表中财务费用项下新增</w:t>
            </w:r>
          </w:p>
        </w:tc>
        <w:tc>
          <w:tcPr>
            <w:tcW w:w="2866" w:type="dxa"/>
            <w:tcBorders>
              <w:top w:val="nil" w:sz="6" w:space="0" w:color="auto"/>
              <w:left w:val="single" w:sz="4" w:space="0" w:color="000000"/>
              <w:bottom w:val="single" w:sz="12" w:space="0" w:color="000000"/>
              <w:right w:val="nil" w:sz="6" w:space="0" w:color="auto"/>
            </w:tcBorders>
          </w:tcPr>
          <w:p>
            <w:pPr/>
          </w:p>
        </w:tc>
      </w:tr>
    </w:tbl>
    <w:p>
      <w:pPr>
        <w:spacing w:after="0"/>
        <w:sectPr>
          <w:pgSz w:w="11910" w:h="16840"/>
          <w:pgMar w:header="733" w:footer="977" w:top="960" w:bottom="1160" w:left="1580" w:right="0"/>
        </w:sectPr>
      </w:pPr>
    </w:p>
    <w:p>
      <w:pPr>
        <w:spacing w:line="240" w:lineRule="auto" w:before="0"/>
        <w:rPr>
          <w:rFonts w:ascii="宋体" w:hAnsi="宋体" w:cs="宋体" w:eastAsia="宋体" w:hint="default"/>
          <w:sz w:val="20"/>
          <w:szCs w:val="20"/>
        </w:rPr>
      </w:pPr>
      <w:r>
        <w:rPr/>
        <w:pict>
          <v:group style="position:absolute;margin-left:367.51001pt;margin-top:73.439980pt;width:.5pt;height:75.650pt;mso-position-horizontal-relative:page;mso-position-vertical-relative:page;z-index:-1289176" coordorigin="7350,1469" coordsize="10,1513">
            <v:shape style="position:absolute;left:7350;top:1469;width:10;height:2" type="#_x0000_t75" stroked="false">
              <v:imagedata r:id="rId15" o:title=""/>
            </v:shape>
            <v:group style="position:absolute;left:7350;top:1490;width:10;height:20" coordorigin="7350,1490" coordsize="10,20">
              <v:shape style="position:absolute;left:7350;top:1490;width:10;height:20" coordorigin="7350,1490" coordsize="10,20" path="m7350,1510l7360,1510,7360,1490,7350,1490,7350,1510xe" filled="true" fillcolor="#000000" stroked="false">
                <v:path arrowok="t"/>
                <v:fill type="solid"/>
              </v:shape>
            </v:group>
            <v:group style="position:absolute;left:7350;top:1510;width:10;height:20" coordorigin="7350,1510" coordsize="10,20">
              <v:shape style="position:absolute;left:7350;top:1510;width:10;height:20" coordorigin="7350,1510" coordsize="10,20" path="m7350,1529l7360,1529,7360,1510,7350,1510,7350,1529xe" filled="true" fillcolor="#000000" stroked="false">
                <v:path arrowok="t"/>
                <v:fill type="solid"/>
              </v:shape>
            </v:group>
            <v:group style="position:absolute;left:7350;top:1529;width:10;height:20" coordorigin="7350,1529" coordsize="10,20">
              <v:shape style="position:absolute;left:7350;top:1529;width:10;height:20" coordorigin="7350,1529" coordsize="10,20" path="m7350,1548l7360,1548,7360,1529,7350,1529,7350,1548xe" filled="true" fillcolor="#000000" stroked="false">
                <v:path arrowok="t"/>
                <v:fill type="solid"/>
              </v:shape>
            </v:group>
            <v:group style="position:absolute;left:7350;top:1548;width:10;height:20" coordorigin="7350,1548" coordsize="10,20">
              <v:shape style="position:absolute;left:7350;top:1548;width:10;height:20" coordorigin="7350,1548" coordsize="10,20" path="m7350,1567l7360,1567,7360,1548,7350,1548,7350,1567xe" filled="true" fillcolor="#000000" stroked="false">
                <v:path arrowok="t"/>
                <v:fill type="solid"/>
              </v:shape>
            </v:group>
            <v:group style="position:absolute;left:7350;top:1567;width:10;height:20" coordorigin="7350,1567" coordsize="10,20">
              <v:shape style="position:absolute;left:7350;top:1567;width:10;height:20" coordorigin="7350,1567" coordsize="10,20" path="m7350,1586l7360,1586,7360,1567,7350,1567,7350,1586xe" filled="true" fillcolor="#000000" stroked="false">
                <v:path arrowok="t"/>
                <v:fill type="solid"/>
              </v:shape>
            </v:group>
            <v:group style="position:absolute;left:7350;top:1586;width:10;height:20" coordorigin="7350,1586" coordsize="10,20">
              <v:shape style="position:absolute;left:7350;top:1586;width:10;height:20" coordorigin="7350,1586" coordsize="10,20" path="m7350,1606l7360,1606,7360,1586,7350,1586,7350,1606xe" filled="true" fillcolor="#000000" stroked="false">
                <v:path arrowok="t"/>
                <v:fill type="solid"/>
              </v:shape>
            </v:group>
            <v:group style="position:absolute;left:7350;top:1606;width:10;height:20" coordorigin="7350,1606" coordsize="10,20">
              <v:shape style="position:absolute;left:7350;top:1606;width:10;height:20" coordorigin="7350,1606" coordsize="10,20" path="m7350,1625l7360,1625,7360,1606,7350,1606,7350,1625xe" filled="true" fillcolor="#000000" stroked="false">
                <v:path arrowok="t"/>
                <v:fill type="solid"/>
              </v:shape>
            </v:group>
            <v:group style="position:absolute;left:7350;top:1625;width:10;height:20" coordorigin="7350,1625" coordsize="10,20">
              <v:shape style="position:absolute;left:7350;top:1625;width:10;height:20" coordorigin="7350,1625" coordsize="10,20" path="m7350,1644l7360,1644,7360,1625,7350,1625,7350,1644xe" filled="true" fillcolor="#000000" stroked="false">
                <v:path arrowok="t"/>
                <v:fill type="solid"/>
              </v:shape>
            </v:group>
            <v:group style="position:absolute;left:7350;top:1644;width:10;height:20" coordorigin="7350,1644" coordsize="10,20">
              <v:shape style="position:absolute;left:7350;top:1644;width:10;height:20" coordorigin="7350,1644" coordsize="10,20" path="m7350,1664l7360,1664,7360,1644,7350,1644,7350,1664xe" filled="true" fillcolor="#000000" stroked="false">
                <v:path arrowok="t"/>
                <v:fill type="solid"/>
              </v:shape>
            </v:group>
            <v:group style="position:absolute;left:7350;top:1664;width:10;height:20" coordorigin="7350,1664" coordsize="10,20">
              <v:shape style="position:absolute;left:7350;top:1664;width:10;height:20" coordorigin="7350,1664" coordsize="10,20" path="m7350,1683l7360,1683,7360,1664,7350,1664,7350,1683xe" filled="true" fillcolor="#000000" stroked="false">
                <v:path arrowok="t"/>
                <v:fill type="solid"/>
              </v:shape>
            </v:group>
            <v:group style="position:absolute;left:7350;top:1683;width:10;height:20" coordorigin="7350,1683" coordsize="10,20">
              <v:shape style="position:absolute;left:7350;top:1683;width:10;height:20" coordorigin="7350,1683" coordsize="10,20" path="m7350,1702l7360,1702,7360,1683,7350,1683,7350,1702xe" filled="true" fillcolor="#000000" stroked="false">
                <v:path arrowok="t"/>
                <v:fill type="solid"/>
              </v:shape>
            </v:group>
            <v:group style="position:absolute;left:7350;top:1702;width:10;height:20" coordorigin="7350,1702" coordsize="10,20">
              <v:shape style="position:absolute;left:7350;top:1702;width:10;height:20" coordorigin="7350,1702" coordsize="10,20" path="m7350,1721l7360,1721,7360,1702,7350,1702,7350,1721xe" filled="true" fillcolor="#000000" stroked="false">
                <v:path arrowok="t"/>
                <v:fill type="solid"/>
              </v:shape>
            </v:group>
            <v:group style="position:absolute;left:7350;top:1721;width:10;height:20" coordorigin="7350,1721" coordsize="10,20">
              <v:shape style="position:absolute;left:7350;top:1721;width:10;height:20" coordorigin="7350,1721" coordsize="10,20" path="m7350,1740l7360,1740,7360,1721,7350,1721,7350,1740xe" filled="true" fillcolor="#000000" stroked="false">
                <v:path arrowok="t"/>
                <v:fill type="solid"/>
              </v:shape>
            </v:group>
            <v:group style="position:absolute;left:7350;top:1740;width:10;height:20" coordorigin="7350,1740" coordsize="10,20">
              <v:shape style="position:absolute;left:7350;top:1740;width:10;height:20" coordorigin="7350,1740" coordsize="10,20" path="m7350,1760l7360,1760,7360,1740,7350,1740,7350,1760xe" filled="true" fillcolor="#000000" stroked="false">
                <v:path arrowok="t"/>
                <v:fill type="solid"/>
              </v:shape>
            </v:group>
            <v:group style="position:absolute;left:7350;top:1760;width:10;height:20" coordorigin="7350,1760" coordsize="10,20">
              <v:shape style="position:absolute;left:7350;top:1760;width:10;height:20" coordorigin="7350,1760" coordsize="10,20" path="m7350,1779l7360,1779,7360,1760,7350,1760,7350,1779xe" filled="true" fillcolor="#000000" stroked="false">
                <v:path arrowok="t"/>
                <v:fill type="solid"/>
              </v:shape>
            </v:group>
            <v:group style="position:absolute;left:7350;top:1779;width:10;height:20" coordorigin="7350,1779" coordsize="10,20">
              <v:shape style="position:absolute;left:7350;top:1779;width:10;height:20" coordorigin="7350,1779" coordsize="10,20" path="m7350,1798l7360,1798,7360,1779,7350,1779,7350,1798xe" filled="true" fillcolor="#000000" stroked="false">
                <v:path arrowok="t"/>
                <v:fill type="solid"/>
              </v:shape>
            </v:group>
            <v:group style="position:absolute;left:7350;top:1798;width:10;height:20" coordorigin="7350,1798" coordsize="10,20">
              <v:shape style="position:absolute;left:7350;top:1798;width:10;height:20" coordorigin="7350,1798" coordsize="10,20" path="m7350,1817l7360,1817,7360,1798,7350,1798,7350,1817xe" filled="true" fillcolor="#000000" stroked="false">
                <v:path arrowok="t"/>
                <v:fill type="solid"/>
              </v:shape>
            </v:group>
            <v:group style="position:absolute;left:7350;top:1817;width:10;height:20" coordorigin="7350,1817" coordsize="10,20">
              <v:shape style="position:absolute;left:7350;top:1817;width:10;height:20" coordorigin="7350,1817" coordsize="10,20" path="m7350,1836l7360,1836,7360,1817,7350,1817,7350,1836xe" filled="true" fillcolor="#000000" stroked="false">
                <v:path arrowok="t"/>
                <v:fill type="solid"/>
              </v:shape>
            </v:group>
            <v:group style="position:absolute;left:7350;top:1899;width:10;height:20" coordorigin="7350,1899" coordsize="10,20">
              <v:shape style="position:absolute;left:7350;top:1899;width:10;height:20" coordorigin="7350,1899" coordsize="10,20" path="m7350,1918l7360,1918,7360,1899,7350,1899,7350,1918xe" filled="true" fillcolor="#000000" stroked="false">
                <v:path arrowok="t"/>
                <v:fill type="solid"/>
              </v:shape>
            </v:group>
            <v:group style="position:absolute;left:7350;top:1918;width:10;height:20" coordorigin="7350,1918" coordsize="10,20">
              <v:shape style="position:absolute;left:7350;top:1918;width:10;height:20" coordorigin="7350,1918" coordsize="10,20" path="m7350,1937l7360,1937,7360,1918,7350,1918,7350,1937xe" filled="true" fillcolor="#000000" stroked="false">
                <v:path arrowok="t"/>
                <v:fill type="solid"/>
              </v:shape>
            </v:group>
            <v:group style="position:absolute;left:7350;top:1937;width:10;height:20" coordorigin="7350,1937" coordsize="10,20">
              <v:shape style="position:absolute;left:7350;top:1937;width:10;height:20" coordorigin="7350,1937" coordsize="10,20" path="m7350,1956l7360,1956,7360,1937,7350,1937,7350,1956xe" filled="true" fillcolor="#000000" stroked="false">
                <v:path arrowok="t"/>
                <v:fill type="solid"/>
              </v:shape>
            </v:group>
            <v:group style="position:absolute;left:7350;top:1956;width:10;height:20" coordorigin="7350,1956" coordsize="10,20">
              <v:shape style="position:absolute;left:7350;top:1956;width:10;height:20" coordorigin="7350,1956" coordsize="10,20" path="m7350,1976l7360,1976,7360,1956,7350,1956,7350,1976xe" filled="true" fillcolor="#000000" stroked="false">
                <v:path arrowok="t"/>
                <v:fill type="solid"/>
              </v:shape>
            </v:group>
            <v:group style="position:absolute;left:7350;top:1976;width:10;height:20" coordorigin="7350,1976" coordsize="10,20">
              <v:shape style="position:absolute;left:7350;top:1976;width:10;height:20" coordorigin="7350,1976" coordsize="10,20" path="m7350,1995l7360,1995,7360,1976,7350,1976,7350,1995xe" filled="true" fillcolor="#000000" stroked="false">
                <v:path arrowok="t"/>
                <v:fill type="solid"/>
              </v:shape>
            </v:group>
            <v:group style="position:absolute;left:7350;top:1995;width:10;height:20" coordorigin="7350,1995" coordsize="10,20">
              <v:shape style="position:absolute;left:7350;top:1995;width:10;height:20" coordorigin="7350,1995" coordsize="10,20" path="m7350,2014l7360,2014,7360,1995,7350,1995,7350,2014xe" filled="true" fillcolor="#000000" stroked="false">
                <v:path arrowok="t"/>
                <v:fill type="solid"/>
              </v:shape>
            </v:group>
            <v:group style="position:absolute;left:7350;top:2014;width:10;height:20" coordorigin="7350,2014" coordsize="10,20">
              <v:shape style="position:absolute;left:7350;top:2014;width:10;height:20" coordorigin="7350,2014" coordsize="10,20" path="m7350,2033l7360,2033,7360,2014,7350,2014,7350,2033xe" filled="true" fillcolor="#000000" stroked="false">
                <v:path arrowok="t"/>
                <v:fill type="solid"/>
              </v:shape>
            </v:group>
            <v:group style="position:absolute;left:7350;top:2033;width:10;height:20" coordorigin="7350,2033" coordsize="10,20">
              <v:shape style="position:absolute;left:7350;top:2033;width:10;height:20" coordorigin="7350,2033" coordsize="10,20" path="m7350,2052l7360,2052,7360,2033,7350,2033,7350,2052xe" filled="true" fillcolor="#000000" stroked="false">
                <v:path arrowok="t"/>
                <v:fill type="solid"/>
              </v:shape>
            </v:group>
            <v:group style="position:absolute;left:7350;top:2052;width:10;height:20" coordorigin="7350,2052" coordsize="10,20">
              <v:shape style="position:absolute;left:7350;top:2052;width:10;height:20" coordorigin="7350,2052" coordsize="10,20" path="m7350,2072l7360,2072,7360,2052,7350,2052,7350,2072xe" filled="true" fillcolor="#000000" stroked="false">
                <v:path arrowok="t"/>
                <v:fill type="solid"/>
              </v:shape>
            </v:group>
            <v:group style="position:absolute;left:7350;top:2072;width:10;height:20" coordorigin="7350,2072" coordsize="10,20">
              <v:shape style="position:absolute;left:7350;top:2072;width:10;height:20" coordorigin="7350,2072" coordsize="10,20" path="m7350,2091l7360,2091,7360,2072,7350,2072,7350,2091xe" filled="true" fillcolor="#000000" stroked="false">
                <v:path arrowok="t"/>
                <v:fill type="solid"/>
              </v:shape>
            </v:group>
            <v:group style="position:absolute;left:7350;top:2091;width:10;height:20" coordorigin="7350,2091" coordsize="10,20">
              <v:shape style="position:absolute;left:7350;top:2091;width:10;height:20" coordorigin="7350,2091" coordsize="10,20" path="m7350,2110l7360,2110,7360,2091,7350,2091,7350,2110xe" filled="true" fillcolor="#000000" stroked="false">
                <v:path arrowok="t"/>
                <v:fill type="solid"/>
              </v:shape>
            </v:group>
            <v:group style="position:absolute;left:7350;top:2110;width:10;height:20" coordorigin="7350,2110" coordsize="10,20">
              <v:shape style="position:absolute;left:7350;top:2110;width:10;height:20" coordorigin="7350,2110" coordsize="10,20" path="m7350,2129l7360,2129,7360,2110,7350,2110,7350,2129xe" filled="true" fillcolor="#000000" stroked="false">
                <v:path arrowok="t"/>
                <v:fill type="solid"/>
              </v:shape>
            </v:group>
            <v:group style="position:absolute;left:7350;top:2129;width:10;height:20" coordorigin="7350,2129" coordsize="10,20">
              <v:shape style="position:absolute;left:7350;top:2129;width:10;height:20" coordorigin="7350,2129" coordsize="10,20" path="m7350,2148l7360,2148,7360,2129,7350,2129,7350,2148xe" filled="true" fillcolor="#000000" stroked="false">
                <v:path arrowok="t"/>
                <v:fill type="solid"/>
              </v:shape>
            </v:group>
            <v:group style="position:absolute;left:7350;top:2148;width:10;height:20" coordorigin="7350,2148" coordsize="10,20">
              <v:shape style="position:absolute;left:7350;top:2148;width:10;height:20" coordorigin="7350,2148" coordsize="10,20" path="m7350,2168l7360,2168,7360,2148,7350,2148,7350,2168xe" filled="true" fillcolor="#000000" stroked="false">
                <v:path arrowok="t"/>
                <v:fill type="solid"/>
              </v:shape>
            </v:group>
            <v:group style="position:absolute;left:7350;top:2168;width:10;height:20" coordorigin="7350,2168" coordsize="10,20">
              <v:shape style="position:absolute;left:7350;top:2168;width:10;height:20" coordorigin="7350,2168" coordsize="10,20" path="m7350,2187l7360,2187,7360,2168,7350,2168,7350,2187xe" filled="true" fillcolor="#000000" stroked="false">
                <v:path arrowok="t"/>
                <v:fill type="solid"/>
              </v:shape>
            </v:group>
            <v:group style="position:absolute;left:7350;top:2187;width:10;height:20" coordorigin="7350,2187" coordsize="10,20">
              <v:shape style="position:absolute;left:7350;top:2187;width:10;height:20" coordorigin="7350,2187" coordsize="10,20" path="m7350,2206l7360,2206,7360,2187,7350,2187,7350,2206xe" filled="true" fillcolor="#000000" stroked="false">
                <v:path arrowok="t"/>
                <v:fill type="solid"/>
              </v:shape>
            </v:group>
            <v:group style="position:absolute;left:7350;top:2271;width:10;height:20" coordorigin="7350,2271" coordsize="10,20">
              <v:shape style="position:absolute;left:7350;top:2271;width:10;height:20" coordorigin="7350,2271" coordsize="10,20" path="m7350,2290l7360,2290,7360,2271,7350,2271,7350,2290xe" filled="true" fillcolor="#000000" stroked="false">
                <v:path arrowok="t"/>
                <v:fill type="solid"/>
              </v:shape>
            </v:group>
            <v:group style="position:absolute;left:7350;top:2290;width:10;height:20" coordorigin="7350,2290" coordsize="10,20">
              <v:shape style="position:absolute;left:7350;top:2290;width:10;height:20" coordorigin="7350,2290" coordsize="10,20" path="m7350,2309l7360,2309,7360,2290,7350,2290,7350,2309xe" filled="true" fillcolor="#000000" stroked="false">
                <v:path arrowok="t"/>
                <v:fill type="solid"/>
              </v:shape>
            </v:group>
            <v:group style="position:absolute;left:7350;top:2309;width:10;height:20" coordorigin="7350,2309" coordsize="10,20">
              <v:shape style="position:absolute;left:7350;top:2309;width:10;height:20" coordorigin="7350,2309" coordsize="10,20" path="m7350,2328l7360,2328,7360,2309,7350,2309,7350,2328xe" filled="true" fillcolor="#000000" stroked="false">
                <v:path arrowok="t"/>
                <v:fill type="solid"/>
              </v:shape>
            </v:group>
            <v:group style="position:absolute;left:7350;top:2328;width:10;height:20" coordorigin="7350,2328" coordsize="10,20">
              <v:shape style="position:absolute;left:7350;top:2328;width:10;height:20" coordorigin="7350,2328" coordsize="10,20" path="m7350,2348l7360,2348,7360,2328,7350,2328,7350,2348xe" filled="true" fillcolor="#000000" stroked="false">
                <v:path arrowok="t"/>
                <v:fill type="solid"/>
              </v:shape>
            </v:group>
            <v:group style="position:absolute;left:7350;top:2348;width:10;height:20" coordorigin="7350,2348" coordsize="10,20">
              <v:shape style="position:absolute;left:7350;top:2348;width:10;height:20" coordorigin="7350,2348" coordsize="10,20" path="m7350,2367l7360,2367,7360,2348,7350,2348,7350,2367xe" filled="true" fillcolor="#000000" stroked="false">
                <v:path arrowok="t"/>
                <v:fill type="solid"/>
              </v:shape>
            </v:group>
            <v:group style="position:absolute;left:7350;top:2367;width:10;height:20" coordorigin="7350,2367" coordsize="10,20">
              <v:shape style="position:absolute;left:7350;top:2367;width:10;height:20" coordorigin="7350,2367" coordsize="10,20" path="m7350,2386l7360,2386,7360,2367,7350,2367,7350,2386xe" filled="true" fillcolor="#000000" stroked="false">
                <v:path arrowok="t"/>
                <v:fill type="solid"/>
              </v:shape>
            </v:group>
            <v:group style="position:absolute;left:7350;top:2386;width:10;height:20" coordorigin="7350,2386" coordsize="10,20">
              <v:shape style="position:absolute;left:7350;top:2386;width:10;height:20" coordorigin="7350,2386" coordsize="10,20" path="m7350,2405l7360,2405,7360,2386,7350,2386,7350,2405xe" filled="true" fillcolor="#000000" stroked="false">
                <v:path arrowok="t"/>
                <v:fill type="solid"/>
              </v:shape>
            </v:group>
            <v:group style="position:absolute;left:7350;top:2405;width:10;height:20" coordorigin="7350,2405" coordsize="10,20">
              <v:shape style="position:absolute;left:7350;top:2405;width:10;height:20" coordorigin="7350,2405" coordsize="10,20" path="m7350,2424l7360,2424,7360,2405,7350,2405,7350,2424xe" filled="true" fillcolor="#000000" stroked="false">
                <v:path arrowok="t"/>
                <v:fill type="solid"/>
              </v:shape>
            </v:group>
            <v:group style="position:absolute;left:7350;top:2424;width:10;height:20" coordorigin="7350,2424" coordsize="10,20">
              <v:shape style="position:absolute;left:7350;top:2424;width:10;height:20" coordorigin="7350,2424" coordsize="10,20" path="m7350,2444l7360,2444,7360,2424,7350,2424,7350,2444xe" filled="true" fillcolor="#000000" stroked="false">
                <v:path arrowok="t"/>
                <v:fill type="solid"/>
              </v:shape>
            </v:group>
            <v:group style="position:absolute;left:7350;top:2444;width:10;height:20" coordorigin="7350,2444" coordsize="10,20">
              <v:shape style="position:absolute;left:7350;top:2444;width:10;height:20" coordorigin="7350,2444" coordsize="10,20" path="m7350,2463l7360,2463,7360,2444,7350,2444,7350,2463xe" filled="true" fillcolor="#000000" stroked="false">
                <v:path arrowok="t"/>
                <v:fill type="solid"/>
              </v:shape>
            </v:group>
            <v:group style="position:absolute;left:7350;top:2463;width:10;height:20" coordorigin="7350,2463" coordsize="10,20">
              <v:shape style="position:absolute;left:7350;top:2463;width:10;height:20" coordorigin="7350,2463" coordsize="10,20" path="m7350,2482l7360,2482,7360,2463,7350,2463,7350,2482xe" filled="true" fillcolor="#000000" stroked="false">
                <v:path arrowok="t"/>
                <v:fill type="solid"/>
              </v:shape>
            </v:group>
            <v:group style="position:absolute;left:7350;top:2482;width:10;height:20" coordorigin="7350,2482" coordsize="10,20">
              <v:shape style="position:absolute;left:7350;top:2482;width:10;height:20" coordorigin="7350,2482" coordsize="10,20" path="m7350,2501l7360,2501,7360,2482,7350,2482,7350,2501xe" filled="true" fillcolor="#000000" stroked="false">
                <v:path arrowok="t"/>
                <v:fill type="solid"/>
              </v:shape>
            </v:group>
            <v:group style="position:absolute;left:7350;top:2501;width:10;height:20" coordorigin="7350,2501" coordsize="10,20">
              <v:shape style="position:absolute;left:7350;top:2501;width:10;height:20" coordorigin="7350,2501" coordsize="10,20" path="m7350,2520l7360,2520,7360,2501,7350,2501,7350,2520xe" filled="true" fillcolor="#000000" stroked="false">
                <v:path arrowok="t"/>
                <v:fill type="solid"/>
              </v:shape>
            </v:group>
            <v:group style="position:absolute;left:7350;top:2520;width:10;height:20" coordorigin="7350,2520" coordsize="10,20">
              <v:shape style="position:absolute;left:7350;top:2520;width:10;height:20" coordorigin="7350,2520" coordsize="10,20" path="m7350,2540l7360,2540,7360,2520,7350,2520,7350,2540xe" filled="true" fillcolor="#000000" stroked="false">
                <v:path arrowok="t"/>
                <v:fill type="solid"/>
              </v:shape>
            </v:group>
            <v:group style="position:absolute;left:7350;top:2540;width:10;height:20" coordorigin="7350,2540" coordsize="10,20">
              <v:shape style="position:absolute;left:7350;top:2540;width:10;height:20" coordorigin="7350,2540" coordsize="10,20" path="m7350,2559l7360,2559,7360,2540,7350,2540,7350,2559xe" filled="true" fillcolor="#000000" stroked="false">
                <v:path arrowok="t"/>
                <v:fill type="solid"/>
              </v:shape>
            </v:group>
            <v:group style="position:absolute;left:7350;top:2559;width:10;height:20" coordorigin="7350,2559" coordsize="10,20">
              <v:shape style="position:absolute;left:7350;top:2559;width:10;height:20" coordorigin="7350,2559" coordsize="10,20" path="m7350,2578l7360,2578,7360,2559,7350,2559,7350,2578xe" filled="true" fillcolor="#000000" stroked="false">
                <v:path arrowok="t"/>
                <v:fill type="solid"/>
              </v:shape>
            </v:group>
            <v:group style="position:absolute;left:7350;top:2578;width:10;height:20" coordorigin="7350,2578" coordsize="10,20">
              <v:shape style="position:absolute;left:7350;top:2578;width:10;height:20" coordorigin="7350,2578" coordsize="10,20" path="m7350,2597l7360,2597,7360,2578,7350,2578,7350,2597xe" filled="true" fillcolor="#000000" stroked="false">
                <v:path arrowok="t"/>
                <v:fill type="solid"/>
              </v:shape>
            </v:group>
            <v:group style="position:absolute;left:7350;top:2597;width:10;height:20" coordorigin="7350,2597" coordsize="10,20">
              <v:shape style="position:absolute;left:7350;top:2597;width:10;height:20" coordorigin="7350,2597" coordsize="10,20" path="m7350,2616l7360,2616,7360,2597,7350,2597,7350,2616xe" filled="true" fillcolor="#000000" stroked="false">
                <v:path arrowok="t"/>
                <v:fill type="solid"/>
              </v:shape>
            </v:group>
            <v:group style="position:absolute;left:7350;top:2616;width:10;height:20" coordorigin="7350,2616" coordsize="10,20">
              <v:shape style="position:absolute;left:7350;top:2616;width:10;height:20" coordorigin="7350,2616" coordsize="10,20" path="m7350,2636l7360,2636,7360,2616,7350,2616,7350,2636xe" filled="true" fillcolor="#000000" stroked="false">
                <v:path arrowok="t"/>
                <v:fill type="solid"/>
              </v:shape>
            </v:group>
            <v:group style="position:absolute;left:7350;top:2636;width:10;height:20" coordorigin="7350,2636" coordsize="10,20">
              <v:shape style="position:absolute;left:7350;top:2636;width:10;height:20" coordorigin="7350,2636" coordsize="10,20" path="m7350,2655l7360,2655,7360,2636,7350,2636,7350,2655xe" filled="true" fillcolor="#000000" stroked="false">
                <v:path arrowok="t"/>
                <v:fill type="solid"/>
              </v:shape>
            </v:group>
            <v:group style="position:absolute;left:7350;top:2655;width:10;height:20" coordorigin="7350,2655" coordsize="10,20">
              <v:shape style="position:absolute;left:7350;top:2655;width:10;height:20" coordorigin="7350,2655" coordsize="10,20" path="m7350,2674l7360,2674,7360,2655,7350,2655,7350,2674xe" filled="true" fillcolor="#000000" stroked="false">
                <v:path arrowok="t"/>
                <v:fill type="solid"/>
              </v:shape>
            </v:group>
            <v:group style="position:absolute;left:7350;top:2674;width:10;height:20" coordorigin="7350,2674" coordsize="10,20">
              <v:shape style="position:absolute;left:7350;top:2674;width:10;height:20" coordorigin="7350,2674" coordsize="10,20" path="m7350,2693l7360,2693,7360,2674,7350,2674,7350,2693xe" filled="true" fillcolor="#000000" stroked="false">
                <v:path arrowok="t"/>
                <v:fill type="solid"/>
              </v:shape>
            </v:group>
            <v:group style="position:absolute;left:7350;top:2693;width:10;height:20" coordorigin="7350,2693" coordsize="10,20">
              <v:shape style="position:absolute;left:7350;top:2693;width:10;height:20" coordorigin="7350,2693" coordsize="10,20" path="m7350,2712l7360,2712,7360,2693,7350,2693,7350,2712xe" filled="true" fillcolor="#000000" stroked="false">
                <v:path arrowok="t"/>
                <v:fill type="solid"/>
              </v:shape>
            </v:group>
            <v:group style="position:absolute;left:7350;top:2712;width:10;height:20" coordorigin="7350,2712" coordsize="10,20">
              <v:shape style="position:absolute;left:7350;top:2712;width:10;height:20" coordorigin="7350,2712" coordsize="10,20" path="m7350,2732l7360,2732,7360,2712,7350,2712,7350,2732xe" filled="true" fillcolor="#000000" stroked="false">
                <v:path arrowok="t"/>
                <v:fill type="solid"/>
              </v:shape>
            </v:group>
            <v:group style="position:absolute;left:7350;top:2732;width:10;height:20" coordorigin="7350,2732" coordsize="10,20">
              <v:shape style="position:absolute;left:7350;top:2732;width:10;height:20" coordorigin="7350,2732" coordsize="10,20" path="m7350,2751l7360,2751,7360,2732,7350,2732,7350,2751xe" filled="true" fillcolor="#000000" stroked="false">
                <v:path arrowok="t"/>
                <v:fill type="solid"/>
              </v:shape>
            </v:group>
            <v:group style="position:absolute;left:7350;top:2751;width:10;height:20" coordorigin="7350,2751" coordsize="10,20">
              <v:shape style="position:absolute;left:7350;top:2751;width:10;height:20" coordorigin="7350,2751" coordsize="10,20" path="m7350,2770l7360,2770,7360,2751,7350,2751,7350,2770xe" filled="true" fillcolor="#000000" stroked="false">
                <v:path arrowok="t"/>
                <v:fill type="solid"/>
              </v:shape>
            </v:group>
            <v:group style="position:absolute;left:7350;top:2770;width:10;height:20" coordorigin="7350,2770" coordsize="10,20">
              <v:shape style="position:absolute;left:7350;top:2770;width:10;height:20" coordorigin="7350,2770" coordsize="10,20" path="m7350,2789l7360,2789,7360,2770,7350,2770,7350,2789xe" filled="true" fillcolor="#000000" stroked="false">
                <v:path arrowok="t"/>
                <v:fill type="solid"/>
              </v:shape>
            </v:group>
            <v:group style="position:absolute;left:7350;top:2789;width:10;height:20" coordorigin="7350,2789" coordsize="10,20">
              <v:shape style="position:absolute;left:7350;top:2789;width:10;height:20" coordorigin="7350,2789" coordsize="10,20" path="m7350,2808l7360,2808,7360,2789,7350,2789,7350,2808xe" filled="true" fillcolor="#000000" stroked="false">
                <v:path arrowok="t"/>
                <v:fill type="solid"/>
              </v:shape>
            </v:group>
            <v:group style="position:absolute;left:7350;top:2808;width:10;height:20" coordorigin="7350,2808" coordsize="10,20">
              <v:shape style="position:absolute;left:7350;top:2808;width:10;height:20" coordorigin="7350,2808" coordsize="10,20" path="m7350,2828l7360,2828,7360,2808,7350,2808,7350,2828xe" filled="true" fillcolor="#000000" stroked="false">
                <v:path arrowok="t"/>
                <v:fill type="solid"/>
              </v:shape>
            </v:group>
            <v:group style="position:absolute;left:7350;top:2828;width:10;height:20" coordorigin="7350,2828" coordsize="10,20">
              <v:shape style="position:absolute;left:7350;top:2828;width:10;height:20" coordorigin="7350,2828" coordsize="10,20" path="m7350,2847l7360,2847,7360,2828,7350,2828,7350,2847xe" filled="true" fillcolor="#000000" stroked="false">
                <v:path arrowok="t"/>
                <v:fill type="solid"/>
              </v:shape>
            </v:group>
            <v:group style="position:absolute;left:7350;top:2847;width:10;height:20" coordorigin="7350,2847" coordsize="10,20">
              <v:shape style="position:absolute;left:7350;top:2847;width:10;height:20" coordorigin="7350,2847" coordsize="10,20" path="m7350,2866l7360,2866,7360,2847,7350,2847,7350,2866xe" filled="true" fillcolor="#000000" stroked="false">
                <v:path arrowok="t"/>
                <v:fill type="solid"/>
              </v:shape>
            </v:group>
            <v:group style="position:absolute;left:7350;top:2866;width:10;height:20" coordorigin="7350,2866" coordsize="10,20">
              <v:shape style="position:absolute;left:7350;top:2866;width:10;height:20" coordorigin="7350,2866" coordsize="10,20" path="m7350,2885l7360,2885,7360,2866,7350,2866,7350,2885xe" filled="true" fillcolor="#000000" stroked="false">
                <v:path arrowok="t"/>
                <v:fill type="solid"/>
              </v:shape>
            </v:group>
            <v:group style="position:absolute;left:7350;top:2885;width:10;height:20" coordorigin="7350,2885" coordsize="10,20">
              <v:shape style="position:absolute;left:7350;top:2885;width:10;height:20" coordorigin="7350,2885" coordsize="10,20" path="m7350,2904l7360,2904,7360,2885,7350,2885,7350,2904xe" filled="true" fillcolor="#000000" stroked="false">
                <v:path arrowok="t"/>
                <v:fill type="solid"/>
              </v:shape>
            </v:group>
            <v:group style="position:absolute;left:7350;top:2904;width:10;height:20" coordorigin="7350,2904" coordsize="10,20">
              <v:shape style="position:absolute;left:7350;top:2904;width:10;height:20" coordorigin="7350,2904" coordsize="10,20" path="m7350,2924l7360,2924,7360,2904,7350,2904,7350,2924xe" filled="true" fillcolor="#000000" stroked="false">
                <v:path arrowok="t"/>
                <v:fill type="solid"/>
              </v:shape>
            </v:group>
            <v:group style="position:absolute;left:7350;top:2924;width:10;height:20" coordorigin="7350,2924" coordsize="10,20">
              <v:shape style="position:absolute;left:7350;top:2924;width:10;height:20" coordorigin="7350,2924" coordsize="10,20" path="m7350,2943l7360,2943,7360,2924,7350,2924,7350,2943xe" filled="true" fillcolor="#000000" stroked="false">
                <v:path arrowok="t"/>
                <v:fill type="solid"/>
              </v:shape>
            </v:group>
            <v:group style="position:absolute;left:7350;top:2943;width:10;height:20" coordorigin="7350,2943" coordsize="10,20">
              <v:shape style="position:absolute;left:7350;top:2943;width:10;height:20" coordorigin="7350,2943" coordsize="10,20" path="m7350,2962l7360,2962,7360,2943,7350,2943,7350,2962xe" filled="true" fillcolor="#000000" stroked="false">
                <v:path arrowok="t"/>
                <v:fill type="solid"/>
              </v:shape>
            </v:group>
            <v:group style="position:absolute;left:7350;top:2962;width:10;height:20" coordorigin="7350,2962" coordsize="10,20">
              <v:shape style="position:absolute;left:7350;top:2962;width:10;height:20" coordorigin="7350,2962" coordsize="10,20" path="m7350,2981l7360,2981,7360,2962,7350,2962,7350,2981xe" filled="true" fillcolor="#000000" stroked="false">
                <v:path arrowok="t"/>
                <v:fill type="solid"/>
              </v:shape>
            </v:group>
            <w10:wrap type="none"/>
          </v:group>
        </w:pict>
      </w:r>
    </w:p>
    <w:p>
      <w:pPr>
        <w:spacing w:line="240" w:lineRule="auto" w:before="5"/>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5665"/>
        <w:gridCol w:w="2866"/>
      </w:tblGrid>
      <w:tr>
        <w:trPr>
          <w:trHeight w:val="420" w:hRule="exact"/>
        </w:trPr>
        <w:tc>
          <w:tcPr>
            <w:tcW w:w="5665"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175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866"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259" w:right="0"/>
              <w:jc w:val="left"/>
              <w:rPr>
                <w:rFonts w:ascii="宋体" w:hAnsi="宋体" w:cs="宋体" w:eastAsia="宋体" w:hint="default"/>
                <w:sz w:val="18"/>
                <w:szCs w:val="18"/>
              </w:rPr>
            </w:pPr>
            <w:r>
              <w:rPr>
                <w:rFonts w:ascii="宋体" w:hAnsi="宋体" w:cs="宋体" w:eastAsia="宋体" w:hint="default"/>
                <w:sz w:val="18"/>
                <w:szCs w:val="18"/>
              </w:rPr>
              <w:t>受影响的报表项目名称及金额</w:t>
            </w:r>
          </w:p>
        </w:tc>
      </w:tr>
      <w:tr>
        <w:trPr>
          <w:trHeight w:val="370" w:hRule="exact"/>
        </w:trPr>
        <w:tc>
          <w:tcPr>
            <w:tcW w:w="85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“其中：利息费用”和“利息收入”项目。比较期数据相应调整。</w:t>
            </w:r>
          </w:p>
        </w:tc>
      </w:tr>
      <w:tr>
        <w:trPr>
          <w:trHeight w:val="761" w:hRule="exact"/>
        </w:trPr>
        <w:tc>
          <w:tcPr>
            <w:tcW w:w="8531" w:type="dxa"/>
            <w:gridSpan w:val="2"/>
            <w:tcBorders>
              <w:top w:val="nil" w:sz="6" w:space="0" w:color="auto"/>
              <w:left w:val="nil" w:sz="6" w:space="0" w:color="auto"/>
              <w:bottom w:val="single" w:sz="12" w:space="0" w:color="000000"/>
              <w:right w:val="nil" w:sz="6" w:space="0" w:color="auto"/>
            </w:tcBorders>
          </w:tcPr>
          <w:p>
            <w:pPr>
              <w:pStyle w:val="TableParagraph"/>
              <w:spacing w:line="307" w:lineRule="auto" w:before="113"/>
              <w:ind w:left="107" w:right="292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）所有者权益变动表中新增“设定受益计划变动额结转留存收益” 项目。比较期数据相应调整。</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3251"/>
        <w:gridCol w:w="5280"/>
      </w:tblGrid>
      <w:tr>
        <w:trPr>
          <w:trHeight w:val="334" w:hRule="exact"/>
        </w:trPr>
        <w:tc>
          <w:tcPr>
            <w:tcW w:w="3251" w:type="dxa"/>
            <w:tcBorders>
              <w:top w:val="single" w:sz="12" w:space="0" w:color="000000"/>
              <w:left w:val="nil" w:sz="6" w:space="0" w:color="auto"/>
              <w:bottom w:val="single" w:sz="8" w:space="0" w:color="000000"/>
              <w:right w:val="nil" w:sz="6" w:space="0" w:color="auto"/>
            </w:tcBorders>
          </w:tcPr>
          <w:p>
            <w:pPr>
              <w:pStyle w:val="TableParagraph"/>
              <w:spacing w:line="240" w:lineRule="auto" w:before="10"/>
              <w:ind w:right="249"/>
              <w:jc w:val="center"/>
              <w:rPr>
                <w:rFonts w:ascii="宋体" w:hAnsi="宋体" w:cs="宋体" w:eastAsia="宋体" w:hint="default"/>
                <w:sz w:val="18"/>
                <w:szCs w:val="18"/>
              </w:rPr>
            </w:pPr>
            <w:r>
              <w:rPr>
                <w:rFonts w:ascii="宋体" w:hAnsi="宋体" w:cs="宋体" w:eastAsia="宋体" w:hint="default"/>
                <w:sz w:val="18"/>
                <w:szCs w:val="18"/>
              </w:rPr>
              <w:t>科目</w:t>
            </w:r>
          </w:p>
        </w:tc>
        <w:tc>
          <w:tcPr>
            <w:tcW w:w="5280" w:type="dxa"/>
            <w:tcBorders>
              <w:top w:val="single" w:sz="12" w:space="0" w:color="000000"/>
              <w:left w:val="nil" w:sz="6" w:space="0" w:color="auto"/>
              <w:bottom w:val="single" w:sz="4" w:space="0" w:color="000000"/>
              <w:right w:val="nil" w:sz="6" w:space="0" w:color="auto"/>
            </w:tcBorders>
          </w:tcPr>
          <w:p>
            <w:pPr>
              <w:pStyle w:val="TableParagraph"/>
              <w:spacing w:line="240" w:lineRule="auto" w:before="10"/>
              <w:ind w:left="15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2017.12.31/2017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年度金额</w:t>
            </w:r>
          </w:p>
        </w:tc>
      </w:tr>
      <w:tr>
        <w:trPr>
          <w:trHeight w:val="324" w:hRule="exact"/>
        </w:trPr>
        <w:tc>
          <w:tcPr>
            <w:tcW w:w="3251" w:type="dxa"/>
            <w:tcBorders>
              <w:top w:val="single" w:sz="8" w:space="0" w:color="000000"/>
              <w:left w:val="nil" w:sz="6" w:space="0" w:color="auto"/>
              <w:bottom w:val="single" w:sz="8" w:space="0" w:color="000000"/>
              <w:right w:val="nil" w:sz="6" w:space="0" w:color="auto"/>
            </w:tcBorders>
          </w:tcPr>
          <w:p>
            <w:pPr>
              <w:pStyle w:val="TableParagraph"/>
              <w:spacing w:line="240" w:lineRule="auto" w:before="5"/>
              <w:ind w:left="10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528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8"/>
              <w:jc w:val="right"/>
              <w:rPr>
                <w:rFonts w:ascii="Times New Roman" w:hAnsi="Times New Roman" w:cs="Times New Roman" w:eastAsia="Times New Roman" w:hint="default"/>
                <w:sz w:val="18"/>
                <w:szCs w:val="18"/>
              </w:rPr>
            </w:pPr>
            <w:r>
              <w:rPr>
                <w:rFonts w:ascii="Times New Roman"/>
                <w:spacing w:val="-1"/>
                <w:sz w:val="18"/>
              </w:rPr>
              <w:t>-12,628,058.00</w:t>
            </w:r>
          </w:p>
        </w:tc>
      </w:tr>
      <w:tr>
        <w:trPr>
          <w:trHeight w:val="324" w:hRule="exact"/>
        </w:trPr>
        <w:tc>
          <w:tcPr>
            <w:tcW w:w="3251" w:type="dxa"/>
            <w:tcBorders>
              <w:top w:val="single" w:sz="8" w:space="0" w:color="000000"/>
              <w:left w:val="nil" w:sz="6" w:space="0" w:color="auto"/>
              <w:bottom w:val="single" w:sz="8" w:space="0" w:color="000000"/>
              <w:right w:val="nil" w:sz="6" w:space="0" w:color="auto"/>
            </w:tcBorders>
          </w:tcPr>
          <w:p>
            <w:pPr>
              <w:pStyle w:val="TableParagraph"/>
              <w:spacing w:line="240" w:lineRule="auto" w:before="3"/>
              <w:ind w:left="10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528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8"/>
              <w:jc w:val="right"/>
              <w:rPr>
                <w:rFonts w:ascii="Times New Roman" w:hAnsi="Times New Roman" w:cs="Times New Roman" w:eastAsia="Times New Roman" w:hint="default"/>
                <w:sz w:val="18"/>
                <w:szCs w:val="18"/>
              </w:rPr>
            </w:pPr>
            <w:r>
              <w:rPr>
                <w:rFonts w:ascii="Times New Roman"/>
                <w:spacing w:val="-1"/>
                <w:sz w:val="18"/>
              </w:rPr>
              <w:t>-800,262,574.88</w:t>
            </w:r>
          </w:p>
        </w:tc>
      </w:tr>
      <w:tr>
        <w:trPr>
          <w:trHeight w:val="324" w:hRule="exact"/>
        </w:trPr>
        <w:tc>
          <w:tcPr>
            <w:tcW w:w="3251" w:type="dxa"/>
            <w:tcBorders>
              <w:top w:val="single" w:sz="8" w:space="0" w:color="000000"/>
              <w:left w:val="nil" w:sz="6" w:space="0" w:color="auto"/>
              <w:bottom w:val="single" w:sz="8" w:space="0" w:color="000000"/>
              <w:right w:val="nil" w:sz="6" w:space="0" w:color="auto"/>
            </w:tcBorders>
          </w:tcPr>
          <w:p>
            <w:pPr>
              <w:pStyle w:val="TableParagraph"/>
              <w:spacing w:line="240" w:lineRule="auto" w:before="3"/>
              <w:ind w:left="107" w:right="0"/>
              <w:jc w:val="left"/>
              <w:rPr>
                <w:rFonts w:ascii="宋体" w:hAnsi="宋体" w:cs="宋体" w:eastAsia="宋体" w:hint="default"/>
                <w:sz w:val="18"/>
                <w:szCs w:val="18"/>
              </w:rPr>
            </w:pPr>
            <w:r>
              <w:rPr>
                <w:rFonts w:ascii="宋体" w:hAnsi="宋体" w:cs="宋体" w:eastAsia="宋体" w:hint="default"/>
                <w:sz w:val="18"/>
                <w:szCs w:val="18"/>
              </w:rPr>
              <w:t>应收账款及应收票据</w:t>
            </w:r>
          </w:p>
        </w:tc>
        <w:tc>
          <w:tcPr>
            <w:tcW w:w="528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8"/>
              <w:jc w:val="right"/>
              <w:rPr>
                <w:rFonts w:ascii="Times New Roman" w:hAnsi="Times New Roman" w:cs="Times New Roman" w:eastAsia="Times New Roman" w:hint="default"/>
                <w:sz w:val="18"/>
                <w:szCs w:val="18"/>
              </w:rPr>
            </w:pPr>
            <w:r>
              <w:rPr>
                <w:rFonts w:ascii="Times New Roman"/>
                <w:spacing w:val="-1"/>
                <w:sz w:val="18"/>
              </w:rPr>
              <w:t>812,890,632.88</w:t>
            </w:r>
          </w:p>
        </w:tc>
      </w:tr>
      <w:tr>
        <w:trPr>
          <w:trHeight w:val="322" w:hRule="exact"/>
        </w:trPr>
        <w:tc>
          <w:tcPr>
            <w:tcW w:w="3251" w:type="dxa"/>
            <w:tcBorders>
              <w:top w:val="single" w:sz="8" w:space="0" w:color="000000"/>
              <w:left w:val="nil" w:sz="6" w:space="0" w:color="auto"/>
              <w:bottom w:val="single" w:sz="8" w:space="0" w:color="000000"/>
              <w:right w:val="nil" w:sz="6" w:space="0" w:color="auto"/>
            </w:tcBorders>
          </w:tcPr>
          <w:p>
            <w:pPr>
              <w:pStyle w:val="TableParagraph"/>
              <w:spacing w:line="240" w:lineRule="auto" w:before="4"/>
              <w:ind w:left="10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5280"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108"/>
              <w:jc w:val="right"/>
              <w:rPr>
                <w:rFonts w:ascii="Times New Roman" w:hAnsi="Times New Roman" w:cs="Times New Roman" w:eastAsia="Times New Roman" w:hint="default"/>
                <w:sz w:val="18"/>
                <w:szCs w:val="18"/>
              </w:rPr>
            </w:pPr>
            <w:r>
              <w:rPr>
                <w:rFonts w:ascii="Times New Roman"/>
                <w:spacing w:val="-1"/>
                <w:sz w:val="18"/>
              </w:rPr>
              <w:t>-69,445,798.97</w:t>
            </w:r>
          </w:p>
        </w:tc>
      </w:tr>
      <w:tr>
        <w:trPr>
          <w:trHeight w:val="324" w:hRule="exact"/>
        </w:trPr>
        <w:tc>
          <w:tcPr>
            <w:tcW w:w="3251" w:type="dxa"/>
            <w:tcBorders>
              <w:top w:val="single" w:sz="8" w:space="0" w:color="000000"/>
              <w:left w:val="nil" w:sz="6" w:space="0" w:color="auto"/>
              <w:bottom w:val="single" w:sz="8" w:space="0" w:color="000000"/>
              <w:right w:val="nil" w:sz="6" w:space="0" w:color="auto"/>
            </w:tcBorders>
          </w:tcPr>
          <w:p>
            <w:pPr>
              <w:pStyle w:val="TableParagraph"/>
              <w:spacing w:line="240" w:lineRule="auto" w:before="5"/>
              <w:ind w:left="10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528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pacing w:val="-1"/>
                <w:sz w:val="18"/>
              </w:rPr>
              <w:t>-437,761,073.18</w:t>
            </w:r>
          </w:p>
        </w:tc>
      </w:tr>
      <w:tr>
        <w:trPr>
          <w:trHeight w:val="324" w:hRule="exact"/>
        </w:trPr>
        <w:tc>
          <w:tcPr>
            <w:tcW w:w="3251" w:type="dxa"/>
            <w:tcBorders>
              <w:top w:val="single" w:sz="8" w:space="0" w:color="000000"/>
              <w:left w:val="nil" w:sz="6" w:space="0" w:color="auto"/>
              <w:bottom w:val="single" w:sz="8" w:space="0" w:color="000000"/>
              <w:right w:val="nil" w:sz="6" w:space="0" w:color="auto"/>
            </w:tcBorders>
          </w:tcPr>
          <w:p>
            <w:pPr>
              <w:pStyle w:val="TableParagraph"/>
              <w:spacing w:line="240" w:lineRule="auto" w:before="3"/>
              <w:ind w:left="107"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528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8"/>
              <w:jc w:val="right"/>
              <w:rPr>
                <w:rFonts w:ascii="Times New Roman" w:hAnsi="Times New Roman" w:cs="Times New Roman" w:eastAsia="Times New Roman" w:hint="default"/>
                <w:sz w:val="18"/>
                <w:szCs w:val="18"/>
              </w:rPr>
            </w:pPr>
            <w:r>
              <w:rPr>
                <w:rFonts w:ascii="Times New Roman"/>
                <w:spacing w:val="-1"/>
                <w:sz w:val="18"/>
              </w:rPr>
              <w:t>507,206,872.15</w:t>
            </w:r>
          </w:p>
        </w:tc>
      </w:tr>
      <w:tr>
        <w:trPr>
          <w:trHeight w:val="324" w:hRule="exact"/>
        </w:trPr>
        <w:tc>
          <w:tcPr>
            <w:tcW w:w="3251" w:type="dxa"/>
            <w:tcBorders>
              <w:top w:val="single" w:sz="8" w:space="0" w:color="000000"/>
              <w:left w:val="nil" w:sz="6" w:space="0" w:color="auto"/>
              <w:bottom w:val="single" w:sz="8" w:space="0" w:color="000000"/>
              <w:right w:val="nil" w:sz="6" w:space="0" w:color="auto"/>
            </w:tcBorders>
          </w:tcPr>
          <w:p>
            <w:pPr>
              <w:pStyle w:val="TableParagraph"/>
              <w:spacing w:line="240" w:lineRule="auto" w:before="3"/>
              <w:ind w:left="107"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5280"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-908,067.08</w:t>
            </w:r>
          </w:p>
        </w:tc>
      </w:tr>
      <w:tr>
        <w:trPr>
          <w:trHeight w:val="324" w:hRule="exact"/>
        </w:trPr>
        <w:tc>
          <w:tcPr>
            <w:tcW w:w="3251" w:type="dxa"/>
            <w:tcBorders>
              <w:top w:val="single" w:sz="8" w:space="0" w:color="000000"/>
              <w:left w:val="nil" w:sz="6" w:space="0" w:color="auto"/>
              <w:bottom w:val="single" w:sz="8" w:space="0" w:color="000000"/>
              <w:right w:val="nil" w:sz="6" w:space="0" w:color="auto"/>
            </w:tcBorders>
          </w:tcPr>
          <w:p>
            <w:pPr>
              <w:pStyle w:val="TableParagraph"/>
              <w:spacing w:line="240" w:lineRule="auto" w:before="3"/>
              <w:ind w:left="10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5280"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pacing w:val="-1"/>
                <w:sz w:val="18"/>
              </w:rPr>
              <w:t>908,067.08</w:t>
            </w:r>
          </w:p>
        </w:tc>
      </w:tr>
      <w:tr>
        <w:trPr>
          <w:trHeight w:val="322" w:hRule="exact"/>
        </w:trPr>
        <w:tc>
          <w:tcPr>
            <w:tcW w:w="3251" w:type="dxa"/>
            <w:tcBorders>
              <w:top w:val="single" w:sz="8" w:space="0" w:color="000000"/>
              <w:left w:val="nil" w:sz="6" w:space="0" w:color="auto"/>
              <w:bottom w:val="single" w:sz="8" w:space="0" w:color="000000"/>
              <w:right w:val="nil" w:sz="6" w:space="0" w:color="auto"/>
            </w:tcBorders>
          </w:tcPr>
          <w:p>
            <w:pPr>
              <w:pStyle w:val="TableParagraph"/>
              <w:spacing w:line="240" w:lineRule="auto" w:before="3"/>
              <w:ind w:left="10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5280"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18"/>
                <w:szCs w:val="18"/>
              </w:rPr>
            </w:pPr>
            <w:r>
              <w:rPr>
                <w:rFonts w:ascii="Times New Roman"/>
                <w:spacing w:val="-1"/>
                <w:sz w:val="18"/>
              </w:rPr>
              <w:t>-308,413,840.28</w:t>
            </w:r>
          </w:p>
        </w:tc>
      </w:tr>
      <w:tr>
        <w:trPr>
          <w:trHeight w:val="336" w:hRule="exact"/>
        </w:trPr>
        <w:tc>
          <w:tcPr>
            <w:tcW w:w="3251" w:type="dxa"/>
            <w:tcBorders>
              <w:top w:val="single" w:sz="8" w:space="0" w:color="000000"/>
              <w:left w:val="nil" w:sz="6" w:space="0" w:color="auto"/>
              <w:bottom w:val="single" w:sz="12" w:space="0" w:color="000000"/>
              <w:right w:val="nil" w:sz="6" w:space="0" w:color="auto"/>
            </w:tcBorders>
          </w:tcPr>
          <w:p>
            <w:pPr>
              <w:pStyle w:val="TableParagraph"/>
              <w:spacing w:line="240" w:lineRule="auto" w:before="3"/>
              <w:ind w:left="107"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5280"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108"/>
              <w:jc w:val="right"/>
              <w:rPr>
                <w:rFonts w:ascii="Times New Roman" w:hAnsi="Times New Roman" w:cs="Times New Roman" w:eastAsia="Times New Roman" w:hint="default"/>
                <w:sz w:val="18"/>
                <w:szCs w:val="18"/>
              </w:rPr>
            </w:pPr>
            <w:r>
              <w:rPr>
                <w:rFonts w:ascii="Times New Roman"/>
                <w:spacing w:val="-1"/>
                <w:sz w:val="18"/>
              </w:rPr>
              <w:t>308,413,840.28</w:t>
            </w:r>
          </w:p>
        </w:tc>
      </w:tr>
    </w:tbl>
    <w:p>
      <w:pPr>
        <w:pStyle w:val="Heading4"/>
        <w:spacing w:line="245" w:lineRule="exact"/>
        <w:ind w:left="218" w:right="0"/>
        <w:jc w:val="left"/>
        <w:rPr>
          <w:b w:val="0"/>
          <w:bCs w:val="0"/>
        </w:rPr>
      </w:pPr>
      <w:r>
        <w:rPr/>
        <w:pict>
          <v:group style="position:absolute;margin-left:234.289993pt;margin-top:-179.070007pt;width:.6pt;height:160.15pt;mso-position-horizontal-relative:page;mso-position-vertical-relative:paragraph;z-index:-1289152" coordorigin="4686,-3581" coordsize="12,3203">
            <v:shape style="position:absolute;left:4688;top:-3581;width:10;height:2" type="#_x0000_t75" stroked="false">
              <v:imagedata r:id="rId43" o:title=""/>
            </v:shape>
            <v:group style="position:absolute;left:4688;top:-3560;width:10;height:20" coordorigin="4688,-3560" coordsize="10,20">
              <v:shape style="position:absolute;left:4688;top:-3560;width:10;height:20" coordorigin="4688,-3560" coordsize="10,20" path="m4688,-3541l4698,-3541,4698,-3560,4688,-3560,4688,-3541xe" filled="true" fillcolor="#000000" stroked="false">
                <v:path arrowok="t"/>
                <v:fill type="solid"/>
              </v:shape>
            </v:group>
            <v:group style="position:absolute;left:4688;top:-3541;width:10;height:20" coordorigin="4688,-3541" coordsize="10,20">
              <v:shape style="position:absolute;left:4688;top:-3541;width:10;height:20" coordorigin="4688,-3541" coordsize="10,20" path="m4688,-3521l4698,-3521,4698,-3541,4688,-3541,4688,-3521xe" filled="true" fillcolor="#000000" stroked="false">
                <v:path arrowok="t"/>
                <v:fill type="solid"/>
              </v:shape>
            </v:group>
            <v:group style="position:absolute;left:4688;top:-3521;width:10;height:20" coordorigin="4688,-3521" coordsize="10,20">
              <v:shape style="position:absolute;left:4688;top:-3521;width:10;height:20" coordorigin="4688,-3521" coordsize="10,20" path="m4688,-3502l4698,-3502,4698,-3521,4688,-3521,4688,-3502xe" filled="true" fillcolor="#000000" stroked="false">
                <v:path arrowok="t"/>
                <v:fill type="solid"/>
              </v:shape>
            </v:group>
            <v:group style="position:absolute;left:4688;top:-3502;width:10;height:20" coordorigin="4688,-3502" coordsize="10,20">
              <v:shape style="position:absolute;left:4688;top:-3502;width:10;height:20" coordorigin="4688,-3502" coordsize="10,20" path="m4688,-3483l4698,-3483,4698,-3502,4688,-3502,4688,-3483xe" filled="true" fillcolor="#000000" stroked="false">
                <v:path arrowok="t"/>
                <v:fill type="solid"/>
              </v:shape>
            </v:group>
            <v:group style="position:absolute;left:4688;top:-3483;width:10;height:20" coordorigin="4688,-3483" coordsize="10,20">
              <v:shape style="position:absolute;left:4688;top:-3483;width:10;height:20" coordorigin="4688,-3483" coordsize="10,20" path="m4688,-3464l4698,-3464,4698,-3483,4688,-3483,4688,-3464xe" filled="true" fillcolor="#000000" stroked="false">
                <v:path arrowok="t"/>
                <v:fill type="solid"/>
              </v:shape>
            </v:group>
            <v:group style="position:absolute;left:4688;top:-3464;width:10;height:20" coordorigin="4688,-3464" coordsize="10,20">
              <v:shape style="position:absolute;left:4688;top:-3464;width:10;height:20" coordorigin="4688,-3464" coordsize="10,20" path="m4688,-3445l4698,-3445,4698,-3464,4688,-3464,4688,-3445xe" filled="true" fillcolor="#000000" stroked="false">
                <v:path arrowok="t"/>
                <v:fill type="solid"/>
              </v:shape>
            </v:group>
            <v:group style="position:absolute;left:4688;top:-3445;width:10;height:20" coordorigin="4688,-3445" coordsize="10,20">
              <v:shape style="position:absolute;left:4688;top:-3445;width:10;height:20" coordorigin="4688,-3445" coordsize="10,20" path="m4688,-3425l4698,-3425,4698,-3445,4688,-3445,4688,-3425xe" filled="true" fillcolor="#000000" stroked="false">
                <v:path arrowok="t"/>
                <v:fill type="solid"/>
              </v:shape>
            </v:group>
            <v:group style="position:absolute;left:4688;top:-3425;width:10;height:20" coordorigin="4688,-3425" coordsize="10,20">
              <v:shape style="position:absolute;left:4688;top:-3425;width:10;height:20" coordorigin="4688,-3425" coordsize="10,20" path="m4688,-3406l4698,-3406,4698,-3425,4688,-3425,4688,-3406xe" filled="true" fillcolor="#000000" stroked="false">
                <v:path arrowok="t"/>
                <v:fill type="solid"/>
              </v:shape>
            </v:group>
            <v:group style="position:absolute;left:4688;top:-3406;width:10;height:20" coordorigin="4688,-3406" coordsize="10,20">
              <v:shape style="position:absolute;left:4688;top:-3406;width:10;height:20" coordorigin="4688,-3406" coordsize="10,20" path="m4688,-3387l4698,-3387,4698,-3406,4688,-3406,4688,-3387xe" filled="true" fillcolor="#000000" stroked="false">
                <v:path arrowok="t"/>
                <v:fill type="solid"/>
              </v:shape>
            </v:group>
            <v:group style="position:absolute;left:4688;top:-3387;width:10;height:20" coordorigin="4688,-3387" coordsize="10,20">
              <v:shape style="position:absolute;left:4688;top:-3387;width:10;height:20" coordorigin="4688,-3387" coordsize="10,20" path="m4688,-3368l4698,-3368,4698,-3387,4688,-3387,4688,-3368xe" filled="true" fillcolor="#000000" stroked="false">
                <v:path arrowok="t"/>
                <v:fill type="solid"/>
              </v:shape>
            </v:group>
            <v:group style="position:absolute;left:4688;top:-3368;width:10;height:20" coordorigin="4688,-3368" coordsize="10,20">
              <v:shape style="position:absolute;left:4688;top:-3368;width:10;height:20" coordorigin="4688,-3368" coordsize="10,20" path="m4688,-3349l4698,-3349,4698,-3368,4688,-3368,4688,-3349xe" filled="true" fillcolor="#000000" stroked="false">
                <v:path arrowok="t"/>
                <v:fill type="solid"/>
              </v:shape>
            </v:group>
            <v:group style="position:absolute;left:4688;top:-3349;width:10;height:20" coordorigin="4688,-3349" coordsize="10,20">
              <v:shape style="position:absolute;left:4688;top:-3349;width:10;height:20" coordorigin="4688,-3349" coordsize="10,20" path="m4688,-3329l4698,-3329,4698,-3349,4688,-3349,4688,-3329xe" filled="true" fillcolor="#000000" stroked="false">
                <v:path arrowok="t"/>
                <v:fill type="solid"/>
              </v:shape>
            </v:group>
            <v:group style="position:absolute;left:4688;top:-3329;width:10;height:20" coordorigin="4688,-3329" coordsize="10,20">
              <v:shape style="position:absolute;left:4688;top:-3329;width:10;height:20" coordorigin="4688,-3329" coordsize="10,20" path="m4688,-3310l4698,-3310,4698,-3329,4688,-3329,4688,-3310xe" filled="true" fillcolor="#000000" stroked="false">
                <v:path arrowok="t"/>
                <v:fill type="solid"/>
              </v:shape>
            </v:group>
            <v:group style="position:absolute;left:4688;top:-3310;width:10;height:20" coordorigin="4688,-3310" coordsize="10,20">
              <v:shape style="position:absolute;left:4688;top:-3310;width:10;height:20" coordorigin="4688,-3310" coordsize="10,20" path="m4688,-3291l4698,-3291,4698,-3310,4688,-3310,4688,-3291xe" filled="true" fillcolor="#000000" stroked="false">
                <v:path arrowok="t"/>
                <v:fill type="solid"/>
              </v:shape>
              <v:shape style="position:absolute;left:4686;top:-3272;width:12;height:14" type="#_x0000_t75" stroked="false">
                <v:imagedata r:id="rId44" o:title=""/>
              </v:shape>
            </v:group>
            <v:group style="position:absolute;left:4688;top:-3238;width:10;height:20" coordorigin="4688,-3238" coordsize="10,20">
              <v:shape style="position:absolute;left:4688;top:-3238;width:10;height:20" coordorigin="4688,-3238" coordsize="10,20" path="m4688,-3219l4698,-3219,4698,-3238,4688,-3238,4688,-3219xe" filled="true" fillcolor="#000000" stroked="false">
                <v:path arrowok="t"/>
                <v:fill type="solid"/>
              </v:shape>
            </v:group>
            <v:group style="position:absolute;left:4688;top:-3219;width:10;height:20" coordorigin="4688,-3219" coordsize="10,20">
              <v:shape style="position:absolute;left:4688;top:-3219;width:10;height:20" coordorigin="4688,-3219" coordsize="10,20" path="m4688,-3200l4698,-3200,4698,-3219,4688,-3219,4688,-3200xe" filled="true" fillcolor="#000000" stroked="false">
                <v:path arrowok="t"/>
                <v:fill type="solid"/>
              </v:shape>
            </v:group>
            <v:group style="position:absolute;left:4688;top:-3200;width:10;height:20" coordorigin="4688,-3200" coordsize="10,20">
              <v:shape style="position:absolute;left:4688;top:-3200;width:10;height:20" coordorigin="4688,-3200" coordsize="10,20" path="m4688,-3181l4698,-3181,4698,-3200,4688,-3200,4688,-3181xe" filled="true" fillcolor="#000000" stroked="false">
                <v:path arrowok="t"/>
                <v:fill type="solid"/>
              </v:shape>
            </v:group>
            <v:group style="position:absolute;left:4688;top:-3181;width:10;height:20" coordorigin="4688,-3181" coordsize="10,20">
              <v:shape style="position:absolute;left:4688;top:-3181;width:10;height:20" coordorigin="4688,-3181" coordsize="10,20" path="m4688,-3161l4698,-3161,4698,-3181,4688,-3181,4688,-3161xe" filled="true" fillcolor="#000000" stroked="false">
                <v:path arrowok="t"/>
                <v:fill type="solid"/>
              </v:shape>
            </v:group>
            <v:group style="position:absolute;left:4688;top:-3161;width:10;height:20" coordorigin="4688,-3161" coordsize="10,20">
              <v:shape style="position:absolute;left:4688;top:-3161;width:10;height:20" coordorigin="4688,-3161" coordsize="10,20" path="m4688,-3142l4698,-3142,4698,-3161,4688,-3161,4688,-3142xe" filled="true" fillcolor="#000000" stroked="false">
                <v:path arrowok="t"/>
                <v:fill type="solid"/>
              </v:shape>
            </v:group>
            <v:group style="position:absolute;left:4688;top:-3142;width:10;height:20" coordorigin="4688,-3142" coordsize="10,20">
              <v:shape style="position:absolute;left:4688;top:-3142;width:10;height:20" coordorigin="4688,-3142" coordsize="10,20" path="m4688,-3123l4698,-3123,4698,-3142,4688,-3142,4688,-3123xe" filled="true" fillcolor="#000000" stroked="false">
                <v:path arrowok="t"/>
                <v:fill type="solid"/>
              </v:shape>
            </v:group>
            <v:group style="position:absolute;left:4688;top:-3123;width:10;height:20" coordorigin="4688,-3123" coordsize="10,20">
              <v:shape style="position:absolute;left:4688;top:-3123;width:10;height:20" coordorigin="4688,-3123" coordsize="10,20" path="m4688,-3104l4698,-3104,4698,-3123,4688,-3123,4688,-3104xe" filled="true" fillcolor="#000000" stroked="false">
                <v:path arrowok="t"/>
                <v:fill type="solid"/>
              </v:shape>
            </v:group>
            <v:group style="position:absolute;left:4688;top:-3104;width:10;height:20" coordorigin="4688,-3104" coordsize="10,20">
              <v:shape style="position:absolute;left:4688;top:-3104;width:10;height:20" coordorigin="4688,-3104" coordsize="10,20" path="m4688,-3085l4698,-3085,4698,-3104,4688,-3104,4688,-3085xe" filled="true" fillcolor="#000000" stroked="false">
                <v:path arrowok="t"/>
                <v:fill type="solid"/>
              </v:shape>
            </v:group>
            <v:group style="position:absolute;left:4688;top:-3085;width:10;height:20" coordorigin="4688,-3085" coordsize="10,20">
              <v:shape style="position:absolute;left:4688;top:-3085;width:10;height:20" coordorigin="4688,-3085" coordsize="10,20" path="m4688,-3065l4698,-3065,4698,-3085,4688,-3085,4688,-3065xe" filled="true" fillcolor="#000000" stroked="false">
                <v:path arrowok="t"/>
                <v:fill type="solid"/>
              </v:shape>
            </v:group>
            <v:group style="position:absolute;left:4688;top:-3065;width:10;height:20" coordorigin="4688,-3065" coordsize="10,20">
              <v:shape style="position:absolute;left:4688;top:-3065;width:10;height:20" coordorigin="4688,-3065" coordsize="10,20" path="m4688,-3046l4698,-3046,4698,-3065,4688,-3065,4688,-3046xe" filled="true" fillcolor="#000000" stroked="false">
                <v:path arrowok="t"/>
                <v:fill type="solid"/>
              </v:shape>
            </v:group>
            <v:group style="position:absolute;left:4688;top:-3046;width:10;height:20" coordorigin="4688,-3046" coordsize="10,20">
              <v:shape style="position:absolute;left:4688;top:-3046;width:10;height:20" coordorigin="4688,-3046" coordsize="10,20" path="m4688,-3027l4698,-3027,4698,-3046,4688,-3046,4688,-3027xe" filled="true" fillcolor="#000000" stroked="false">
                <v:path arrowok="t"/>
                <v:fill type="solid"/>
              </v:shape>
            </v:group>
            <v:group style="position:absolute;left:4688;top:-3027;width:10;height:20" coordorigin="4688,-3027" coordsize="10,20">
              <v:shape style="position:absolute;left:4688;top:-3027;width:10;height:20" coordorigin="4688,-3027" coordsize="10,20" path="m4688,-3008l4698,-3008,4698,-3027,4688,-3027,4688,-3008xe" filled="true" fillcolor="#000000" stroked="false">
                <v:path arrowok="t"/>
                <v:fill type="solid"/>
              </v:shape>
            </v:group>
            <v:group style="position:absolute;left:4688;top:-3008;width:10;height:20" coordorigin="4688,-3008" coordsize="10,20">
              <v:shape style="position:absolute;left:4688;top:-3008;width:10;height:20" coordorigin="4688,-3008" coordsize="10,20" path="m4688,-2989l4698,-2989,4698,-3008,4688,-3008,4688,-2989xe" filled="true" fillcolor="#000000" stroked="false">
                <v:path arrowok="t"/>
                <v:fill type="solid"/>
              </v:shape>
            </v:group>
            <v:group style="position:absolute;left:4688;top:-2989;width:10;height:20" coordorigin="4688,-2989" coordsize="10,20">
              <v:shape style="position:absolute;left:4688;top:-2989;width:10;height:20" coordorigin="4688,-2989" coordsize="10,20" path="m4688,-2969l4698,-2969,4698,-2989,4688,-2989,4688,-2969xe" filled="true" fillcolor="#000000" stroked="false">
                <v:path arrowok="t"/>
                <v:fill type="solid"/>
              </v:shape>
              <v:shape style="position:absolute;left:4686;top:-2943;width:2;height:10" type="#_x0000_t75" stroked="false">
                <v:imagedata r:id="rId45" o:title=""/>
              </v:shape>
            </v:group>
            <v:group style="position:absolute;left:4688;top:-2914;width:10;height:20" coordorigin="4688,-2914" coordsize="10,20">
              <v:shape style="position:absolute;left:4688;top:-2914;width:10;height:20" coordorigin="4688,-2914" coordsize="10,20" path="m4688,-2895l4698,-2895,4698,-2914,4688,-2914,4688,-2895xe" filled="true" fillcolor="#000000" stroked="false">
                <v:path arrowok="t"/>
                <v:fill type="solid"/>
              </v:shape>
            </v:group>
            <v:group style="position:absolute;left:4688;top:-2895;width:10;height:20" coordorigin="4688,-2895" coordsize="10,20">
              <v:shape style="position:absolute;left:4688;top:-2895;width:10;height:20" coordorigin="4688,-2895" coordsize="10,20" path="m4688,-2876l4698,-2876,4698,-2895,4688,-2895,4688,-2876xe" filled="true" fillcolor="#000000" stroked="false">
                <v:path arrowok="t"/>
                <v:fill type="solid"/>
              </v:shape>
            </v:group>
            <v:group style="position:absolute;left:4688;top:-2876;width:10;height:20" coordorigin="4688,-2876" coordsize="10,20">
              <v:shape style="position:absolute;left:4688;top:-2876;width:10;height:20" coordorigin="4688,-2876" coordsize="10,20" path="m4688,-2857l4698,-2857,4698,-2876,4688,-2876,4688,-2857xe" filled="true" fillcolor="#000000" stroked="false">
                <v:path arrowok="t"/>
                <v:fill type="solid"/>
              </v:shape>
            </v:group>
            <v:group style="position:absolute;left:4688;top:-2857;width:10;height:20" coordorigin="4688,-2857" coordsize="10,20">
              <v:shape style="position:absolute;left:4688;top:-2857;width:10;height:20" coordorigin="4688,-2857" coordsize="10,20" path="m4688,-2837l4698,-2837,4698,-2857,4688,-2857,4688,-2837xe" filled="true" fillcolor="#000000" stroked="false">
                <v:path arrowok="t"/>
                <v:fill type="solid"/>
              </v:shape>
            </v:group>
            <v:group style="position:absolute;left:4688;top:-2837;width:10;height:20" coordorigin="4688,-2837" coordsize="10,20">
              <v:shape style="position:absolute;left:4688;top:-2837;width:10;height:20" coordorigin="4688,-2837" coordsize="10,20" path="m4688,-2818l4698,-2818,4698,-2837,4688,-2837,4688,-2818xe" filled="true" fillcolor="#000000" stroked="false">
                <v:path arrowok="t"/>
                <v:fill type="solid"/>
              </v:shape>
            </v:group>
            <v:group style="position:absolute;left:4688;top:-2818;width:10;height:20" coordorigin="4688,-2818" coordsize="10,20">
              <v:shape style="position:absolute;left:4688;top:-2818;width:10;height:20" coordorigin="4688,-2818" coordsize="10,20" path="m4688,-2799l4698,-2799,4698,-2818,4688,-2818,4688,-2799xe" filled="true" fillcolor="#000000" stroked="false">
                <v:path arrowok="t"/>
                <v:fill type="solid"/>
              </v:shape>
            </v:group>
            <v:group style="position:absolute;left:4688;top:-2799;width:10;height:20" coordorigin="4688,-2799" coordsize="10,20">
              <v:shape style="position:absolute;left:4688;top:-2799;width:10;height:20" coordorigin="4688,-2799" coordsize="10,20" path="m4688,-2780l4698,-2780,4698,-2799,4688,-2799,4688,-2780xe" filled="true" fillcolor="#000000" stroked="false">
                <v:path arrowok="t"/>
                <v:fill type="solid"/>
              </v:shape>
            </v:group>
            <v:group style="position:absolute;left:4688;top:-2780;width:10;height:20" coordorigin="4688,-2780" coordsize="10,20">
              <v:shape style="position:absolute;left:4688;top:-2780;width:10;height:20" coordorigin="4688,-2780" coordsize="10,20" path="m4688,-2761l4698,-2761,4698,-2780,4688,-2780,4688,-2761xe" filled="true" fillcolor="#000000" stroked="false">
                <v:path arrowok="t"/>
                <v:fill type="solid"/>
              </v:shape>
            </v:group>
            <v:group style="position:absolute;left:4688;top:-2761;width:10;height:20" coordorigin="4688,-2761" coordsize="10,20">
              <v:shape style="position:absolute;left:4688;top:-2761;width:10;height:20" coordorigin="4688,-2761" coordsize="10,20" path="m4688,-2741l4698,-2741,4698,-2761,4688,-2761,4688,-2741xe" filled="true" fillcolor="#000000" stroked="false">
                <v:path arrowok="t"/>
                <v:fill type="solid"/>
              </v:shape>
            </v:group>
            <v:group style="position:absolute;left:4688;top:-2741;width:10;height:20" coordorigin="4688,-2741" coordsize="10,20">
              <v:shape style="position:absolute;left:4688;top:-2741;width:10;height:20" coordorigin="4688,-2741" coordsize="10,20" path="m4688,-2722l4698,-2722,4698,-2741,4688,-2741,4688,-2722xe" filled="true" fillcolor="#000000" stroked="false">
                <v:path arrowok="t"/>
                <v:fill type="solid"/>
              </v:shape>
            </v:group>
            <v:group style="position:absolute;left:4688;top:-2722;width:10;height:20" coordorigin="4688,-2722" coordsize="10,20">
              <v:shape style="position:absolute;left:4688;top:-2722;width:10;height:20" coordorigin="4688,-2722" coordsize="10,20" path="m4688,-2703l4698,-2703,4698,-2722,4688,-2722,4688,-2703xe" filled="true" fillcolor="#000000" stroked="false">
                <v:path arrowok="t"/>
                <v:fill type="solid"/>
              </v:shape>
            </v:group>
            <v:group style="position:absolute;left:4688;top:-2703;width:10;height:20" coordorigin="4688,-2703" coordsize="10,20">
              <v:shape style="position:absolute;left:4688;top:-2703;width:10;height:20" coordorigin="4688,-2703" coordsize="10,20" path="m4688,-2684l4698,-2684,4698,-2703,4688,-2703,4688,-2684xe" filled="true" fillcolor="#000000" stroked="false">
                <v:path arrowok="t"/>
                <v:fill type="solid"/>
              </v:shape>
            </v:group>
            <v:group style="position:absolute;left:4688;top:-2684;width:10;height:20" coordorigin="4688,-2684" coordsize="10,20">
              <v:shape style="position:absolute;left:4688;top:-2684;width:10;height:20" coordorigin="4688,-2684" coordsize="10,20" path="m4688,-2665l4698,-2665,4698,-2684,4688,-2684,4688,-2665xe" filled="true" fillcolor="#000000" stroked="false">
                <v:path arrowok="t"/>
                <v:fill type="solid"/>
              </v:shape>
            </v:group>
            <v:group style="position:absolute;left:4688;top:-2665;width:10;height:20" coordorigin="4688,-2665" coordsize="10,20">
              <v:shape style="position:absolute;left:4688;top:-2665;width:10;height:20" coordorigin="4688,-2665" coordsize="10,20" path="m4688,-2645l4698,-2645,4698,-2665,4688,-2665,4688,-2645xe" filled="true" fillcolor="#000000" stroked="false">
                <v:path arrowok="t"/>
                <v:fill type="solid"/>
              </v:shape>
              <v:shape style="position:absolute;left:4686;top:-2619;width:2;height:10" type="#_x0000_t75" stroked="false">
                <v:imagedata r:id="rId45" o:title=""/>
              </v:shape>
            </v:group>
            <v:group style="position:absolute;left:4688;top:-2590;width:10;height:20" coordorigin="4688,-2590" coordsize="10,20">
              <v:shape style="position:absolute;left:4688;top:-2590;width:10;height:20" coordorigin="4688,-2590" coordsize="10,20" path="m4688,-2571l4698,-2571,4698,-2590,4688,-2590,4688,-2571xe" filled="true" fillcolor="#000000" stroked="false">
                <v:path arrowok="t"/>
                <v:fill type="solid"/>
              </v:shape>
            </v:group>
            <v:group style="position:absolute;left:4688;top:-2571;width:10;height:20" coordorigin="4688,-2571" coordsize="10,20">
              <v:shape style="position:absolute;left:4688;top:-2571;width:10;height:20" coordorigin="4688,-2571" coordsize="10,20" path="m4688,-2552l4698,-2552,4698,-2571,4688,-2571,4688,-2552xe" filled="true" fillcolor="#000000" stroked="false">
                <v:path arrowok="t"/>
                <v:fill type="solid"/>
              </v:shape>
            </v:group>
            <v:group style="position:absolute;left:4688;top:-2552;width:10;height:20" coordorigin="4688,-2552" coordsize="10,20">
              <v:shape style="position:absolute;left:4688;top:-2552;width:10;height:20" coordorigin="4688,-2552" coordsize="10,20" path="m4688,-2533l4698,-2533,4698,-2552,4688,-2552,4688,-2533xe" filled="true" fillcolor="#000000" stroked="false">
                <v:path arrowok="t"/>
                <v:fill type="solid"/>
              </v:shape>
            </v:group>
            <v:group style="position:absolute;left:4688;top:-2533;width:10;height:20" coordorigin="4688,-2533" coordsize="10,20">
              <v:shape style="position:absolute;left:4688;top:-2533;width:10;height:20" coordorigin="4688,-2533" coordsize="10,20" path="m4688,-2513l4698,-2513,4698,-2533,4688,-2533,4688,-2513xe" filled="true" fillcolor="#000000" stroked="false">
                <v:path arrowok="t"/>
                <v:fill type="solid"/>
              </v:shape>
            </v:group>
            <v:group style="position:absolute;left:4688;top:-2513;width:10;height:20" coordorigin="4688,-2513" coordsize="10,20">
              <v:shape style="position:absolute;left:4688;top:-2513;width:10;height:20" coordorigin="4688,-2513" coordsize="10,20" path="m4688,-2494l4698,-2494,4698,-2513,4688,-2513,4688,-2494xe" filled="true" fillcolor="#000000" stroked="false">
                <v:path arrowok="t"/>
                <v:fill type="solid"/>
              </v:shape>
            </v:group>
            <v:group style="position:absolute;left:4688;top:-2494;width:10;height:20" coordorigin="4688,-2494" coordsize="10,20">
              <v:shape style="position:absolute;left:4688;top:-2494;width:10;height:20" coordorigin="4688,-2494" coordsize="10,20" path="m4688,-2475l4698,-2475,4698,-2494,4688,-2494,4688,-2475xe" filled="true" fillcolor="#000000" stroked="false">
                <v:path arrowok="t"/>
                <v:fill type="solid"/>
              </v:shape>
            </v:group>
            <v:group style="position:absolute;left:4688;top:-2475;width:10;height:20" coordorigin="4688,-2475" coordsize="10,20">
              <v:shape style="position:absolute;left:4688;top:-2475;width:10;height:20" coordorigin="4688,-2475" coordsize="10,20" path="m4688,-2456l4698,-2456,4698,-2475,4688,-2475,4688,-2456xe" filled="true" fillcolor="#000000" stroked="false">
                <v:path arrowok="t"/>
                <v:fill type="solid"/>
              </v:shape>
            </v:group>
            <v:group style="position:absolute;left:4688;top:-2456;width:10;height:20" coordorigin="4688,-2456" coordsize="10,20">
              <v:shape style="position:absolute;left:4688;top:-2456;width:10;height:20" coordorigin="4688,-2456" coordsize="10,20" path="m4688,-2437l4698,-2437,4698,-2456,4688,-2456,4688,-2437xe" filled="true" fillcolor="#000000" stroked="false">
                <v:path arrowok="t"/>
                <v:fill type="solid"/>
              </v:shape>
            </v:group>
            <v:group style="position:absolute;left:4688;top:-2437;width:10;height:20" coordorigin="4688,-2437" coordsize="10,20">
              <v:shape style="position:absolute;left:4688;top:-2437;width:10;height:20" coordorigin="4688,-2437" coordsize="10,20" path="m4688,-2417l4698,-2417,4698,-2437,4688,-2437,4688,-2417xe" filled="true" fillcolor="#000000" stroked="false">
                <v:path arrowok="t"/>
                <v:fill type="solid"/>
              </v:shape>
            </v:group>
            <v:group style="position:absolute;left:4688;top:-2417;width:10;height:20" coordorigin="4688,-2417" coordsize="10,20">
              <v:shape style="position:absolute;left:4688;top:-2417;width:10;height:20" coordorigin="4688,-2417" coordsize="10,20" path="m4688,-2398l4698,-2398,4698,-2417,4688,-2417,4688,-2398xe" filled="true" fillcolor="#000000" stroked="false">
                <v:path arrowok="t"/>
                <v:fill type="solid"/>
              </v:shape>
            </v:group>
            <v:group style="position:absolute;left:4688;top:-2398;width:10;height:20" coordorigin="4688,-2398" coordsize="10,20">
              <v:shape style="position:absolute;left:4688;top:-2398;width:10;height:20" coordorigin="4688,-2398" coordsize="10,20" path="m4688,-2379l4698,-2379,4698,-2398,4688,-2398,4688,-2379xe" filled="true" fillcolor="#000000" stroked="false">
                <v:path arrowok="t"/>
                <v:fill type="solid"/>
              </v:shape>
            </v:group>
            <v:group style="position:absolute;left:4688;top:-2379;width:10;height:20" coordorigin="4688,-2379" coordsize="10,20">
              <v:shape style="position:absolute;left:4688;top:-2379;width:10;height:20" coordorigin="4688,-2379" coordsize="10,20" path="m4688,-2360l4698,-2360,4698,-2379,4688,-2379,4688,-2360xe" filled="true" fillcolor="#000000" stroked="false">
                <v:path arrowok="t"/>
                <v:fill type="solid"/>
              </v:shape>
            </v:group>
            <v:group style="position:absolute;left:4688;top:-2360;width:10;height:20" coordorigin="4688,-2360" coordsize="10,20">
              <v:shape style="position:absolute;left:4688;top:-2360;width:10;height:20" coordorigin="4688,-2360" coordsize="10,20" path="m4688,-2341l4698,-2341,4698,-2360,4688,-2360,4688,-2341xe" filled="true" fillcolor="#000000" stroked="false">
                <v:path arrowok="t"/>
                <v:fill type="solid"/>
              </v:shape>
            </v:group>
            <v:group style="position:absolute;left:4688;top:-2341;width:10;height:20" coordorigin="4688,-2341" coordsize="10,20">
              <v:shape style="position:absolute;left:4688;top:-2341;width:10;height:20" coordorigin="4688,-2341" coordsize="10,20" path="m4688,-2321l4698,-2321,4698,-2341,4688,-2341,4688,-2321xe" filled="true" fillcolor="#000000" stroked="false">
                <v:path arrowok="t"/>
                <v:fill type="solid"/>
              </v:shape>
              <v:shape style="position:absolute;left:4686;top:-2295;width:2;height:10" type="#_x0000_t75" stroked="false">
                <v:imagedata r:id="rId45" o:title=""/>
              </v:shape>
            </v:group>
            <v:group style="position:absolute;left:4688;top:-2266;width:10;height:20" coordorigin="4688,-2266" coordsize="10,20">
              <v:shape style="position:absolute;left:4688;top:-2266;width:10;height:20" coordorigin="4688,-2266" coordsize="10,20" path="m4688,-2247l4698,-2247,4698,-2266,4688,-2266,4688,-2247xe" filled="true" fillcolor="#000000" stroked="false">
                <v:path arrowok="t"/>
                <v:fill type="solid"/>
              </v:shape>
            </v:group>
            <v:group style="position:absolute;left:4688;top:-2247;width:10;height:20" coordorigin="4688,-2247" coordsize="10,20">
              <v:shape style="position:absolute;left:4688;top:-2247;width:10;height:20" coordorigin="4688,-2247" coordsize="10,20" path="m4688,-2228l4698,-2228,4698,-2247,4688,-2247,4688,-2228xe" filled="true" fillcolor="#000000" stroked="false">
                <v:path arrowok="t"/>
                <v:fill type="solid"/>
              </v:shape>
            </v:group>
            <v:group style="position:absolute;left:4688;top:-2228;width:10;height:20" coordorigin="4688,-2228" coordsize="10,20">
              <v:shape style="position:absolute;left:4688;top:-2228;width:10;height:20" coordorigin="4688,-2228" coordsize="10,20" path="m4688,-2208l4698,-2208,4698,-2228,4688,-2228,4688,-2208xe" filled="true" fillcolor="#000000" stroked="false">
                <v:path arrowok="t"/>
                <v:fill type="solid"/>
              </v:shape>
            </v:group>
            <v:group style="position:absolute;left:4688;top:-2208;width:10;height:20" coordorigin="4688,-2208" coordsize="10,20">
              <v:shape style="position:absolute;left:4688;top:-2208;width:10;height:20" coordorigin="4688,-2208" coordsize="10,20" path="m4688,-2189l4698,-2189,4698,-2208,4688,-2208,4688,-2189xe" filled="true" fillcolor="#000000" stroked="false">
                <v:path arrowok="t"/>
                <v:fill type="solid"/>
              </v:shape>
            </v:group>
            <v:group style="position:absolute;left:4688;top:-2189;width:10;height:20" coordorigin="4688,-2189" coordsize="10,20">
              <v:shape style="position:absolute;left:4688;top:-2189;width:10;height:20" coordorigin="4688,-2189" coordsize="10,20" path="m4688,-2170l4698,-2170,4698,-2189,4688,-2189,4688,-2170xe" filled="true" fillcolor="#000000" stroked="false">
                <v:path arrowok="t"/>
                <v:fill type="solid"/>
              </v:shape>
            </v:group>
            <v:group style="position:absolute;left:4688;top:-2170;width:10;height:20" coordorigin="4688,-2170" coordsize="10,20">
              <v:shape style="position:absolute;left:4688;top:-2170;width:10;height:20" coordorigin="4688,-2170" coordsize="10,20" path="m4688,-2150l4698,-2150,4698,-2170,4688,-2170,4688,-2150xe" filled="true" fillcolor="#000000" stroked="false">
                <v:path arrowok="t"/>
                <v:fill type="solid"/>
              </v:shape>
            </v:group>
            <v:group style="position:absolute;left:4688;top:-2150;width:10;height:20" coordorigin="4688,-2150" coordsize="10,20">
              <v:shape style="position:absolute;left:4688;top:-2150;width:10;height:20" coordorigin="4688,-2150" coordsize="10,20" path="m4688,-2131l4698,-2131,4698,-2150,4688,-2150,4688,-2131xe" filled="true" fillcolor="#000000" stroked="false">
                <v:path arrowok="t"/>
                <v:fill type="solid"/>
              </v:shape>
            </v:group>
            <v:group style="position:absolute;left:4688;top:-2131;width:10;height:20" coordorigin="4688,-2131" coordsize="10,20">
              <v:shape style="position:absolute;left:4688;top:-2131;width:10;height:20" coordorigin="4688,-2131" coordsize="10,20" path="m4688,-2112l4698,-2112,4698,-2131,4688,-2131,4688,-2112xe" filled="true" fillcolor="#000000" stroked="false">
                <v:path arrowok="t"/>
                <v:fill type="solid"/>
              </v:shape>
            </v:group>
            <v:group style="position:absolute;left:4688;top:-2112;width:10;height:20" coordorigin="4688,-2112" coordsize="10,20">
              <v:shape style="position:absolute;left:4688;top:-2112;width:10;height:20" coordorigin="4688,-2112" coordsize="10,20" path="m4688,-2093l4698,-2093,4698,-2112,4688,-2112,4688,-2093xe" filled="true" fillcolor="#000000" stroked="false">
                <v:path arrowok="t"/>
                <v:fill type="solid"/>
              </v:shape>
            </v:group>
            <v:group style="position:absolute;left:4688;top:-2093;width:10;height:20" coordorigin="4688,-2093" coordsize="10,20">
              <v:shape style="position:absolute;left:4688;top:-2093;width:10;height:20" coordorigin="4688,-2093" coordsize="10,20" path="m4688,-2074l4698,-2074,4698,-2093,4688,-2093,4688,-2074xe" filled="true" fillcolor="#000000" stroked="false">
                <v:path arrowok="t"/>
                <v:fill type="solid"/>
              </v:shape>
            </v:group>
            <v:group style="position:absolute;left:4688;top:-2074;width:10;height:20" coordorigin="4688,-2074" coordsize="10,20">
              <v:shape style="position:absolute;left:4688;top:-2074;width:10;height:20" coordorigin="4688,-2074" coordsize="10,20" path="m4688,-2054l4698,-2054,4698,-2074,4688,-2074,4688,-2054xe" filled="true" fillcolor="#000000" stroked="false">
                <v:path arrowok="t"/>
                <v:fill type="solid"/>
              </v:shape>
            </v:group>
            <v:group style="position:absolute;left:4688;top:-2054;width:10;height:20" coordorigin="4688,-2054" coordsize="10,20">
              <v:shape style="position:absolute;left:4688;top:-2054;width:10;height:20" coordorigin="4688,-2054" coordsize="10,20" path="m4688,-2035l4698,-2035,4698,-2054,4688,-2054,4688,-2035xe" filled="true" fillcolor="#000000" stroked="false">
                <v:path arrowok="t"/>
                <v:fill type="solid"/>
              </v:shape>
            </v:group>
            <v:group style="position:absolute;left:4688;top:-2035;width:10;height:20" coordorigin="4688,-2035" coordsize="10,20">
              <v:shape style="position:absolute;left:4688;top:-2035;width:10;height:20" coordorigin="4688,-2035" coordsize="10,20" path="m4688,-2016l4698,-2016,4698,-2035,4688,-2035,4688,-2016xe" filled="true" fillcolor="#000000" stroked="false">
                <v:path arrowok="t"/>
                <v:fill type="solid"/>
              </v:shape>
            </v:group>
            <v:group style="position:absolute;left:4688;top:-2016;width:10;height:20" coordorigin="4688,-2016" coordsize="10,20">
              <v:shape style="position:absolute;left:4688;top:-2016;width:10;height:20" coordorigin="4688,-2016" coordsize="10,20" path="m4688,-1997l4698,-1997,4698,-2016,4688,-2016,4688,-1997xe" filled="true" fillcolor="#000000" stroked="false">
                <v:path arrowok="t"/>
                <v:fill type="solid"/>
              </v:shape>
              <v:shape style="position:absolute;left:4686;top:-1978;width:12;height:14" type="#_x0000_t75" stroked="false">
                <v:imagedata r:id="rId44" o:title=""/>
              </v:shape>
            </v:group>
            <v:group style="position:absolute;left:4688;top:-1944;width:10;height:20" coordorigin="4688,-1944" coordsize="10,20">
              <v:shape style="position:absolute;left:4688;top:-1944;width:10;height:20" coordorigin="4688,-1944" coordsize="10,20" path="m4688,-1925l4698,-1925,4698,-1944,4688,-1944,4688,-1925xe" filled="true" fillcolor="#000000" stroked="false">
                <v:path arrowok="t"/>
                <v:fill type="solid"/>
              </v:shape>
            </v:group>
            <v:group style="position:absolute;left:4688;top:-1925;width:10;height:20" coordorigin="4688,-1925" coordsize="10,20">
              <v:shape style="position:absolute;left:4688;top:-1925;width:10;height:20" coordorigin="4688,-1925" coordsize="10,20" path="m4688,-1906l4698,-1906,4698,-1925,4688,-1925,4688,-1906xe" filled="true" fillcolor="#000000" stroked="false">
                <v:path arrowok="t"/>
                <v:fill type="solid"/>
              </v:shape>
            </v:group>
            <v:group style="position:absolute;left:4688;top:-1906;width:10;height:20" coordorigin="4688,-1906" coordsize="10,20">
              <v:shape style="position:absolute;left:4688;top:-1906;width:10;height:20" coordorigin="4688,-1906" coordsize="10,20" path="m4688,-1886l4698,-1886,4698,-1906,4688,-1906,4688,-1886xe" filled="true" fillcolor="#000000" stroked="false">
                <v:path arrowok="t"/>
                <v:fill type="solid"/>
              </v:shape>
            </v:group>
            <v:group style="position:absolute;left:4688;top:-1886;width:10;height:20" coordorigin="4688,-1886" coordsize="10,20">
              <v:shape style="position:absolute;left:4688;top:-1886;width:10;height:20" coordorigin="4688,-1886" coordsize="10,20" path="m4688,-1867l4698,-1867,4698,-1886,4688,-1886,4688,-1867xe" filled="true" fillcolor="#000000" stroked="false">
                <v:path arrowok="t"/>
                <v:fill type="solid"/>
              </v:shape>
            </v:group>
            <v:group style="position:absolute;left:4688;top:-1867;width:10;height:20" coordorigin="4688,-1867" coordsize="10,20">
              <v:shape style="position:absolute;left:4688;top:-1867;width:10;height:20" coordorigin="4688,-1867" coordsize="10,20" path="m4688,-1848l4698,-1848,4698,-1867,4688,-1867,4688,-1848xe" filled="true" fillcolor="#000000" stroked="false">
                <v:path arrowok="t"/>
                <v:fill type="solid"/>
              </v:shape>
            </v:group>
            <v:group style="position:absolute;left:4688;top:-1848;width:10;height:20" coordorigin="4688,-1848" coordsize="10,20">
              <v:shape style="position:absolute;left:4688;top:-1848;width:10;height:20" coordorigin="4688,-1848" coordsize="10,20" path="m4688,-1829l4698,-1829,4698,-1848,4688,-1848,4688,-1829xe" filled="true" fillcolor="#000000" stroked="false">
                <v:path arrowok="t"/>
                <v:fill type="solid"/>
              </v:shape>
            </v:group>
            <v:group style="position:absolute;left:4688;top:-1829;width:10;height:20" coordorigin="4688,-1829" coordsize="10,20">
              <v:shape style="position:absolute;left:4688;top:-1829;width:10;height:20" coordorigin="4688,-1829" coordsize="10,20" path="m4688,-1810l4698,-1810,4698,-1829,4688,-1829,4688,-1810xe" filled="true" fillcolor="#000000" stroked="false">
                <v:path arrowok="t"/>
                <v:fill type="solid"/>
              </v:shape>
            </v:group>
            <v:group style="position:absolute;left:4688;top:-1810;width:10;height:20" coordorigin="4688,-1810" coordsize="10,20">
              <v:shape style="position:absolute;left:4688;top:-1810;width:10;height:20" coordorigin="4688,-1810" coordsize="10,20" path="m4688,-1790l4698,-1790,4698,-1810,4688,-1810,4688,-1790xe" filled="true" fillcolor="#000000" stroked="false">
                <v:path arrowok="t"/>
                <v:fill type="solid"/>
              </v:shape>
            </v:group>
            <v:group style="position:absolute;left:4688;top:-1790;width:10;height:20" coordorigin="4688,-1790" coordsize="10,20">
              <v:shape style="position:absolute;left:4688;top:-1790;width:10;height:20" coordorigin="4688,-1790" coordsize="10,20" path="m4688,-1771l4698,-1771,4698,-1790,4688,-1790,4688,-1771xe" filled="true" fillcolor="#000000" stroked="false">
                <v:path arrowok="t"/>
                <v:fill type="solid"/>
              </v:shape>
            </v:group>
            <v:group style="position:absolute;left:4688;top:-1771;width:10;height:20" coordorigin="4688,-1771" coordsize="10,20">
              <v:shape style="position:absolute;left:4688;top:-1771;width:10;height:20" coordorigin="4688,-1771" coordsize="10,20" path="m4688,-1752l4698,-1752,4698,-1771,4688,-1771,4688,-1752xe" filled="true" fillcolor="#000000" stroked="false">
                <v:path arrowok="t"/>
                <v:fill type="solid"/>
              </v:shape>
            </v:group>
            <v:group style="position:absolute;left:4688;top:-1752;width:10;height:20" coordorigin="4688,-1752" coordsize="10,20">
              <v:shape style="position:absolute;left:4688;top:-1752;width:10;height:20" coordorigin="4688,-1752" coordsize="10,20" path="m4688,-1733l4698,-1733,4698,-1752,4688,-1752,4688,-1733xe" filled="true" fillcolor="#000000" stroked="false">
                <v:path arrowok="t"/>
                <v:fill type="solid"/>
              </v:shape>
            </v:group>
            <v:group style="position:absolute;left:4688;top:-1733;width:10;height:20" coordorigin="4688,-1733" coordsize="10,20">
              <v:shape style="position:absolute;left:4688;top:-1733;width:10;height:20" coordorigin="4688,-1733" coordsize="10,20" path="m4688,-1714l4698,-1714,4698,-1733,4688,-1733,4688,-1714xe" filled="true" fillcolor="#000000" stroked="false">
                <v:path arrowok="t"/>
                <v:fill type="solid"/>
              </v:shape>
            </v:group>
            <v:group style="position:absolute;left:4688;top:-1714;width:10;height:20" coordorigin="4688,-1714" coordsize="10,20">
              <v:shape style="position:absolute;left:4688;top:-1714;width:10;height:20" coordorigin="4688,-1714" coordsize="10,20" path="m4688,-1694l4698,-1694,4698,-1714,4688,-1714,4688,-1694xe" filled="true" fillcolor="#000000" stroked="false">
                <v:path arrowok="t"/>
                <v:fill type="solid"/>
              </v:shape>
            </v:group>
            <v:group style="position:absolute;left:4688;top:-1694;width:10;height:20" coordorigin="4688,-1694" coordsize="10,20">
              <v:shape style="position:absolute;left:4688;top:-1694;width:10;height:20" coordorigin="4688,-1694" coordsize="10,20" path="m4688,-1675l4698,-1675,4698,-1694,4688,-1694,4688,-1675xe" filled="true" fillcolor="#000000" stroked="false">
                <v:path arrowok="t"/>
                <v:fill type="solid"/>
              </v:shape>
              <v:shape style="position:absolute;left:4686;top:-1649;width:2;height:10" type="#_x0000_t75" stroked="false">
                <v:imagedata r:id="rId45" o:title=""/>
              </v:shape>
            </v:group>
            <v:group style="position:absolute;left:4688;top:-1620;width:10;height:20" coordorigin="4688,-1620" coordsize="10,20">
              <v:shape style="position:absolute;left:4688;top:-1620;width:10;height:20" coordorigin="4688,-1620" coordsize="10,20" path="m4688,-1601l4698,-1601,4698,-1620,4688,-1620,4688,-1601xe" filled="true" fillcolor="#000000" stroked="false">
                <v:path arrowok="t"/>
                <v:fill type="solid"/>
              </v:shape>
            </v:group>
            <v:group style="position:absolute;left:4688;top:-1601;width:10;height:20" coordorigin="4688,-1601" coordsize="10,20">
              <v:shape style="position:absolute;left:4688;top:-1601;width:10;height:20" coordorigin="4688,-1601" coordsize="10,20" path="m4688,-1582l4698,-1582,4698,-1601,4688,-1601,4688,-1582xe" filled="true" fillcolor="#000000" stroked="false">
                <v:path arrowok="t"/>
                <v:fill type="solid"/>
              </v:shape>
            </v:group>
            <v:group style="position:absolute;left:4688;top:-1582;width:10;height:20" coordorigin="4688,-1582" coordsize="10,20">
              <v:shape style="position:absolute;left:4688;top:-1582;width:10;height:20" coordorigin="4688,-1582" coordsize="10,20" path="m4688,-1562l4698,-1562,4698,-1582,4688,-1582,4688,-1562xe" filled="true" fillcolor="#000000" stroked="false">
                <v:path arrowok="t"/>
                <v:fill type="solid"/>
              </v:shape>
            </v:group>
            <v:group style="position:absolute;left:4688;top:-1562;width:10;height:20" coordorigin="4688,-1562" coordsize="10,20">
              <v:shape style="position:absolute;left:4688;top:-1562;width:10;height:20" coordorigin="4688,-1562" coordsize="10,20" path="m4688,-1543l4698,-1543,4698,-1562,4688,-1562,4688,-1543xe" filled="true" fillcolor="#000000" stroked="false">
                <v:path arrowok="t"/>
                <v:fill type="solid"/>
              </v:shape>
            </v:group>
            <v:group style="position:absolute;left:4688;top:-1543;width:10;height:20" coordorigin="4688,-1543" coordsize="10,20">
              <v:shape style="position:absolute;left:4688;top:-1543;width:10;height:20" coordorigin="4688,-1543" coordsize="10,20" path="m4688,-1524l4698,-1524,4698,-1543,4688,-1543,4688,-1524xe" filled="true" fillcolor="#000000" stroked="false">
                <v:path arrowok="t"/>
                <v:fill type="solid"/>
              </v:shape>
            </v:group>
            <v:group style="position:absolute;left:4688;top:-1524;width:10;height:20" coordorigin="4688,-1524" coordsize="10,20">
              <v:shape style="position:absolute;left:4688;top:-1524;width:10;height:20" coordorigin="4688,-1524" coordsize="10,20" path="m4688,-1505l4698,-1505,4698,-1524,4688,-1524,4688,-1505xe" filled="true" fillcolor="#000000" stroked="false">
                <v:path arrowok="t"/>
                <v:fill type="solid"/>
              </v:shape>
            </v:group>
            <v:group style="position:absolute;left:4688;top:-1505;width:10;height:20" coordorigin="4688,-1505" coordsize="10,20">
              <v:shape style="position:absolute;left:4688;top:-1505;width:10;height:20" coordorigin="4688,-1505" coordsize="10,20" path="m4688,-1486l4698,-1486,4698,-1505,4688,-1505,4688,-1486xe" filled="true" fillcolor="#000000" stroked="false">
                <v:path arrowok="t"/>
                <v:fill type="solid"/>
              </v:shape>
            </v:group>
            <v:group style="position:absolute;left:4688;top:-1486;width:10;height:20" coordorigin="4688,-1486" coordsize="10,20">
              <v:shape style="position:absolute;left:4688;top:-1486;width:10;height:20" coordorigin="4688,-1486" coordsize="10,20" path="m4688,-1466l4698,-1466,4698,-1486,4688,-1486,4688,-1466xe" filled="true" fillcolor="#000000" stroked="false">
                <v:path arrowok="t"/>
                <v:fill type="solid"/>
              </v:shape>
            </v:group>
            <v:group style="position:absolute;left:4688;top:-1466;width:10;height:20" coordorigin="4688,-1466" coordsize="10,20">
              <v:shape style="position:absolute;left:4688;top:-1466;width:10;height:20" coordorigin="4688,-1466" coordsize="10,20" path="m4688,-1447l4698,-1447,4698,-1466,4688,-1466,4688,-1447xe" filled="true" fillcolor="#000000" stroked="false">
                <v:path arrowok="t"/>
                <v:fill type="solid"/>
              </v:shape>
            </v:group>
            <v:group style="position:absolute;left:4688;top:-1447;width:10;height:20" coordorigin="4688,-1447" coordsize="10,20">
              <v:shape style="position:absolute;left:4688;top:-1447;width:10;height:20" coordorigin="4688,-1447" coordsize="10,20" path="m4688,-1428l4698,-1428,4698,-1447,4688,-1447,4688,-1428xe" filled="true" fillcolor="#000000" stroked="false">
                <v:path arrowok="t"/>
                <v:fill type="solid"/>
              </v:shape>
            </v:group>
            <v:group style="position:absolute;left:4688;top:-1428;width:10;height:20" coordorigin="4688,-1428" coordsize="10,20">
              <v:shape style="position:absolute;left:4688;top:-1428;width:10;height:20" coordorigin="4688,-1428" coordsize="10,20" path="m4688,-1409l4698,-1409,4698,-1428,4688,-1428,4688,-1409xe" filled="true" fillcolor="#000000" stroked="false">
                <v:path arrowok="t"/>
                <v:fill type="solid"/>
              </v:shape>
            </v:group>
            <v:group style="position:absolute;left:4688;top:-1409;width:10;height:20" coordorigin="4688,-1409" coordsize="10,20">
              <v:shape style="position:absolute;left:4688;top:-1409;width:10;height:20" coordorigin="4688,-1409" coordsize="10,20" path="m4688,-1390l4698,-1390,4698,-1409,4688,-1409,4688,-1390xe" filled="true" fillcolor="#000000" stroked="false">
                <v:path arrowok="t"/>
                <v:fill type="solid"/>
              </v:shape>
            </v:group>
            <v:group style="position:absolute;left:4688;top:-1390;width:10;height:20" coordorigin="4688,-1390" coordsize="10,20">
              <v:shape style="position:absolute;left:4688;top:-1390;width:10;height:20" coordorigin="4688,-1390" coordsize="10,20" path="m4688,-1370l4698,-1370,4698,-1390,4688,-1390,4688,-1370xe" filled="true" fillcolor="#000000" stroked="false">
                <v:path arrowok="t"/>
                <v:fill type="solid"/>
              </v:shape>
            </v:group>
            <v:group style="position:absolute;left:4688;top:-1370;width:10;height:20" coordorigin="4688,-1370" coordsize="10,20">
              <v:shape style="position:absolute;left:4688;top:-1370;width:10;height:20" coordorigin="4688,-1370" coordsize="10,20" path="m4688,-1351l4698,-1351,4698,-1370,4688,-1370,4688,-1351xe" filled="true" fillcolor="#000000" stroked="false">
                <v:path arrowok="t"/>
                <v:fill type="solid"/>
              </v:shape>
              <v:shape style="position:absolute;left:4686;top:-1325;width:2;height:10" type="#_x0000_t75" stroked="false">
                <v:imagedata r:id="rId45" o:title=""/>
              </v:shape>
            </v:group>
            <v:group style="position:absolute;left:4688;top:-1296;width:10;height:20" coordorigin="4688,-1296" coordsize="10,20">
              <v:shape style="position:absolute;left:4688;top:-1296;width:10;height:20" coordorigin="4688,-1296" coordsize="10,20" path="m4688,-1277l4698,-1277,4698,-1296,4688,-1296,4688,-1277xe" filled="true" fillcolor="#000000" stroked="false">
                <v:path arrowok="t"/>
                <v:fill type="solid"/>
              </v:shape>
            </v:group>
            <v:group style="position:absolute;left:4688;top:-1277;width:10;height:20" coordorigin="4688,-1277" coordsize="10,20">
              <v:shape style="position:absolute;left:4688;top:-1277;width:10;height:20" coordorigin="4688,-1277" coordsize="10,20" path="m4688,-1258l4698,-1258,4698,-1277,4688,-1277,4688,-1258xe" filled="true" fillcolor="#000000" stroked="false">
                <v:path arrowok="t"/>
                <v:fill type="solid"/>
              </v:shape>
            </v:group>
            <v:group style="position:absolute;left:4688;top:-1258;width:10;height:20" coordorigin="4688,-1258" coordsize="10,20">
              <v:shape style="position:absolute;left:4688;top:-1258;width:10;height:20" coordorigin="4688,-1258" coordsize="10,20" path="m4688,-1238l4698,-1238,4698,-1258,4688,-1258,4688,-1238xe" filled="true" fillcolor="#000000" stroked="false">
                <v:path arrowok="t"/>
                <v:fill type="solid"/>
              </v:shape>
            </v:group>
            <v:group style="position:absolute;left:4688;top:-1238;width:10;height:20" coordorigin="4688,-1238" coordsize="10,20">
              <v:shape style="position:absolute;left:4688;top:-1238;width:10;height:20" coordorigin="4688,-1238" coordsize="10,20" path="m4688,-1219l4698,-1219,4698,-1238,4688,-1238,4688,-1219xe" filled="true" fillcolor="#000000" stroked="false">
                <v:path arrowok="t"/>
                <v:fill type="solid"/>
              </v:shape>
            </v:group>
            <v:group style="position:absolute;left:4688;top:-1219;width:10;height:20" coordorigin="4688,-1219" coordsize="10,20">
              <v:shape style="position:absolute;left:4688;top:-1219;width:10;height:20" coordorigin="4688,-1219" coordsize="10,20" path="m4688,-1200l4698,-1200,4698,-1219,4688,-1219,4688,-1200xe" filled="true" fillcolor="#000000" stroked="false">
                <v:path arrowok="t"/>
                <v:fill type="solid"/>
              </v:shape>
            </v:group>
            <v:group style="position:absolute;left:4688;top:-1200;width:10;height:20" coordorigin="4688,-1200" coordsize="10,20">
              <v:shape style="position:absolute;left:4688;top:-1200;width:10;height:20" coordorigin="4688,-1200" coordsize="10,20" path="m4688,-1181l4698,-1181,4698,-1200,4688,-1200,4688,-1181xe" filled="true" fillcolor="#000000" stroked="false">
                <v:path arrowok="t"/>
                <v:fill type="solid"/>
              </v:shape>
            </v:group>
            <v:group style="position:absolute;left:4688;top:-1181;width:10;height:20" coordorigin="4688,-1181" coordsize="10,20">
              <v:shape style="position:absolute;left:4688;top:-1181;width:10;height:20" coordorigin="4688,-1181" coordsize="10,20" path="m4688,-1162l4698,-1162,4698,-1181,4688,-1181,4688,-1162xe" filled="true" fillcolor="#000000" stroked="false">
                <v:path arrowok="t"/>
                <v:fill type="solid"/>
              </v:shape>
            </v:group>
            <v:group style="position:absolute;left:4688;top:-1162;width:10;height:20" coordorigin="4688,-1162" coordsize="10,20">
              <v:shape style="position:absolute;left:4688;top:-1162;width:10;height:20" coordorigin="4688,-1162" coordsize="10,20" path="m4688,-1142l4698,-1142,4698,-1162,4688,-1162,4688,-1142xe" filled="true" fillcolor="#000000" stroked="false">
                <v:path arrowok="t"/>
                <v:fill type="solid"/>
              </v:shape>
            </v:group>
            <v:group style="position:absolute;left:4688;top:-1142;width:10;height:20" coordorigin="4688,-1142" coordsize="10,20">
              <v:shape style="position:absolute;left:4688;top:-1142;width:10;height:20" coordorigin="4688,-1142" coordsize="10,20" path="m4688,-1123l4698,-1123,4698,-1142,4688,-1142,4688,-1123xe" filled="true" fillcolor="#000000" stroked="false">
                <v:path arrowok="t"/>
                <v:fill type="solid"/>
              </v:shape>
            </v:group>
            <v:group style="position:absolute;left:4688;top:-1123;width:10;height:20" coordorigin="4688,-1123" coordsize="10,20">
              <v:shape style="position:absolute;left:4688;top:-1123;width:10;height:20" coordorigin="4688,-1123" coordsize="10,20" path="m4688,-1104l4698,-1104,4698,-1123,4688,-1123,4688,-1104xe" filled="true" fillcolor="#000000" stroked="false">
                <v:path arrowok="t"/>
                <v:fill type="solid"/>
              </v:shape>
            </v:group>
            <v:group style="position:absolute;left:4688;top:-1104;width:10;height:20" coordorigin="4688,-1104" coordsize="10,20">
              <v:shape style="position:absolute;left:4688;top:-1104;width:10;height:20" coordorigin="4688,-1104" coordsize="10,20" path="m4688,-1085l4698,-1085,4698,-1104,4688,-1104,4688,-1085xe" filled="true" fillcolor="#000000" stroked="false">
                <v:path arrowok="t"/>
                <v:fill type="solid"/>
              </v:shape>
            </v:group>
            <v:group style="position:absolute;left:4688;top:-1085;width:10;height:20" coordorigin="4688,-1085" coordsize="10,20">
              <v:shape style="position:absolute;left:4688;top:-1085;width:10;height:20" coordorigin="4688,-1085" coordsize="10,20" path="m4688,-1066l4698,-1066,4698,-1085,4688,-1085,4688,-1066xe" filled="true" fillcolor="#000000" stroked="false">
                <v:path arrowok="t"/>
                <v:fill type="solid"/>
              </v:shape>
            </v:group>
            <v:group style="position:absolute;left:4688;top:-1066;width:10;height:20" coordorigin="4688,-1066" coordsize="10,20">
              <v:shape style="position:absolute;left:4688;top:-1066;width:10;height:20" coordorigin="4688,-1066" coordsize="10,20" path="m4688,-1046l4698,-1046,4698,-1066,4688,-1066,4688,-1046xe" filled="true" fillcolor="#000000" stroked="false">
                <v:path arrowok="t"/>
                <v:fill type="solid"/>
              </v:shape>
            </v:group>
            <v:group style="position:absolute;left:4688;top:-1046;width:10;height:20" coordorigin="4688,-1046" coordsize="10,20">
              <v:shape style="position:absolute;left:4688;top:-1046;width:10;height:20" coordorigin="4688,-1046" coordsize="10,20" path="m4688,-1027l4698,-1027,4698,-1046,4688,-1046,4688,-1027xe" filled="true" fillcolor="#000000" stroked="false">
                <v:path arrowok="t"/>
                <v:fill type="solid"/>
              </v:shape>
              <v:shape style="position:absolute;left:4686;top:-1001;width:2;height:10" type="#_x0000_t75" stroked="false">
                <v:imagedata r:id="rId45" o:title=""/>
              </v:shape>
            </v:group>
            <v:group style="position:absolute;left:4688;top:-972;width:10;height:20" coordorigin="4688,-972" coordsize="10,20">
              <v:shape style="position:absolute;left:4688;top:-972;width:10;height:20" coordorigin="4688,-972" coordsize="10,20" path="m4688,-953l4698,-953,4698,-972,4688,-972,4688,-953xe" filled="true" fillcolor="#000000" stroked="false">
                <v:path arrowok="t"/>
                <v:fill type="solid"/>
              </v:shape>
            </v:group>
            <v:group style="position:absolute;left:4688;top:-953;width:10;height:20" coordorigin="4688,-953" coordsize="10,20">
              <v:shape style="position:absolute;left:4688;top:-953;width:10;height:20" coordorigin="4688,-953" coordsize="10,20" path="m4688,-934l4698,-934,4698,-953,4688,-953,4688,-934xe" filled="true" fillcolor="#000000" stroked="false">
                <v:path arrowok="t"/>
                <v:fill type="solid"/>
              </v:shape>
            </v:group>
            <v:group style="position:absolute;left:4688;top:-934;width:10;height:20" coordorigin="4688,-934" coordsize="10,20">
              <v:shape style="position:absolute;left:4688;top:-934;width:10;height:20" coordorigin="4688,-934" coordsize="10,20" path="m4688,-914l4698,-914,4698,-934,4688,-934,4688,-914xe" filled="true" fillcolor="#000000" stroked="false">
                <v:path arrowok="t"/>
                <v:fill type="solid"/>
              </v:shape>
            </v:group>
            <v:group style="position:absolute;left:4688;top:-914;width:10;height:20" coordorigin="4688,-914" coordsize="10,20">
              <v:shape style="position:absolute;left:4688;top:-914;width:10;height:20" coordorigin="4688,-914" coordsize="10,20" path="m4688,-895l4698,-895,4698,-914,4688,-914,4688,-895xe" filled="true" fillcolor="#000000" stroked="false">
                <v:path arrowok="t"/>
                <v:fill type="solid"/>
              </v:shape>
            </v:group>
            <v:group style="position:absolute;left:4688;top:-895;width:10;height:20" coordorigin="4688,-895" coordsize="10,20">
              <v:shape style="position:absolute;left:4688;top:-895;width:10;height:20" coordorigin="4688,-895" coordsize="10,20" path="m4688,-876l4698,-876,4698,-895,4688,-895,4688,-876xe" filled="true" fillcolor="#000000" stroked="false">
                <v:path arrowok="t"/>
                <v:fill type="solid"/>
              </v:shape>
            </v:group>
            <v:group style="position:absolute;left:4688;top:-876;width:10;height:20" coordorigin="4688,-876" coordsize="10,20">
              <v:shape style="position:absolute;left:4688;top:-876;width:10;height:20" coordorigin="4688,-876" coordsize="10,20" path="m4688,-857l4698,-857,4698,-876,4688,-876,4688,-857xe" filled="true" fillcolor="#000000" stroked="false">
                <v:path arrowok="t"/>
                <v:fill type="solid"/>
              </v:shape>
            </v:group>
            <v:group style="position:absolute;left:4688;top:-857;width:10;height:20" coordorigin="4688,-857" coordsize="10,20">
              <v:shape style="position:absolute;left:4688;top:-857;width:10;height:20" coordorigin="4688,-857" coordsize="10,20" path="m4688,-838l4698,-838,4698,-857,4688,-857,4688,-838xe" filled="true" fillcolor="#000000" stroked="false">
                <v:path arrowok="t"/>
                <v:fill type="solid"/>
              </v:shape>
            </v:group>
            <v:group style="position:absolute;left:4688;top:-838;width:10;height:20" coordorigin="4688,-838" coordsize="10,20">
              <v:shape style="position:absolute;left:4688;top:-838;width:10;height:20" coordorigin="4688,-838" coordsize="10,20" path="m4688,-818l4698,-818,4698,-838,4688,-838,4688,-818xe" filled="true" fillcolor="#000000" stroked="false">
                <v:path arrowok="t"/>
                <v:fill type="solid"/>
              </v:shape>
            </v:group>
            <v:group style="position:absolute;left:4688;top:-818;width:10;height:20" coordorigin="4688,-818" coordsize="10,20">
              <v:shape style="position:absolute;left:4688;top:-818;width:10;height:20" coordorigin="4688,-818" coordsize="10,20" path="m4688,-799l4698,-799,4698,-818,4688,-818,4688,-799xe" filled="true" fillcolor="#000000" stroked="false">
                <v:path arrowok="t"/>
                <v:fill type="solid"/>
              </v:shape>
            </v:group>
            <v:group style="position:absolute;left:4688;top:-799;width:10;height:20" coordorigin="4688,-799" coordsize="10,20">
              <v:shape style="position:absolute;left:4688;top:-799;width:10;height:20" coordorigin="4688,-799" coordsize="10,20" path="m4688,-780l4698,-780,4698,-799,4688,-799,4688,-780xe" filled="true" fillcolor="#000000" stroked="false">
                <v:path arrowok="t"/>
                <v:fill type="solid"/>
              </v:shape>
            </v:group>
            <v:group style="position:absolute;left:4688;top:-780;width:10;height:20" coordorigin="4688,-780" coordsize="10,20">
              <v:shape style="position:absolute;left:4688;top:-780;width:10;height:20" coordorigin="4688,-780" coordsize="10,20" path="m4688,-761l4698,-761,4698,-780,4688,-780,4688,-761xe" filled="true" fillcolor="#000000" stroked="false">
                <v:path arrowok="t"/>
                <v:fill type="solid"/>
              </v:shape>
            </v:group>
            <v:group style="position:absolute;left:4688;top:-761;width:10;height:20" coordorigin="4688,-761" coordsize="10,20">
              <v:shape style="position:absolute;left:4688;top:-761;width:10;height:20" coordorigin="4688,-761" coordsize="10,20" path="m4688,-742l4698,-742,4698,-761,4688,-761,4688,-742xe" filled="true" fillcolor="#000000" stroked="false">
                <v:path arrowok="t"/>
                <v:fill type="solid"/>
              </v:shape>
            </v:group>
            <v:group style="position:absolute;left:4688;top:-742;width:10;height:20" coordorigin="4688,-742" coordsize="10,20">
              <v:shape style="position:absolute;left:4688;top:-742;width:10;height:20" coordorigin="4688,-742" coordsize="10,20" path="m4688,-722l4698,-722,4698,-742,4688,-742,4688,-722xe" filled="true" fillcolor="#000000" stroked="false">
                <v:path arrowok="t"/>
                <v:fill type="solid"/>
              </v:shape>
            </v:group>
            <v:group style="position:absolute;left:4688;top:-722;width:10;height:20" coordorigin="4688,-722" coordsize="10,20">
              <v:shape style="position:absolute;left:4688;top:-722;width:10;height:20" coordorigin="4688,-722" coordsize="10,20" path="m4688,-703l4698,-703,4698,-722,4688,-722,4688,-703xe" filled="true" fillcolor="#000000" stroked="false">
                <v:path arrowok="t"/>
                <v:fill type="solid"/>
              </v:shape>
              <v:shape style="position:absolute;left:4686;top:-677;width:2;height:10" type="#_x0000_t75" stroked="false">
                <v:imagedata r:id="rId45" o:title=""/>
              </v:shape>
            </v:group>
            <v:group style="position:absolute;left:4688;top:-648;width:10;height:20" coordorigin="4688,-648" coordsize="10,20">
              <v:shape style="position:absolute;left:4688;top:-648;width:10;height:20" coordorigin="4688,-648" coordsize="10,20" path="m4688,-629l4698,-629,4698,-648,4688,-648,4688,-629xe" filled="true" fillcolor="#000000" stroked="false">
                <v:path arrowok="t"/>
                <v:fill type="solid"/>
              </v:shape>
            </v:group>
            <v:group style="position:absolute;left:4688;top:-629;width:10;height:20" coordorigin="4688,-629" coordsize="10,20">
              <v:shape style="position:absolute;left:4688;top:-629;width:10;height:20" coordorigin="4688,-629" coordsize="10,20" path="m4688,-610l4698,-610,4698,-629,4688,-629,4688,-610xe" filled="true" fillcolor="#000000" stroked="false">
                <v:path arrowok="t"/>
                <v:fill type="solid"/>
              </v:shape>
            </v:group>
            <v:group style="position:absolute;left:4688;top:-610;width:10;height:20" coordorigin="4688,-610" coordsize="10,20">
              <v:shape style="position:absolute;left:4688;top:-610;width:10;height:20" coordorigin="4688,-610" coordsize="10,20" path="m4688,-590l4698,-590,4698,-610,4688,-610,4688,-590xe" filled="true" fillcolor="#000000" stroked="false">
                <v:path arrowok="t"/>
                <v:fill type="solid"/>
              </v:shape>
            </v:group>
            <v:group style="position:absolute;left:4688;top:-590;width:10;height:20" coordorigin="4688,-590" coordsize="10,20">
              <v:shape style="position:absolute;left:4688;top:-590;width:10;height:20" coordorigin="4688,-590" coordsize="10,20" path="m4688,-571l4698,-571,4698,-590,4688,-590,4688,-571xe" filled="true" fillcolor="#000000" stroked="false">
                <v:path arrowok="t"/>
                <v:fill type="solid"/>
              </v:shape>
            </v:group>
            <v:group style="position:absolute;left:4688;top:-571;width:10;height:20" coordorigin="4688,-571" coordsize="10,20">
              <v:shape style="position:absolute;left:4688;top:-571;width:10;height:20" coordorigin="4688,-571" coordsize="10,20" path="m4688,-552l4698,-552,4698,-571,4688,-571,4688,-552xe" filled="true" fillcolor="#000000" stroked="false">
                <v:path arrowok="t"/>
                <v:fill type="solid"/>
              </v:shape>
            </v:group>
            <v:group style="position:absolute;left:4688;top:-552;width:10;height:20" coordorigin="4688,-552" coordsize="10,20">
              <v:shape style="position:absolute;left:4688;top:-552;width:10;height:20" coordorigin="4688,-552" coordsize="10,20" path="m4688,-533l4698,-533,4698,-552,4688,-552,4688,-533xe" filled="true" fillcolor="#000000" stroked="false">
                <v:path arrowok="t"/>
                <v:fill type="solid"/>
              </v:shape>
            </v:group>
            <v:group style="position:absolute;left:4688;top:-533;width:10;height:20" coordorigin="4688,-533" coordsize="10,20">
              <v:shape style="position:absolute;left:4688;top:-533;width:10;height:20" coordorigin="4688,-533" coordsize="10,20" path="m4688,-514l4698,-514,4698,-533,4688,-533,4688,-514xe" filled="true" fillcolor="#000000" stroked="false">
                <v:path arrowok="t"/>
                <v:fill type="solid"/>
              </v:shape>
            </v:group>
            <v:group style="position:absolute;left:4688;top:-514;width:10;height:20" coordorigin="4688,-514" coordsize="10,20">
              <v:shape style="position:absolute;left:4688;top:-514;width:10;height:20" coordorigin="4688,-514" coordsize="10,20" path="m4688,-494l4698,-494,4698,-514,4688,-514,4688,-494xe" filled="true" fillcolor="#000000" stroked="false">
                <v:path arrowok="t"/>
                <v:fill type="solid"/>
              </v:shape>
            </v:group>
            <v:group style="position:absolute;left:4688;top:-494;width:10;height:20" coordorigin="4688,-494" coordsize="10,20">
              <v:shape style="position:absolute;left:4688;top:-494;width:10;height:20" coordorigin="4688,-494" coordsize="10,20" path="m4688,-475l4698,-475,4698,-494,4688,-494,4688,-475xe" filled="true" fillcolor="#000000" stroked="false">
                <v:path arrowok="t"/>
                <v:fill type="solid"/>
              </v:shape>
            </v:group>
            <v:group style="position:absolute;left:4688;top:-475;width:10;height:20" coordorigin="4688,-475" coordsize="10,20">
              <v:shape style="position:absolute;left:4688;top:-475;width:10;height:20" coordorigin="4688,-475" coordsize="10,20" path="m4688,-456l4698,-456,4698,-475,4688,-475,4688,-456xe" filled="true" fillcolor="#000000" stroked="false">
                <v:path arrowok="t"/>
                <v:fill type="solid"/>
              </v:shape>
            </v:group>
            <v:group style="position:absolute;left:4688;top:-456;width:10;height:20" coordorigin="4688,-456" coordsize="10,20">
              <v:shape style="position:absolute;left:4688;top:-456;width:10;height:20" coordorigin="4688,-456" coordsize="10,20" path="m4688,-437l4698,-437,4698,-456,4688,-456,4688,-437xe" filled="true" fillcolor="#000000" stroked="false">
                <v:path arrowok="t"/>
                <v:fill type="solid"/>
              </v:shape>
            </v:group>
            <v:group style="position:absolute;left:4688;top:-437;width:10;height:20" coordorigin="4688,-437" coordsize="10,20">
              <v:shape style="position:absolute;left:4688;top:-437;width:10;height:20" coordorigin="4688,-437" coordsize="10,20" path="m4688,-418l4698,-418,4698,-437,4688,-437,4688,-418xe" filled="true" fillcolor="#000000" stroked="false">
                <v:path arrowok="t"/>
                <v:fill type="solid"/>
              </v:shape>
            </v:group>
            <v:group style="position:absolute;left:4688;top:-418;width:10;height:20" coordorigin="4688,-418" coordsize="10,20">
              <v:shape style="position:absolute;left:4688;top:-418;width:10;height:20" coordorigin="4688,-418" coordsize="10,20" path="m4688,-398l4698,-398,4698,-418,4688,-418,4688,-398xe" filled="true" fillcolor="#000000" stroked="false">
                <v:path arrowok="t"/>
                <v:fill type="solid"/>
              </v:shape>
            </v:group>
            <v:group style="position:absolute;left:4688;top:-398;width:10;height:20" coordorigin="4688,-398" coordsize="10,20">
              <v:shape style="position:absolute;left:4688;top:-398;width:10;height:20" coordorigin="4688,-398" coordsize="10,20" path="m4688,-379l4698,-379,4698,-398,4688,-398,4688,-379xe" filled="true" fillcolor="#000000" stroked="false">
                <v:path arrowok="t"/>
                <v:fill type="solid"/>
              </v:shape>
            </v:group>
            <w10:wrap type="none"/>
          </v:group>
        </w:pict>
      </w:r>
      <w:r>
        <w:rPr/>
        <w:t>（</w:t>
      </w:r>
      <w:r>
        <w:rPr>
          <w:rFonts w:ascii="Times New Roman" w:hAnsi="Times New Roman" w:cs="Times New Roman" w:eastAsia="Times New Roman" w:hint="default"/>
        </w:rPr>
        <w:t>2</w:t>
      </w:r>
      <w:r>
        <w:rPr/>
        <w:t>）重要会计估计变更</w:t>
      </w:r>
      <w:r>
        <w:rPr>
          <w:b w:val="0"/>
          <w:bCs w:val="0"/>
        </w:rPr>
      </w:r>
    </w:p>
    <w:p>
      <w:pPr>
        <w:pStyle w:val="BodyText"/>
        <w:spacing w:line="240" w:lineRule="auto" w:before="152"/>
        <w:ind w:left="671" w:right="0"/>
        <w:jc w:val="left"/>
      </w:pPr>
      <w:r>
        <w:rPr/>
        <w:t>本公司本期末未发生会计估计变更。</w:t>
      </w:r>
    </w:p>
    <w:p>
      <w:pPr>
        <w:pStyle w:val="Heading2"/>
        <w:spacing w:line="240" w:lineRule="auto" w:before="28"/>
        <w:ind w:left="218" w:right="0"/>
        <w:jc w:val="left"/>
        <w:rPr>
          <w:b w:val="0"/>
          <w:bCs w:val="0"/>
        </w:rPr>
      </w:pPr>
      <w:r>
        <w:rPr/>
        <w:t>六、税项</w:t>
      </w:r>
      <w:r>
        <w:rPr>
          <w:b w:val="0"/>
          <w:bCs w:val="0"/>
        </w:rPr>
      </w:r>
    </w:p>
    <w:p>
      <w:pPr>
        <w:pStyle w:val="Heading4"/>
        <w:spacing w:line="240" w:lineRule="auto" w:before="162"/>
        <w:ind w:left="218"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3"/>
        <w:rPr>
          <w:rFonts w:ascii="宋体" w:hAnsi="宋体" w:cs="宋体" w:eastAsia="宋体" w:hint="default"/>
          <w:b/>
          <w:bCs/>
          <w:sz w:val="10"/>
          <w:szCs w:val="10"/>
        </w:rPr>
      </w:pPr>
    </w:p>
    <w:tbl>
      <w:tblPr>
        <w:tblW w:w="0" w:type="auto"/>
        <w:jc w:val="left"/>
        <w:tblInd w:w="224" w:type="dxa"/>
        <w:tblLayout w:type="fixed"/>
        <w:tblCellMar>
          <w:top w:w="0" w:type="dxa"/>
          <w:left w:w="0" w:type="dxa"/>
          <w:bottom w:w="0" w:type="dxa"/>
          <w:right w:w="0" w:type="dxa"/>
        </w:tblCellMar>
        <w:tblLook w:val="01E0"/>
      </w:tblPr>
      <w:tblGrid>
        <w:gridCol w:w="3167"/>
        <w:gridCol w:w="3202"/>
        <w:gridCol w:w="3190"/>
      </w:tblGrid>
      <w:tr>
        <w:trPr>
          <w:trHeight w:val="36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4"/>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1229"/>
              <w:jc w:val="right"/>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1"/>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530" w:hRule="exact"/>
        </w:trPr>
        <w:tc>
          <w:tcPr>
            <w:tcW w:w="3167"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2" w:type="dxa"/>
            <w:vMerge w:val="restart"/>
            <w:tcBorders>
              <w:top w:val="single" w:sz="4" w:space="0" w:color="000000"/>
              <w:left w:val="single" w:sz="9" w:space="0" w:color="D2D2D2"/>
              <w:right w:val="single" w:sz="4" w:space="0" w:color="000000"/>
            </w:tcBorders>
          </w:tcPr>
          <w:p>
            <w:pPr>
              <w:pStyle w:val="TableParagraph"/>
              <w:spacing w:line="203" w:lineRule="exact"/>
              <w:ind w:left="27" w:right="0"/>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w:t>
            </w:r>
          </w:p>
          <w:p>
            <w:pPr>
              <w:pStyle w:val="TableParagraph"/>
              <w:spacing w:line="357" w:lineRule="auto" w:before="115"/>
              <w:ind w:left="27" w:right="96"/>
              <w:jc w:val="both"/>
              <w:rPr>
                <w:rFonts w:ascii="宋体" w:hAnsi="宋体" w:cs="宋体" w:eastAsia="宋体" w:hint="default"/>
                <w:sz w:val="18"/>
                <w:szCs w:val="18"/>
              </w:rPr>
            </w:pPr>
            <w:r>
              <w:rPr>
                <w:rFonts w:ascii="宋体" w:hAnsi="宋体" w:cs="宋体" w:eastAsia="宋体" w:hint="default"/>
                <w:sz w:val="18"/>
                <w:szCs w:val="18"/>
              </w:rPr>
              <w:t>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50" w:hRule="exact"/>
        </w:trPr>
        <w:tc>
          <w:tcPr>
            <w:tcW w:w="3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530" w:hRule="exact"/>
        </w:trPr>
        <w:tc>
          <w:tcPr>
            <w:tcW w:w="3167"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2"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180" w:hRule="exact"/>
        </w:trPr>
        <w:tc>
          <w:tcPr>
            <w:tcW w:w="3167"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2" w:type="dxa"/>
            <w:vMerge w:val="restart"/>
            <w:tcBorders>
              <w:top w:val="single" w:sz="4" w:space="0" w:color="000000"/>
              <w:left w:val="single" w:sz="9" w:space="0" w:color="D2D2D2"/>
              <w:right w:val="single" w:sz="4" w:space="0" w:color="000000"/>
            </w:tcBorders>
          </w:tcPr>
          <w:p>
            <w:pPr>
              <w:pStyle w:val="TableParagraph"/>
              <w:spacing w:line="203" w:lineRule="exact"/>
              <w:ind w:left="27" w:right="0"/>
              <w:jc w:val="left"/>
              <w:rPr>
                <w:rFonts w:ascii="宋体" w:hAnsi="宋体" w:cs="宋体" w:eastAsia="宋体" w:hint="default"/>
                <w:sz w:val="18"/>
                <w:szCs w:val="18"/>
              </w:rPr>
            </w:pPr>
            <w:r>
              <w:rPr>
                <w:rFonts w:ascii="宋体" w:hAnsi="宋体" w:cs="宋体" w:eastAsia="宋体" w:hint="default"/>
                <w:sz w:val="18"/>
                <w:szCs w:val="18"/>
              </w:rPr>
              <w:t>按税法规定计算的应税消费品收入为基</w:t>
            </w:r>
          </w:p>
          <w:p>
            <w:pPr>
              <w:pStyle w:val="TableParagraph"/>
              <w:spacing w:line="240" w:lineRule="auto" w:before="115"/>
              <w:ind w:left="27" w:right="0"/>
              <w:jc w:val="left"/>
              <w:rPr>
                <w:rFonts w:ascii="宋体" w:hAnsi="宋体" w:cs="宋体" w:eastAsia="宋体" w:hint="default"/>
                <w:sz w:val="18"/>
                <w:szCs w:val="18"/>
              </w:rPr>
            </w:pPr>
            <w:r>
              <w:rPr>
                <w:rFonts w:ascii="宋体" w:hAnsi="宋体" w:cs="宋体" w:eastAsia="宋体" w:hint="default"/>
                <w:sz w:val="18"/>
                <w:szCs w:val="18"/>
              </w:rPr>
              <w:t>础计征</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5%</w:t>
            </w:r>
          </w:p>
        </w:tc>
      </w:tr>
      <w:tr>
        <w:trPr>
          <w:trHeight w:val="350" w:hRule="exact"/>
        </w:trPr>
        <w:tc>
          <w:tcPr>
            <w:tcW w:w="3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2"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80" w:hRule="exact"/>
        </w:trPr>
        <w:tc>
          <w:tcPr>
            <w:tcW w:w="3167"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2"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36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03" w:lineRule="exact"/>
              <w:ind w:right="1176"/>
              <w:jc w:val="right"/>
              <w:rPr>
                <w:rFonts w:ascii="宋体" w:hAnsi="宋体" w:cs="宋体" w:eastAsia="宋体" w:hint="default"/>
                <w:sz w:val="18"/>
                <w:szCs w:val="18"/>
              </w:rPr>
            </w:pPr>
            <w:r>
              <w:rPr>
                <w:rFonts w:ascii="宋体" w:hAnsi="宋体" w:cs="宋体" w:eastAsia="宋体" w:hint="default"/>
                <w:sz w:val="18"/>
                <w:szCs w:val="18"/>
              </w:rPr>
              <w:t>按实际缴纳的增值税计征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180" w:hRule="exact"/>
        </w:trPr>
        <w:tc>
          <w:tcPr>
            <w:tcW w:w="3167"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2" w:type="dxa"/>
            <w:vMerge w:val="restart"/>
            <w:tcBorders>
              <w:top w:val="single" w:sz="4" w:space="0" w:color="000000"/>
              <w:left w:val="single" w:sz="9" w:space="0" w:color="D2D2D2"/>
              <w:right w:val="single" w:sz="4" w:space="0" w:color="000000"/>
            </w:tcBorders>
          </w:tcPr>
          <w:p>
            <w:pPr>
              <w:pStyle w:val="TableParagraph"/>
              <w:spacing w:line="240" w:lineRule="auto" w:before="142"/>
              <w:ind w:left="27"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0" w:type="dxa"/>
            <w:vMerge w:val="restart"/>
            <w:tcBorders>
              <w:top w:val="single" w:sz="4" w:space="0" w:color="000000"/>
              <w:left w:val="single" w:sz="4" w:space="0" w:color="000000"/>
              <w:right w:val="single" w:sz="4" w:space="0" w:color="000000"/>
            </w:tcBorders>
          </w:tcPr>
          <w:p>
            <w:pPr>
              <w:pStyle w:val="TableParagraph"/>
              <w:spacing w:line="217" w:lineRule="exact"/>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9.5%</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p>
            <w:pPr>
              <w:pStyle w:val="TableParagraph"/>
              <w:spacing w:line="240" w:lineRule="auto" w:before="10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p>
        </w:tc>
      </w:tr>
      <w:tr>
        <w:trPr>
          <w:trHeight w:val="350" w:hRule="exact"/>
        </w:trPr>
        <w:tc>
          <w:tcPr>
            <w:tcW w:w="3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80" w:hRule="exact"/>
        </w:trPr>
        <w:tc>
          <w:tcPr>
            <w:tcW w:w="3167"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2"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360" w:hRule="exact"/>
        </w:trPr>
        <w:tc>
          <w:tcPr>
            <w:tcW w:w="31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13" w:space="0" w:color="D9D9D9"/>
              <w:bottom w:val="single" w:sz="4" w:space="0" w:color="000000"/>
              <w:right w:val="single" w:sz="4" w:space="0" w:color="000000"/>
            </w:tcBorders>
          </w:tcPr>
          <w:p>
            <w:pPr>
              <w:pStyle w:val="TableParagraph"/>
              <w:spacing w:line="203" w:lineRule="exact"/>
              <w:ind w:right="1176"/>
              <w:jc w:val="right"/>
              <w:rPr>
                <w:rFonts w:ascii="宋体" w:hAnsi="宋体" w:cs="宋体" w:eastAsia="宋体" w:hint="default"/>
                <w:sz w:val="18"/>
                <w:szCs w:val="18"/>
              </w:rPr>
            </w:pPr>
            <w:r>
              <w:rPr>
                <w:rFonts w:ascii="宋体" w:hAnsi="宋体" w:cs="宋体" w:eastAsia="宋体" w:hint="default"/>
                <w:sz w:val="18"/>
                <w:szCs w:val="18"/>
              </w:rPr>
              <w:t>按实际缴纳的增值税计征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18"/>
                <w:szCs w:val="18"/>
              </w:rPr>
            </w:pPr>
            <w:r>
              <w:rPr>
                <w:rFonts w:ascii="Times New Roman"/>
                <w:sz w:val="18"/>
              </w:rPr>
              <w:t>3%</w:t>
            </w:r>
          </w:p>
        </w:tc>
      </w:tr>
      <w:tr>
        <w:trPr>
          <w:trHeight w:val="360" w:hRule="exact"/>
        </w:trPr>
        <w:tc>
          <w:tcPr>
            <w:tcW w:w="31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2" w:type="dxa"/>
            <w:tcBorders>
              <w:top w:val="single" w:sz="4" w:space="0" w:color="000000"/>
              <w:left w:val="single" w:sz="13" w:space="0" w:color="D9D9D9"/>
              <w:bottom w:val="single" w:sz="4" w:space="0" w:color="000000"/>
              <w:right w:val="single" w:sz="4" w:space="0" w:color="000000"/>
            </w:tcBorders>
          </w:tcPr>
          <w:p>
            <w:pPr>
              <w:pStyle w:val="TableParagraph"/>
              <w:spacing w:line="203" w:lineRule="exact"/>
              <w:ind w:right="1176"/>
              <w:jc w:val="right"/>
              <w:rPr>
                <w:rFonts w:ascii="宋体" w:hAnsi="宋体" w:cs="宋体" w:eastAsia="宋体" w:hint="default"/>
                <w:sz w:val="18"/>
                <w:szCs w:val="18"/>
              </w:rPr>
            </w:pPr>
            <w:r>
              <w:rPr>
                <w:rFonts w:ascii="宋体" w:hAnsi="宋体" w:cs="宋体" w:eastAsia="宋体" w:hint="default"/>
                <w:sz w:val="18"/>
                <w:szCs w:val="18"/>
              </w:rPr>
              <w:t>按实际缴纳的增值税计征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03" w:lineRule="exact"/>
        <w:ind w:left="218" w:right="0"/>
        <w:jc w:val="left"/>
      </w:pPr>
      <w:r>
        <w:rPr/>
        <w:t>存在不同企业所得税税率纳税主体的，披露情况说明</w:t>
      </w:r>
    </w:p>
    <w:p>
      <w:pPr>
        <w:spacing w:line="240" w:lineRule="auto" w:before="4"/>
        <w:rPr>
          <w:rFonts w:ascii="宋体" w:hAnsi="宋体" w:cs="宋体" w:eastAsia="宋体" w:hint="default"/>
          <w:sz w:val="11"/>
          <w:szCs w:val="11"/>
        </w:rPr>
      </w:pPr>
    </w:p>
    <w:tbl>
      <w:tblPr>
        <w:tblW w:w="0" w:type="auto"/>
        <w:jc w:val="left"/>
        <w:tblInd w:w="213" w:type="dxa"/>
        <w:tblLayout w:type="fixed"/>
        <w:tblCellMar>
          <w:top w:w="0" w:type="dxa"/>
          <w:left w:w="0" w:type="dxa"/>
          <w:bottom w:w="0" w:type="dxa"/>
          <w:right w:w="0" w:type="dxa"/>
        </w:tblCellMar>
        <w:tblLook w:val="01E0"/>
      </w:tblPr>
      <w:tblGrid>
        <w:gridCol w:w="4784"/>
        <w:gridCol w:w="4786"/>
      </w:tblGrid>
      <w:tr>
        <w:trPr>
          <w:trHeight w:val="360"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6"/>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360"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Times New Roman" w:hAnsi="Times New Roman" w:cs="Times New Roman" w:eastAsia="Times New Roman" w:hint="default"/>
                <w:sz w:val="18"/>
                <w:szCs w:val="18"/>
              </w:rPr>
            </w:pPr>
            <w:r>
              <w:rPr>
                <w:rFonts w:ascii="Times New Roman"/>
                <w:sz w:val="18"/>
              </w:rPr>
              <w:t>15%</w:t>
            </w:r>
          </w:p>
        </w:tc>
      </w:tr>
      <w:tr>
        <w:trPr>
          <w:trHeight w:val="360"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center"/>
              <w:rPr>
                <w:rFonts w:ascii="Times New Roman" w:hAnsi="Times New Roman" w:cs="Times New Roman" w:eastAsia="Times New Roman" w:hint="default"/>
                <w:sz w:val="18"/>
                <w:szCs w:val="18"/>
              </w:rPr>
            </w:pPr>
            <w:r>
              <w:rPr>
                <w:rFonts w:ascii="Times New Roman"/>
                <w:sz w:val="18"/>
              </w:rPr>
              <w:t>15%</w:t>
            </w:r>
          </w:p>
        </w:tc>
      </w:tr>
      <w:tr>
        <w:trPr>
          <w:trHeight w:val="360"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广州广电运通信息科技有限公司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center"/>
              <w:rPr>
                <w:rFonts w:ascii="Times New Roman" w:hAnsi="Times New Roman" w:cs="Times New Roman" w:eastAsia="Times New Roman" w:hint="default"/>
                <w:sz w:val="18"/>
                <w:szCs w:val="18"/>
              </w:rPr>
            </w:pPr>
            <w:r>
              <w:rPr>
                <w:rFonts w:ascii="Times New Roman"/>
                <w:sz w:val="18"/>
              </w:rPr>
              <w:t>15%</w:t>
            </w:r>
          </w:p>
        </w:tc>
      </w:tr>
      <w:tr>
        <w:trPr>
          <w:trHeight w:val="360"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深圳市创自技术有限公司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center"/>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center"/>
        <w:rPr>
          <w:rFonts w:ascii="Times New Roman" w:hAnsi="Times New Roman" w:cs="Times New Roman" w:eastAsia="Times New Roman" w:hint="default"/>
          <w:sz w:val="18"/>
          <w:szCs w:val="18"/>
        </w:rPr>
        <w:sectPr>
          <w:pgSz w:w="11910" w:h="16840"/>
          <w:pgMar w:header="733" w:footer="977" w:top="960" w:bottom="1160" w:left="15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4784"/>
        <w:gridCol w:w="4786"/>
      </w:tblGrid>
      <w:tr>
        <w:trPr>
          <w:trHeight w:val="360"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深圳市创自软件有限公司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Times New Roman" w:hAnsi="Times New Roman" w:cs="Times New Roman" w:eastAsia="Times New Roman" w:hint="default"/>
                <w:sz w:val="18"/>
                <w:szCs w:val="18"/>
              </w:rPr>
            </w:pPr>
            <w:r>
              <w:rPr>
                <w:rFonts w:ascii="Times New Roman"/>
                <w:sz w:val="18"/>
              </w:rPr>
              <w:t>15%</w:t>
            </w:r>
          </w:p>
        </w:tc>
      </w:tr>
      <w:tr>
        <w:trPr>
          <w:trHeight w:val="360"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广州广电银通金融电子科技有限公司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Times New Roman" w:hAnsi="Times New Roman" w:cs="Times New Roman" w:eastAsia="Times New Roman" w:hint="default"/>
                <w:sz w:val="18"/>
                <w:szCs w:val="18"/>
              </w:rPr>
            </w:pPr>
            <w:r>
              <w:rPr>
                <w:rFonts w:ascii="Times New Roman"/>
                <w:sz w:val="18"/>
              </w:rPr>
              <w:t>15%</w:t>
            </w:r>
          </w:p>
        </w:tc>
      </w:tr>
      <w:tr>
        <w:trPr>
          <w:trHeight w:val="360"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江苏汇通金融数据股份有限公司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center"/>
              <w:rPr>
                <w:rFonts w:ascii="Times New Roman" w:hAnsi="Times New Roman" w:cs="Times New Roman" w:eastAsia="Times New Roman" w:hint="default"/>
                <w:sz w:val="18"/>
                <w:szCs w:val="18"/>
              </w:rPr>
            </w:pPr>
            <w:r>
              <w:rPr>
                <w:rFonts w:ascii="Times New Roman"/>
                <w:sz w:val="18"/>
              </w:rPr>
              <w:t>15%</w:t>
            </w:r>
          </w:p>
        </w:tc>
      </w:tr>
      <w:tr>
        <w:trPr>
          <w:trHeight w:val="360"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深圳广电银通金融电子科技有限公司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center"/>
              <w:rPr>
                <w:rFonts w:ascii="Times New Roman" w:hAnsi="Times New Roman" w:cs="Times New Roman" w:eastAsia="Times New Roman" w:hint="default"/>
                <w:sz w:val="18"/>
                <w:szCs w:val="18"/>
              </w:rPr>
            </w:pPr>
            <w:r>
              <w:rPr>
                <w:rFonts w:ascii="Times New Roman"/>
                <w:sz w:val="18"/>
              </w:rPr>
              <w:t>15%</w:t>
            </w:r>
          </w:p>
        </w:tc>
      </w:tr>
      <w:tr>
        <w:trPr>
          <w:trHeight w:val="360"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深圳鹏通金融服务有限公司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center"/>
              <w:rPr>
                <w:rFonts w:ascii="Times New Roman" w:hAnsi="Times New Roman" w:cs="Times New Roman" w:eastAsia="Times New Roman" w:hint="default"/>
                <w:sz w:val="18"/>
                <w:szCs w:val="18"/>
              </w:rPr>
            </w:pPr>
            <w:r>
              <w:rPr>
                <w:rFonts w:ascii="Times New Roman"/>
                <w:sz w:val="18"/>
              </w:rPr>
              <w:t>15%</w:t>
            </w:r>
          </w:p>
        </w:tc>
      </w:tr>
      <w:tr>
        <w:trPr>
          <w:trHeight w:val="360"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上海欣辰通金融电子科技有限公司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center"/>
              <w:rPr>
                <w:rFonts w:ascii="Times New Roman" w:hAnsi="Times New Roman" w:cs="Times New Roman" w:eastAsia="Times New Roman" w:hint="default"/>
                <w:sz w:val="18"/>
                <w:szCs w:val="18"/>
              </w:rPr>
            </w:pPr>
            <w:r>
              <w:rPr>
                <w:rFonts w:ascii="Times New Roman"/>
                <w:sz w:val="18"/>
              </w:rPr>
              <w:t>15%</w:t>
            </w:r>
          </w:p>
        </w:tc>
      </w:tr>
      <w:tr>
        <w:trPr>
          <w:trHeight w:val="360"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宜昌市金牛押运护卫保安服务有限责任公司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center"/>
              <w:rPr>
                <w:rFonts w:ascii="Times New Roman" w:hAnsi="Times New Roman" w:cs="Times New Roman" w:eastAsia="Times New Roman" w:hint="default"/>
                <w:sz w:val="18"/>
                <w:szCs w:val="18"/>
              </w:rPr>
            </w:pPr>
            <w:r>
              <w:rPr>
                <w:rFonts w:ascii="Times New Roman"/>
                <w:sz w:val="18"/>
              </w:rPr>
              <w:t>15%</w:t>
            </w:r>
          </w:p>
        </w:tc>
      </w:tr>
      <w:tr>
        <w:trPr>
          <w:trHeight w:val="36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资阳保安有限责任公司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center"/>
              <w:rPr>
                <w:rFonts w:ascii="Times New Roman" w:hAnsi="Times New Roman" w:cs="Times New Roman" w:eastAsia="Times New Roman" w:hint="default"/>
                <w:sz w:val="18"/>
                <w:szCs w:val="18"/>
              </w:rPr>
            </w:pPr>
            <w:r>
              <w:rPr>
                <w:rFonts w:ascii="Times New Roman"/>
                <w:sz w:val="18"/>
              </w:rPr>
              <w:t>15%</w:t>
            </w:r>
          </w:p>
        </w:tc>
      </w:tr>
      <w:tr>
        <w:trPr>
          <w:trHeight w:val="360"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黔南州蓝盾武装护运有限责任公司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Times New Roman" w:hAnsi="Times New Roman" w:cs="Times New Roman" w:eastAsia="Times New Roman" w:hint="default"/>
                <w:sz w:val="18"/>
                <w:szCs w:val="18"/>
              </w:rPr>
            </w:pPr>
            <w:r>
              <w:rPr>
                <w:rFonts w:ascii="Times New Roman"/>
                <w:sz w:val="18"/>
              </w:rPr>
              <w:t>15%</w:t>
            </w:r>
          </w:p>
        </w:tc>
      </w:tr>
      <w:tr>
        <w:trPr>
          <w:trHeight w:val="36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深圳市信义科技有限公司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Times New Roman" w:hAnsi="Times New Roman" w:cs="Times New Roman" w:eastAsia="Times New Roman" w:hint="default"/>
                <w:sz w:val="18"/>
                <w:szCs w:val="18"/>
              </w:rPr>
            </w:pPr>
            <w:r>
              <w:rPr>
                <w:rFonts w:ascii="Times New Roman"/>
                <w:sz w:val="18"/>
              </w:rPr>
              <w:t>15%</w:t>
            </w:r>
          </w:p>
        </w:tc>
      </w:tr>
      <w:tr>
        <w:trPr>
          <w:trHeight w:val="360"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北京中科江南信息技术股份有限公司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Times New Roman" w:hAnsi="Times New Roman" w:cs="Times New Roman" w:eastAsia="Times New Roman" w:hint="default"/>
                <w:sz w:val="18"/>
                <w:szCs w:val="18"/>
              </w:rPr>
            </w:pPr>
            <w:r>
              <w:rPr>
                <w:rFonts w:ascii="Times New Roman"/>
                <w:sz w:val="18"/>
              </w:rPr>
              <w:t>15%</w:t>
            </w:r>
          </w:p>
        </w:tc>
      </w:tr>
      <w:tr>
        <w:trPr>
          <w:trHeight w:val="360"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新余市保安服务有限公司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Times New Roman" w:hAnsi="Times New Roman" w:cs="Times New Roman" w:eastAsia="Times New Roman" w:hint="default"/>
                <w:sz w:val="18"/>
                <w:szCs w:val="18"/>
              </w:rPr>
            </w:pPr>
            <w:r>
              <w:rPr>
                <w:rFonts w:ascii="Times New Roman"/>
                <w:sz w:val="18"/>
              </w:rPr>
              <w:t>15%</w:t>
            </w:r>
          </w:p>
        </w:tc>
      </w:tr>
      <w:tr>
        <w:trPr>
          <w:trHeight w:val="360"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南宁盈通金融电子科技有限公司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18"/>
                <w:szCs w:val="18"/>
              </w:rPr>
            </w:pPr>
            <w:r>
              <w:rPr>
                <w:rFonts w:ascii="Times New Roman"/>
                <w:sz w:val="18"/>
              </w:rPr>
              <w:t>9%</w:t>
            </w:r>
          </w:p>
        </w:tc>
      </w:tr>
      <w:tr>
        <w:trPr>
          <w:trHeight w:val="360"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辽宁辽通金融电子科技有限公司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Times New Roman" w:hAnsi="Times New Roman" w:cs="Times New Roman" w:eastAsia="Times New Roman" w:hint="default"/>
                <w:sz w:val="18"/>
                <w:szCs w:val="18"/>
              </w:rPr>
            </w:pPr>
            <w:r>
              <w:rPr>
                <w:rFonts w:ascii="Times New Roman"/>
                <w:sz w:val="18"/>
              </w:rPr>
              <w:t>15%</w:t>
            </w:r>
          </w:p>
        </w:tc>
      </w:tr>
      <w:tr>
        <w:trPr>
          <w:trHeight w:val="360"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新余市景运科技有限公司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Times New Roman" w:hAnsi="Times New Roman" w:cs="Times New Roman" w:eastAsia="Times New Roman" w:hint="default"/>
                <w:sz w:val="18"/>
                <w:szCs w:val="18"/>
              </w:rPr>
            </w:pPr>
            <w:r>
              <w:rPr>
                <w:rFonts w:ascii="Times New Roman"/>
                <w:sz w:val="18"/>
              </w:rPr>
              <w:t>20%</w:t>
            </w:r>
          </w:p>
        </w:tc>
      </w:tr>
      <w:tr>
        <w:trPr>
          <w:trHeight w:val="360"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深圳市深安信信息技术有限公司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Times New Roman" w:hAnsi="Times New Roman" w:cs="Times New Roman" w:eastAsia="Times New Roman" w:hint="default"/>
                <w:sz w:val="18"/>
                <w:szCs w:val="18"/>
              </w:rPr>
            </w:pPr>
            <w:r>
              <w:rPr>
                <w:rFonts w:ascii="Times New Roman"/>
                <w:sz w:val="18"/>
              </w:rPr>
              <w:t>20%</w:t>
            </w:r>
          </w:p>
        </w:tc>
      </w:tr>
      <w:tr>
        <w:trPr>
          <w:trHeight w:val="360"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锡林郭勒盟安逸物业服务有限责任公司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Times New Roman" w:hAnsi="Times New Roman" w:cs="Times New Roman" w:eastAsia="Times New Roman" w:hint="default"/>
                <w:sz w:val="18"/>
                <w:szCs w:val="18"/>
              </w:rPr>
            </w:pPr>
            <w:r>
              <w:rPr>
                <w:rFonts w:ascii="Times New Roman"/>
                <w:sz w:val="18"/>
              </w:rPr>
              <w:t>20%</w:t>
            </w:r>
          </w:p>
        </w:tc>
      </w:tr>
      <w:tr>
        <w:trPr>
          <w:trHeight w:val="360"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广东榕通科技服务有限公司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center"/>
              <w:rPr>
                <w:rFonts w:ascii="Times New Roman" w:hAnsi="Times New Roman" w:cs="Times New Roman" w:eastAsia="Times New Roman" w:hint="default"/>
                <w:sz w:val="18"/>
                <w:szCs w:val="18"/>
              </w:rPr>
            </w:pPr>
            <w:r>
              <w:rPr>
                <w:rFonts w:ascii="Times New Roman"/>
                <w:sz w:val="18"/>
              </w:rPr>
              <w:t>20%</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1" w:right="0"/>
              <w:jc w:val="left"/>
              <w:rPr>
                <w:rFonts w:ascii="Times New Roman" w:hAnsi="Times New Roman" w:cs="Times New Roman" w:eastAsia="Times New Roman" w:hint="default"/>
                <w:sz w:val="18"/>
                <w:szCs w:val="18"/>
              </w:rPr>
            </w:pPr>
            <w:r>
              <w:rPr>
                <w:rFonts w:ascii="Times New Roman"/>
                <w:sz w:val="18"/>
              </w:rPr>
              <w:t>GRG Banking Equipment (HK) Co.,</w:t>
            </w:r>
            <w:r>
              <w:rPr>
                <w:rFonts w:ascii="Times New Roman"/>
                <w:spacing w:val="-15"/>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
              <w:jc w:val="center"/>
              <w:rPr>
                <w:rFonts w:ascii="Times New Roman" w:hAnsi="Times New Roman" w:cs="Times New Roman" w:eastAsia="Times New Roman" w:hint="default"/>
                <w:sz w:val="18"/>
                <w:szCs w:val="18"/>
              </w:rPr>
            </w:pPr>
            <w:r>
              <w:rPr>
                <w:rFonts w:ascii="Times New Roman"/>
                <w:sz w:val="18"/>
              </w:rPr>
              <w:t>16.5%</w:t>
            </w:r>
          </w:p>
        </w:tc>
      </w:tr>
      <w:tr>
        <w:trPr>
          <w:trHeight w:val="31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1" w:right="0"/>
              <w:jc w:val="left"/>
              <w:rPr>
                <w:rFonts w:ascii="Times New Roman" w:hAnsi="Times New Roman" w:cs="Times New Roman" w:eastAsia="Times New Roman" w:hint="default"/>
                <w:sz w:val="18"/>
                <w:szCs w:val="18"/>
              </w:rPr>
            </w:pPr>
            <w:r>
              <w:rPr>
                <w:rFonts w:ascii="Times New Roman"/>
                <w:sz w:val="18"/>
              </w:rPr>
              <w:t>GRG HT (HK)</w:t>
            </w:r>
            <w:r>
              <w:rPr>
                <w:rFonts w:ascii="Times New Roman"/>
                <w:spacing w:val="-12"/>
                <w:sz w:val="18"/>
              </w:rPr>
              <w:t> </w:t>
            </w:r>
            <w:r>
              <w:rPr>
                <w:rFonts w:ascii="Times New Roman"/>
                <w:sz w:val="18"/>
              </w:rPr>
              <w:t>Co.,Limited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
              <w:jc w:val="center"/>
              <w:rPr>
                <w:rFonts w:ascii="Times New Roman" w:hAnsi="Times New Roman" w:cs="Times New Roman" w:eastAsia="Times New Roman" w:hint="default"/>
                <w:sz w:val="18"/>
                <w:szCs w:val="18"/>
              </w:rPr>
            </w:pPr>
            <w:r>
              <w:rPr>
                <w:rFonts w:ascii="Times New Roman"/>
                <w:sz w:val="18"/>
              </w:rPr>
              <w:t>16.5%</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1" w:right="0"/>
              <w:jc w:val="left"/>
              <w:rPr>
                <w:rFonts w:ascii="Times New Roman" w:hAnsi="Times New Roman" w:cs="Times New Roman" w:eastAsia="Times New Roman" w:hint="default"/>
                <w:sz w:val="18"/>
                <w:szCs w:val="18"/>
              </w:rPr>
            </w:pPr>
            <w:r>
              <w:rPr>
                <w:rFonts w:ascii="Times New Roman"/>
                <w:sz w:val="18"/>
              </w:rPr>
              <w:t>GRG Equipment (Singapore) Pte.</w:t>
            </w:r>
            <w:r>
              <w:rPr>
                <w:rFonts w:ascii="Times New Roman"/>
                <w:spacing w:val="-12"/>
                <w:sz w:val="18"/>
              </w:rPr>
              <w:t> </w:t>
            </w:r>
            <w:r>
              <w:rPr>
                <w:rFonts w:ascii="Times New Roman"/>
                <w:sz w:val="18"/>
              </w:rPr>
              <w:t>Ltd.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 w:right="0"/>
              <w:jc w:val="center"/>
              <w:rPr>
                <w:rFonts w:ascii="Times New Roman" w:hAnsi="Times New Roman" w:cs="Times New Roman" w:eastAsia="Times New Roman" w:hint="default"/>
                <w:sz w:val="18"/>
                <w:szCs w:val="18"/>
              </w:rPr>
            </w:pPr>
            <w:r>
              <w:rPr>
                <w:rFonts w:ascii="Times New Roman"/>
                <w:sz w:val="18"/>
              </w:rPr>
              <w:t>17%</w:t>
            </w:r>
          </w:p>
        </w:tc>
      </w:tr>
      <w:tr>
        <w:trPr>
          <w:trHeight w:val="31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1" w:right="0"/>
              <w:jc w:val="left"/>
              <w:rPr>
                <w:rFonts w:ascii="Times New Roman" w:hAnsi="Times New Roman" w:cs="Times New Roman" w:eastAsia="Times New Roman" w:hint="default"/>
                <w:sz w:val="18"/>
                <w:szCs w:val="18"/>
              </w:rPr>
            </w:pPr>
            <w:r>
              <w:rPr>
                <w:rFonts w:ascii="Times New Roman"/>
                <w:sz w:val="18"/>
              </w:rPr>
              <w:t>Global ATM Parts  </w:t>
            </w:r>
            <w:r>
              <w:rPr>
                <w:rFonts w:ascii="Times New Roman"/>
                <w:spacing w:val="32"/>
                <w:sz w:val="18"/>
              </w:rPr>
              <w:t> </w:t>
            </w:r>
            <w:r>
              <w:rPr>
                <w:rFonts w:ascii="Times New Roman"/>
                <w:sz w:val="18"/>
              </w:rPr>
              <w:t>Co.,Limited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16.50%</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1" w:right="0"/>
              <w:jc w:val="left"/>
              <w:rPr>
                <w:rFonts w:ascii="Times New Roman" w:hAnsi="Times New Roman" w:cs="Times New Roman" w:eastAsia="Times New Roman" w:hint="default"/>
                <w:sz w:val="18"/>
                <w:szCs w:val="18"/>
              </w:rPr>
            </w:pPr>
            <w:r>
              <w:rPr>
                <w:rFonts w:ascii="Times New Roman"/>
                <w:sz w:val="18"/>
              </w:rPr>
              <w:t>GRG Hongkong Mexico, S.A.</w:t>
            </w:r>
            <w:r>
              <w:rPr>
                <w:rFonts w:ascii="Times New Roman"/>
                <w:spacing w:val="-13"/>
                <w:sz w:val="18"/>
              </w:rPr>
              <w:t> </w:t>
            </w:r>
            <w:r>
              <w:rPr>
                <w:rFonts w:ascii="Times New Roman"/>
                <w:sz w:val="18"/>
              </w:rPr>
              <w:t>DE</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30.00%</w:t>
            </w:r>
          </w:p>
        </w:tc>
      </w:tr>
      <w:tr>
        <w:trPr>
          <w:trHeight w:val="31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1" w:right="0"/>
              <w:jc w:val="left"/>
              <w:rPr>
                <w:rFonts w:ascii="Times New Roman" w:hAnsi="Times New Roman" w:cs="Times New Roman" w:eastAsia="Times New Roman" w:hint="default"/>
                <w:sz w:val="18"/>
                <w:szCs w:val="18"/>
              </w:rPr>
            </w:pPr>
            <w:r>
              <w:rPr>
                <w:rFonts w:ascii="Times New Roman"/>
                <w:sz w:val="18"/>
              </w:rPr>
              <w:t>GRG Turkiye Bankacilik Ekipmanlari</w:t>
            </w:r>
            <w:r>
              <w:rPr>
                <w:rFonts w:ascii="Times New Roman"/>
                <w:spacing w:val="-12"/>
                <w:sz w:val="18"/>
              </w:rPr>
              <w:t> </w:t>
            </w:r>
            <w:r>
              <w:rPr>
                <w:rFonts w:ascii="Times New Roman"/>
                <w:sz w:val="18"/>
              </w:rPr>
              <w:t>Ltd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20.00%</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Times New Roman" w:hAnsi="Times New Roman" w:cs="Times New Roman" w:eastAsia="Times New Roman" w:hint="default"/>
                <w:sz w:val="18"/>
                <w:szCs w:val="18"/>
              </w:rPr>
            </w:pPr>
            <w:r>
              <w:rPr>
                <w:rFonts w:ascii="Times New Roman"/>
                <w:sz w:val="18"/>
              </w:rPr>
              <w:t>GRG AMERICA</w:t>
            </w:r>
            <w:r>
              <w:rPr>
                <w:rFonts w:ascii="Times New Roman"/>
                <w:spacing w:val="-6"/>
                <w:sz w:val="18"/>
              </w:rPr>
              <w:t> </w:t>
            </w:r>
            <w:r>
              <w:rPr>
                <w:rFonts w:ascii="Times New Roman"/>
                <w:sz w:val="18"/>
              </w:rPr>
              <w:t>INC.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Times New Roman" w:hAnsi="Times New Roman" w:cs="Times New Roman" w:eastAsia="Times New Roman" w:hint="default"/>
                <w:sz w:val="18"/>
                <w:szCs w:val="18"/>
              </w:rPr>
            </w:pPr>
            <w:r>
              <w:rPr>
                <w:rFonts w:ascii="Times New Roman"/>
                <w:sz w:val="18"/>
              </w:rPr>
              <w:t>9.50%</w:t>
            </w:r>
          </w:p>
        </w:tc>
      </w:tr>
      <w:tr>
        <w:trPr>
          <w:trHeight w:val="31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1" w:right="0"/>
              <w:jc w:val="left"/>
              <w:rPr>
                <w:rFonts w:ascii="Times New Roman" w:hAnsi="Times New Roman" w:cs="Times New Roman" w:eastAsia="Times New Roman" w:hint="default"/>
                <w:sz w:val="18"/>
                <w:szCs w:val="18"/>
              </w:rPr>
            </w:pPr>
            <w:r>
              <w:rPr>
                <w:rFonts w:ascii="Times New Roman"/>
                <w:sz w:val="18"/>
              </w:rPr>
              <w:t>GRGBanking</w:t>
            </w:r>
            <w:r>
              <w:rPr>
                <w:rFonts w:ascii="Times New Roman"/>
                <w:spacing w:val="-7"/>
                <w:sz w:val="18"/>
              </w:rPr>
              <w:t> </w:t>
            </w:r>
            <w:r>
              <w:rPr>
                <w:rFonts w:ascii="Times New Roman"/>
                <w:sz w:val="18"/>
              </w:rPr>
              <w:t>LLC.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20.00%</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Times New Roman" w:hAnsi="Times New Roman" w:cs="Times New Roman" w:eastAsia="Times New Roman" w:hint="default"/>
                <w:sz w:val="18"/>
                <w:szCs w:val="18"/>
              </w:rPr>
            </w:pPr>
            <w:r>
              <w:rPr>
                <w:rFonts w:ascii="Times New Roman"/>
                <w:sz w:val="18"/>
              </w:rPr>
              <w:t>GRG Deutschland</w:t>
            </w:r>
            <w:r>
              <w:rPr>
                <w:rFonts w:ascii="Times New Roman"/>
                <w:spacing w:val="-9"/>
                <w:sz w:val="18"/>
              </w:rPr>
              <w:t> </w:t>
            </w:r>
            <w:r>
              <w:rPr>
                <w:rFonts w:ascii="Times New Roman"/>
                <w:sz w:val="18"/>
              </w:rPr>
              <w:t>GmbH</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Times New Roman" w:hAnsi="Times New Roman" w:cs="Times New Roman" w:eastAsia="Times New Roman" w:hint="default"/>
                <w:sz w:val="18"/>
                <w:szCs w:val="18"/>
              </w:rPr>
            </w:pPr>
            <w:r>
              <w:rPr>
                <w:rFonts w:ascii="Times New Roman"/>
                <w:sz w:val="18"/>
              </w:rPr>
              <w:t>30.00%</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1" w:right="0"/>
              <w:jc w:val="left"/>
              <w:rPr>
                <w:rFonts w:ascii="Times New Roman" w:hAnsi="Times New Roman" w:cs="Times New Roman" w:eastAsia="Times New Roman" w:hint="default"/>
                <w:sz w:val="18"/>
                <w:szCs w:val="18"/>
              </w:rPr>
            </w:pPr>
            <w:r>
              <w:rPr>
                <w:rFonts w:ascii="Times New Roman"/>
                <w:sz w:val="18"/>
              </w:rPr>
              <w:t>GRG Banking Equipment (HK)</w:t>
            </w:r>
            <w:r>
              <w:rPr>
                <w:rFonts w:ascii="Times New Roman"/>
                <w:spacing w:val="-9"/>
                <w:sz w:val="18"/>
              </w:rPr>
              <w:t> </w:t>
            </w:r>
            <w:r>
              <w:rPr>
                <w:rFonts w:ascii="Times New Roman"/>
                <w:sz w:val="18"/>
              </w:rPr>
              <w:t>Europe</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15.00%</w:t>
            </w:r>
          </w:p>
        </w:tc>
      </w:tr>
    </w:tbl>
    <w:p>
      <w:pPr>
        <w:pStyle w:val="Heading4"/>
        <w:spacing w:line="245" w:lineRule="exact"/>
        <w:ind w:left="138" w:right="1683"/>
        <w:jc w:val="left"/>
        <w:rPr>
          <w:b w:val="0"/>
          <w:bCs w:val="0"/>
        </w:rPr>
      </w:pPr>
      <w:r>
        <w:rPr>
          <w:rFonts w:ascii="Times New Roman" w:hAnsi="Times New Roman" w:cs="Times New Roman" w:eastAsia="Times New Roman" w:hint="default"/>
        </w:rPr>
        <w:t>2</w:t>
      </w:r>
      <w:r>
        <w:rPr/>
        <w:t>、税收优惠</w:t>
      </w:r>
      <w:r>
        <w:rPr>
          <w:b w:val="0"/>
          <w:bCs w:val="0"/>
        </w:rPr>
      </w:r>
    </w:p>
    <w:p>
      <w:pPr>
        <w:pStyle w:val="Heading3"/>
        <w:spacing w:line="336" w:lineRule="auto" w:before="110"/>
        <w:ind w:left="558" w:right="1683"/>
        <w:jc w:val="left"/>
      </w:pPr>
      <w:r>
        <w:rPr/>
        <w:t>（</w:t>
      </w:r>
      <w:r>
        <w:rPr>
          <w:rFonts w:ascii="Times New Roman" w:hAnsi="Times New Roman" w:cs="Times New Roman" w:eastAsia="Times New Roman" w:hint="default"/>
        </w:rPr>
        <w:t>1</w:t>
      </w:r>
      <w:r>
        <w:rPr/>
        <w:t>）增值税</w:t>
      </w:r>
      <w:r>
        <w:rPr>
          <w:w w:val="100"/>
        </w:rPr>
        <w:t> </w:t>
      </w:r>
      <w:r>
        <w:rPr>
          <w:spacing w:val="-1"/>
        </w:rPr>
        <w:t>根据“财税</w:t>
      </w:r>
      <w:r>
        <w:rPr>
          <w:rFonts w:ascii="宋体" w:hAnsi="宋体" w:cs="宋体" w:eastAsia="宋体" w:hint="default"/>
          <w:spacing w:val="-1"/>
        </w:rPr>
        <w:t>[2011]100</w:t>
      </w:r>
      <w:r>
        <w:rPr>
          <w:spacing w:val="-1"/>
        </w:rPr>
        <w:t>号”文《关于软件产品增值税政策的通知》的规定，增值税一般</w:t>
      </w:r>
    </w:p>
    <w:p>
      <w:pPr>
        <w:pStyle w:val="Heading3"/>
        <w:spacing w:line="355" w:lineRule="auto" w:before="49"/>
        <w:ind w:right="1683"/>
        <w:jc w:val="left"/>
      </w:pPr>
      <w:r>
        <w:rPr>
          <w:spacing w:val="-1"/>
        </w:rPr>
        <w:t>纳税人销售其自行开发生产的软件产品，按</w:t>
      </w:r>
      <w:r>
        <w:rPr>
          <w:rFonts w:ascii="宋体" w:hAnsi="宋体" w:cs="宋体" w:eastAsia="宋体" w:hint="default"/>
          <w:spacing w:val="-1"/>
        </w:rPr>
        <w:t>17%</w:t>
      </w:r>
      <w:r>
        <w:rPr>
          <w:spacing w:val="-1"/>
        </w:rPr>
        <w:t>税率征收增值税后，对其增值税实际税负超</w:t>
      </w:r>
      <w:r>
        <w:rPr>
          <w:spacing w:val="-50"/>
        </w:rPr>
        <w:t> </w:t>
      </w:r>
      <w:r>
        <w:rPr>
          <w:spacing w:val="-50"/>
        </w:rPr>
      </w:r>
      <w:r>
        <w:rPr/>
        <w:t>过</w:t>
      </w:r>
      <w:r>
        <w:rPr>
          <w:rFonts w:ascii="宋体" w:hAnsi="宋体" w:cs="宋体" w:eastAsia="宋体" w:hint="default"/>
        </w:rPr>
        <w:t>3%</w:t>
      </w:r>
      <w:r>
        <w:rPr/>
        <w:t>的部分实行即征即退政策。</w:t>
      </w:r>
    </w:p>
    <w:p>
      <w:pPr>
        <w:pStyle w:val="Heading3"/>
        <w:spacing w:line="357" w:lineRule="auto" w:before="34"/>
        <w:ind w:right="1683" w:firstLine="419"/>
        <w:jc w:val="left"/>
        <w:rPr>
          <w:rFonts w:ascii="宋体" w:hAnsi="宋体" w:cs="宋体" w:eastAsia="宋体" w:hint="default"/>
        </w:rPr>
      </w:pPr>
      <w:r>
        <w:rPr>
          <w:spacing w:val="-4"/>
        </w:rPr>
        <w:t>根据《财政部、国家税务总局关于贯彻落实《中共中央国务院关于加强技术创新，发展</w:t>
      </w:r>
      <w:r>
        <w:rPr>
          <w:w w:val="100"/>
        </w:rPr>
        <w:t> </w:t>
      </w:r>
      <w:r>
        <w:rPr/>
        <w:t>高科技，实现产业化的决定》有关税收问题的通知》（财税字</w:t>
      </w:r>
      <w:r>
        <w:rPr>
          <w:rFonts w:ascii="宋体" w:hAnsi="宋体" w:cs="宋体" w:eastAsia="宋体" w:hint="default"/>
        </w:rPr>
        <w:t>[1999]273</w:t>
      </w:r>
      <w:r>
        <w:rPr/>
        <w:t>号），对单位和个</w:t>
      </w:r>
      <w:r>
        <w:rPr>
          <w:spacing w:val="-90"/>
        </w:rPr>
        <w:t> </w:t>
      </w:r>
      <w:r>
        <w:rPr>
          <w:spacing w:val="-90"/>
        </w:rPr>
      </w:r>
      <w:r>
        <w:rPr>
          <w:spacing w:val="-4"/>
        </w:rPr>
        <w:t>人（包括外商投资企业、外商投资设立的研究开发中心、外国企业和外籍个人）从事技术转</w:t>
      </w:r>
      <w:r>
        <w:rPr>
          <w:spacing w:val="-42"/>
        </w:rPr>
        <w:t> </w:t>
      </w:r>
      <w:r>
        <w:rPr>
          <w:spacing w:val="-42"/>
        </w:rPr>
      </w:r>
      <w:r>
        <w:rPr>
          <w:spacing w:val="-1"/>
        </w:rPr>
        <w:t>让、技术开发业务和与之相关的技术咨询、技术服务业务取得的收入，免征营业税。同时，</w:t>
      </w:r>
      <w:r>
        <w:rPr>
          <w:spacing w:val="-47"/>
        </w:rPr>
        <w:t> </w:t>
      </w:r>
      <w:r>
        <w:rPr>
          <w:spacing w:val="-47"/>
        </w:rPr>
      </w:r>
      <w:r>
        <w:rPr>
          <w:spacing w:val="-10"/>
          <w:w w:val="100"/>
        </w:rPr>
        <w:t>根据《财政部国家税务总局关于印发《营业税改征增值税试点方案》的通知》（财税</w:t>
      </w:r>
      <w:r>
        <w:rPr>
          <w:rFonts w:ascii="宋体" w:hAnsi="宋体" w:cs="宋体" w:eastAsia="宋体" w:hint="default"/>
          <w:spacing w:val="-10"/>
          <w:w w:val="100"/>
        </w:rPr>
        <w:t>[2011]110</w:t>
      </w:r>
    </w:p>
    <w:p>
      <w:pPr>
        <w:spacing w:after="0" w:line="357" w:lineRule="auto"/>
        <w:jc w:val="left"/>
        <w:rPr>
          <w:rFonts w:ascii="宋体" w:hAnsi="宋体" w:cs="宋体" w:eastAsia="宋体" w:hint="default"/>
        </w:rPr>
        <w:sectPr>
          <w:pgSz w:w="11910" w:h="16840"/>
          <w:pgMar w:header="733" w:footer="977" w:top="960" w:bottom="1160" w:left="1660" w:right="0"/>
        </w:sectPr>
      </w:pPr>
    </w:p>
    <w:p>
      <w:pPr>
        <w:spacing w:line="240" w:lineRule="auto" w:before="0"/>
        <w:rPr>
          <w:rFonts w:ascii="宋体" w:hAnsi="宋体" w:cs="宋体" w:eastAsia="宋体" w:hint="default"/>
          <w:sz w:val="20"/>
          <w:szCs w:val="20"/>
        </w:rPr>
      </w:pPr>
    </w:p>
    <w:p>
      <w:pPr>
        <w:pStyle w:val="Heading3"/>
        <w:spacing w:line="355" w:lineRule="auto" w:before="168"/>
        <w:ind w:right="1683"/>
        <w:jc w:val="left"/>
      </w:pPr>
      <w:r>
        <w:rPr>
          <w:spacing w:val="-4"/>
        </w:rPr>
        <w:t>号），国家给予试点行业的原营业税优惠政策可以延续。因此，广州广电运通信息科技有限</w:t>
      </w:r>
      <w:r>
        <w:rPr>
          <w:spacing w:val="-42"/>
        </w:rPr>
        <w:t> </w:t>
      </w:r>
      <w:r>
        <w:rPr>
          <w:spacing w:val="-42"/>
        </w:rPr>
      </w:r>
      <w:r>
        <w:rPr/>
        <w:t>公司的部分技术转让、技术开发收入免征增值税。</w:t>
      </w:r>
    </w:p>
    <w:p>
      <w:pPr>
        <w:pStyle w:val="Heading3"/>
        <w:spacing w:line="240" w:lineRule="auto" w:before="32"/>
        <w:ind w:left="558" w:right="1683"/>
        <w:jc w:val="left"/>
      </w:pPr>
      <w:r>
        <w:rPr/>
        <w:t>（</w:t>
      </w:r>
      <w:r>
        <w:rPr>
          <w:rFonts w:ascii="宋体" w:hAnsi="宋体" w:cs="宋体" w:eastAsia="宋体" w:hint="default"/>
        </w:rPr>
        <w:t>2</w:t>
      </w:r>
      <w:r>
        <w:rPr/>
        <w:t>）企业所得税</w:t>
      </w:r>
    </w:p>
    <w:p>
      <w:pPr>
        <w:pStyle w:val="Heading3"/>
        <w:spacing w:line="355" w:lineRule="auto" w:before="135"/>
        <w:ind w:right="1789" w:firstLine="419"/>
        <w:jc w:val="both"/>
      </w:pPr>
      <w:r>
        <w:rPr>
          <w:spacing w:val="6"/>
        </w:rPr>
        <w:t>①广州广电运通金融电子股份有限公司被认定为高新技术企业，</w:t>
      </w:r>
      <w:r>
        <w:rPr>
          <w:rFonts w:ascii="宋体" w:hAnsi="宋体" w:cs="宋体" w:eastAsia="宋体" w:hint="default"/>
          <w:spacing w:val="6"/>
        </w:rPr>
        <w:t>2017</w:t>
      </w:r>
      <w:r>
        <w:rPr>
          <w:spacing w:val="6"/>
        </w:rPr>
        <w:t>年取得编号为</w:t>
      </w:r>
      <w:r>
        <w:rPr>
          <w:w w:val="100"/>
        </w:rPr>
        <w:t> </w:t>
      </w:r>
      <w:r>
        <w:rPr>
          <w:rFonts w:ascii="宋体" w:hAnsi="宋体" w:cs="宋体" w:eastAsia="宋体" w:hint="default"/>
          <w:spacing w:val="-1"/>
        </w:rPr>
        <w:t>GR201744011270</w:t>
      </w:r>
      <w:r>
        <w:rPr>
          <w:spacing w:val="-1"/>
        </w:rPr>
        <w:t>的《高新技术企业证书》，有效期为三年，</w:t>
      </w:r>
      <w:r>
        <w:rPr>
          <w:rFonts w:ascii="宋体" w:hAnsi="宋体" w:cs="宋体" w:eastAsia="宋体" w:hint="default"/>
          <w:spacing w:val="-1"/>
        </w:rPr>
        <w:t>2018</w:t>
      </w:r>
      <w:r>
        <w:rPr>
          <w:spacing w:val="-1"/>
        </w:rPr>
        <w:t>年按</w:t>
      </w:r>
      <w:r>
        <w:rPr>
          <w:rFonts w:ascii="宋体" w:hAnsi="宋体" w:cs="宋体" w:eastAsia="宋体" w:hint="default"/>
          <w:spacing w:val="-1"/>
        </w:rPr>
        <w:t>15%</w:t>
      </w:r>
      <w:r>
        <w:rPr>
          <w:spacing w:val="-1"/>
        </w:rPr>
        <w:t>的税率计缴企业所</w:t>
      </w:r>
      <w:r>
        <w:rPr>
          <w:spacing w:val="-44"/>
        </w:rPr>
        <w:t> </w:t>
      </w:r>
      <w:r>
        <w:rPr>
          <w:spacing w:val="-44"/>
        </w:rPr>
      </w:r>
      <w:r>
        <w:rPr/>
        <w:t>得税。</w:t>
      </w:r>
    </w:p>
    <w:p>
      <w:pPr>
        <w:pStyle w:val="Heading3"/>
        <w:spacing w:line="357" w:lineRule="auto" w:before="32"/>
        <w:ind w:right="1786" w:firstLine="419"/>
        <w:jc w:val="both"/>
      </w:pPr>
      <w:r>
        <w:rPr>
          <w:spacing w:val="-4"/>
          <w:w w:val="100"/>
        </w:rPr>
        <w:t>②本公司的子公司广州中智融通金融科技有限公司被认定为高新技术企业，</w:t>
      </w:r>
      <w:r>
        <w:rPr>
          <w:rFonts w:ascii="宋体" w:hAnsi="宋体" w:cs="宋体" w:eastAsia="宋体" w:hint="default"/>
          <w:spacing w:val="-4"/>
          <w:w w:val="100"/>
        </w:rPr>
        <w:t>2018</w:t>
      </w:r>
      <w:r>
        <w:rPr>
          <w:spacing w:val="-4"/>
          <w:w w:val="100"/>
        </w:rPr>
        <w:t>年取得</w:t>
      </w:r>
      <w:r>
        <w:rPr>
          <w:w w:val="100"/>
        </w:rPr>
        <w:t> </w:t>
      </w:r>
      <w:r>
        <w:rPr>
          <w:spacing w:val="-1"/>
        </w:rPr>
        <w:t>编号为</w:t>
      </w:r>
      <w:r>
        <w:rPr>
          <w:rFonts w:ascii="宋体" w:hAnsi="宋体" w:cs="宋体" w:eastAsia="宋体" w:hint="default"/>
          <w:spacing w:val="-1"/>
        </w:rPr>
        <w:t>GR201844010880</w:t>
      </w:r>
      <w:r>
        <w:rPr>
          <w:spacing w:val="-1"/>
        </w:rPr>
        <w:t>号的《高新技术企业证书》，有效期为三年，</w:t>
      </w:r>
      <w:r>
        <w:rPr>
          <w:rFonts w:ascii="宋体" w:hAnsi="宋体" w:cs="宋体" w:eastAsia="宋体" w:hint="default"/>
          <w:spacing w:val="-1"/>
        </w:rPr>
        <w:t>2018</w:t>
      </w:r>
      <w:r>
        <w:rPr>
          <w:spacing w:val="-1"/>
        </w:rPr>
        <w:t>年按</w:t>
      </w:r>
      <w:r>
        <w:rPr>
          <w:rFonts w:ascii="宋体" w:hAnsi="宋体" w:cs="宋体" w:eastAsia="宋体" w:hint="default"/>
          <w:spacing w:val="-1"/>
        </w:rPr>
        <w:t>15%</w:t>
      </w:r>
      <w:r>
        <w:rPr>
          <w:spacing w:val="-1"/>
        </w:rPr>
        <w:t>的税率计</w:t>
      </w:r>
      <w:r>
        <w:rPr>
          <w:spacing w:val="-43"/>
        </w:rPr>
        <w:t> </w:t>
      </w:r>
      <w:r>
        <w:rPr>
          <w:spacing w:val="-43"/>
        </w:rPr>
      </w:r>
      <w:r>
        <w:rPr/>
        <w:t>缴企业所得税。</w:t>
      </w:r>
    </w:p>
    <w:p>
      <w:pPr>
        <w:pStyle w:val="Heading3"/>
        <w:spacing w:line="355" w:lineRule="auto"/>
        <w:ind w:right="1786" w:firstLine="419"/>
        <w:jc w:val="both"/>
      </w:pPr>
      <w:r>
        <w:rPr>
          <w:spacing w:val="-4"/>
          <w:w w:val="100"/>
        </w:rPr>
        <w:t>③本公司的子公司广州广电运通信息科技有限公司被认定为高新技术企业，</w:t>
      </w:r>
      <w:r>
        <w:rPr>
          <w:rFonts w:ascii="宋体" w:hAnsi="宋体" w:cs="宋体" w:eastAsia="宋体" w:hint="default"/>
          <w:spacing w:val="-4"/>
          <w:w w:val="100"/>
        </w:rPr>
        <w:t>2016</w:t>
      </w:r>
      <w:r>
        <w:rPr>
          <w:spacing w:val="-4"/>
          <w:w w:val="100"/>
        </w:rPr>
        <w:t>年取得</w:t>
      </w:r>
      <w:r>
        <w:rPr>
          <w:w w:val="100"/>
        </w:rPr>
        <w:t> </w:t>
      </w:r>
      <w:r>
        <w:rPr>
          <w:spacing w:val="-1"/>
        </w:rPr>
        <w:t>编号为</w:t>
      </w:r>
      <w:r>
        <w:rPr>
          <w:rFonts w:ascii="宋体" w:hAnsi="宋体" w:cs="宋体" w:eastAsia="宋体" w:hint="default"/>
          <w:spacing w:val="-1"/>
        </w:rPr>
        <w:t>GR201644005599</w:t>
      </w:r>
      <w:r>
        <w:rPr>
          <w:spacing w:val="-1"/>
        </w:rPr>
        <w:t>号的《高新技术企业证书》，有效期为三年，</w:t>
      </w:r>
      <w:r>
        <w:rPr>
          <w:rFonts w:ascii="宋体" w:hAnsi="宋体" w:cs="宋体" w:eastAsia="宋体" w:hint="default"/>
          <w:spacing w:val="-1"/>
        </w:rPr>
        <w:t>2018</w:t>
      </w:r>
      <w:r>
        <w:rPr>
          <w:spacing w:val="-1"/>
        </w:rPr>
        <w:t>年按</w:t>
      </w:r>
      <w:r>
        <w:rPr>
          <w:rFonts w:ascii="宋体" w:hAnsi="宋体" w:cs="宋体" w:eastAsia="宋体" w:hint="default"/>
          <w:spacing w:val="-1"/>
        </w:rPr>
        <w:t>15%</w:t>
      </w:r>
      <w:r>
        <w:rPr>
          <w:spacing w:val="-1"/>
        </w:rPr>
        <w:t>的税率计</w:t>
      </w:r>
      <w:r>
        <w:rPr>
          <w:spacing w:val="-43"/>
        </w:rPr>
        <w:t> </w:t>
      </w:r>
      <w:r>
        <w:rPr>
          <w:spacing w:val="-43"/>
        </w:rPr>
      </w:r>
      <w:r>
        <w:rPr/>
        <w:t>缴企业所得税。</w:t>
      </w:r>
    </w:p>
    <w:p>
      <w:pPr>
        <w:pStyle w:val="Heading3"/>
        <w:spacing w:line="355" w:lineRule="auto" w:before="34"/>
        <w:ind w:right="1788" w:firstLine="419"/>
        <w:jc w:val="both"/>
      </w:pPr>
      <w:r>
        <w:rPr>
          <w:spacing w:val="-4"/>
          <w:w w:val="100"/>
        </w:rPr>
        <w:t>④本公司的控股子公司深圳市创自技术有限公司被认定为高新技术企业，</w:t>
      </w:r>
      <w:r>
        <w:rPr>
          <w:rFonts w:ascii="宋体" w:hAnsi="宋体" w:cs="宋体" w:eastAsia="宋体" w:hint="default"/>
          <w:spacing w:val="-4"/>
          <w:w w:val="100"/>
        </w:rPr>
        <w:t>2017</w:t>
      </w:r>
      <w:r>
        <w:rPr>
          <w:spacing w:val="-4"/>
          <w:w w:val="100"/>
        </w:rPr>
        <w:t>年</w:t>
      </w:r>
      <w:r>
        <w:rPr>
          <w:rFonts w:ascii="宋体" w:hAnsi="宋体" w:cs="宋体" w:eastAsia="宋体" w:hint="default"/>
          <w:spacing w:val="-4"/>
          <w:w w:val="100"/>
        </w:rPr>
        <w:t>10</w:t>
      </w:r>
      <w:r>
        <w:rPr>
          <w:spacing w:val="-4"/>
          <w:w w:val="100"/>
        </w:rPr>
        <w:t>月取</w:t>
      </w:r>
      <w:r>
        <w:rPr>
          <w:spacing w:val="-3"/>
          <w:w w:val="100"/>
        </w:rPr>
        <w:t> </w:t>
      </w:r>
      <w:r>
        <w:rPr>
          <w:spacing w:val="-1"/>
        </w:rPr>
        <w:t>得编号为</w:t>
      </w:r>
      <w:r>
        <w:rPr>
          <w:rFonts w:ascii="宋体" w:hAnsi="宋体" w:cs="宋体" w:eastAsia="宋体" w:hint="default"/>
          <w:spacing w:val="-1"/>
        </w:rPr>
        <w:t>GR201744204661</w:t>
      </w:r>
      <w:r>
        <w:rPr>
          <w:spacing w:val="-1"/>
        </w:rPr>
        <w:t>号的《高新技术企业证书》，有效期为三年，</w:t>
      </w:r>
      <w:r>
        <w:rPr>
          <w:rFonts w:ascii="宋体" w:hAnsi="宋体" w:cs="宋体" w:eastAsia="宋体" w:hint="default"/>
          <w:spacing w:val="-1"/>
        </w:rPr>
        <w:t>2018</w:t>
      </w:r>
      <w:r>
        <w:rPr>
          <w:spacing w:val="-1"/>
        </w:rPr>
        <w:t>年按</w:t>
      </w:r>
      <w:r>
        <w:rPr>
          <w:rFonts w:ascii="宋体" w:hAnsi="宋体" w:cs="宋体" w:eastAsia="宋体" w:hint="default"/>
          <w:spacing w:val="-1"/>
        </w:rPr>
        <w:t>15%</w:t>
      </w:r>
      <w:r>
        <w:rPr>
          <w:spacing w:val="-1"/>
        </w:rPr>
        <w:t>的税率</w:t>
      </w:r>
      <w:r>
        <w:rPr>
          <w:spacing w:val="-42"/>
        </w:rPr>
        <w:t> </w:t>
      </w:r>
      <w:r>
        <w:rPr>
          <w:spacing w:val="-42"/>
        </w:rPr>
      </w:r>
      <w:r>
        <w:rPr/>
        <w:t>计缴企业所得税。</w:t>
      </w:r>
    </w:p>
    <w:p>
      <w:pPr>
        <w:pStyle w:val="Heading3"/>
        <w:spacing w:line="357" w:lineRule="auto" w:before="32"/>
        <w:ind w:right="1786" w:firstLine="419"/>
        <w:jc w:val="both"/>
      </w:pPr>
      <w:r>
        <w:rPr>
          <w:spacing w:val="-4"/>
          <w:w w:val="100"/>
        </w:rPr>
        <w:t>⑤本公司的孙公司深圳市创自软件有限公司被认定为高新技术企业，</w:t>
      </w:r>
      <w:r>
        <w:rPr>
          <w:rFonts w:ascii="宋体" w:hAnsi="宋体" w:cs="宋体" w:eastAsia="宋体" w:hint="default"/>
          <w:spacing w:val="-4"/>
          <w:w w:val="100"/>
        </w:rPr>
        <w:t>2016</w:t>
      </w:r>
      <w:r>
        <w:rPr>
          <w:spacing w:val="-4"/>
          <w:w w:val="100"/>
        </w:rPr>
        <w:t>年</w:t>
      </w:r>
      <w:r>
        <w:rPr>
          <w:rFonts w:ascii="宋体" w:hAnsi="宋体" w:cs="宋体" w:eastAsia="宋体" w:hint="default"/>
          <w:spacing w:val="-4"/>
          <w:w w:val="100"/>
        </w:rPr>
        <w:t>11</w:t>
      </w:r>
      <w:r>
        <w:rPr>
          <w:spacing w:val="-4"/>
          <w:w w:val="100"/>
        </w:rPr>
        <w:t>月取得编</w:t>
      </w:r>
      <w:r>
        <w:rPr>
          <w:w w:val="100"/>
        </w:rPr>
        <w:t> </w:t>
      </w:r>
      <w:r>
        <w:rPr>
          <w:spacing w:val="-1"/>
        </w:rPr>
        <w:t>号为</w:t>
      </w:r>
      <w:r>
        <w:rPr>
          <w:rFonts w:ascii="宋体" w:hAnsi="宋体" w:cs="宋体" w:eastAsia="宋体" w:hint="default"/>
          <w:spacing w:val="-1"/>
        </w:rPr>
        <w:t>GR201644202173</w:t>
      </w:r>
      <w:r>
        <w:rPr>
          <w:spacing w:val="-1"/>
        </w:rPr>
        <w:t>号的《高新技术企业证书》，有效期为三年，</w:t>
      </w:r>
      <w:r>
        <w:rPr>
          <w:rFonts w:ascii="宋体" w:hAnsi="宋体" w:cs="宋体" w:eastAsia="宋体" w:hint="default"/>
          <w:spacing w:val="-1"/>
        </w:rPr>
        <w:t>2018</w:t>
      </w:r>
      <w:r>
        <w:rPr>
          <w:spacing w:val="-1"/>
        </w:rPr>
        <w:t>年按</w:t>
      </w:r>
      <w:r>
        <w:rPr>
          <w:rFonts w:ascii="宋体" w:hAnsi="宋体" w:cs="宋体" w:eastAsia="宋体" w:hint="default"/>
          <w:spacing w:val="-1"/>
        </w:rPr>
        <w:t>15%</w:t>
      </w:r>
      <w:r>
        <w:rPr>
          <w:spacing w:val="-1"/>
        </w:rPr>
        <w:t>的税率计缴</w:t>
      </w:r>
      <w:r>
        <w:rPr>
          <w:spacing w:val="-44"/>
        </w:rPr>
        <w:t> </w:t>
      </w:r>
      <w:r>
        <w:rPr>
          <w:spacing w:val="-44"/>
        </w:rPr>
      </w:r>
      <w:r>
        <w:rPr/>
        <w:t>企业所得税。</w:t>
      </w:r>
    </w:p>
    <w:p>
      <w:pPr>
        <w:pStyle w:val="Heading3"/>
        <w:spacing w:line="355" w:lineRule="auto"/>
        <w:ind w:right="1786" w:firstLine="419"/>
        <w:jc w:val="both"/>
      </w:pPr>
      <w:r>
        <w:rPr/>
        <w:t>⑥本公司的子公司广州广电银通金融电子科技有限公司被认定为高新技术企业，</w:t>
      </w:r>
      <w:r>
        <w:rPr>
          <w:rFonts w:ascii="宋体" w:hAnsi="宋体" w:cs="宋体" w:eastAsia="宋体" w:hint="default"/>
        </w:rPr>
        <w:t>2018</w:t>
      </w:r>
      <w:r>
        <w:rPr>
          <w:rFonts w:ascii="宋体" w:hAnsi="宋体" w:cs="宋体" w:eastAsia="宋体" w:hint="default"/>
          <w:w w:val="100"/>
        </w:rPr>
        <w:t> </w:t>
      </w:r>
      <w:r>
        <w:rPr>
          <w:spacing w:val="-1"/>
        </w:rPr>
        <w:t>年取得编号为</w:t>
      </w:r>
      <w:r>
        <w:rPr>
          <w:rFonts w:ascii="宋体" w:hAnsi="宋体" w:cs="宋体" w:eastAsia="宋体" w:hint="default"/>
          <w:spacing w:val="-1"/>
        </w:rPr>
        <w:t>GR201844005566</w:t>
      </w:r>
      <w:r>
        <w:rPr>
          <w:spacing w:val="-1"/>
        </w:rPr>
        <w:t>的《高新技术企业证书》，有效期为三年，</w:t>
      </w:r>
      <w:r>
        <w:rPr>
          <w:rFonts w:ascii="宋体" w:hAnsi="宋体" w:cs="宋体" w:eastAsia="宋体" w:hint="default"/>
          <w:spacing w:val="-1"/>
        </w:rPr>
        <w:t>2018</w:t>
      </w:r>
      <w:r>
        <w:rPr>
          <w:spacing w:val="-1"/>
        </w:rPr>
        <w:t>年按</w:t>
      </w:r>
      <w:r>
        <w:rPr>
          <w:rFonts w:ascii="宋体" w:hAnsi="宋体" w:cs="宋体" w:eastAsia="宋体" w:hint="default"/>
          <w:spacing w:val="-1"/>
        </w:rPr>
        <w:t>15%</w:t>
      </w:r>
      <w:r>
        <w:rPr>
          <w:spacing w:val="-1"/>
        </w:rPr>
        <w:t>的税</w:t>
      </w:r>
      <w:r>
        <w:rPr>
          <w:spacing w:val="-44"/>
        </w:rPr>
        <w:t> </w:t>
      </w:r>
      <w:r>
        <w:rPr/>
        <w:t>率计缴企业所得税。</w:t>
      </w:r>
    </w:p>
    <w:p>
      <w:pPr>
        <w:pStyle w:val="Heading3"/>
        <w:spacing w:line="355" w:lineRule="auto" w:before="34"/>
        <w:ind w:right="1786" w:firstLine="419"/>
        <w:jc w:val="both"/>
      </w:pPr>
      <w:r>
        <w:rPr/>
        <w:t>⑦本公司的控股子公司江苏汇通金融数据股份有限公司被认定为高新技术企业，</w:t>
      </w:r>
      <w:r>
        <w:rPr>
          <w:rFonts w:ascii="宋体" w:hAnsi="宋体" w:cs="宋体" w:eastAsia="宋体" w:hint="default"/>
        </w:rPr>
        <w:t>2018</w:t>
      </w:r>
      <w:r>
        <w:rPr>
          <w:rFonts w:ascii="宋体" w:hAnsi="宋体" w:cs="宋体" w:eastAsia="宋体" w:hint="default"/>
          <w:w w:val="100"/>
        </w:rPr>
        <w:t> </w:t>
      </w:r>
      <w:r>
        <w:rPr>
          <w:spacing w:val="-1"/>
        </w:rPr>
        <w:t>年取得编号为</w:t>
      </w:r>
      <w:r>
        <w:rPr>
          <w:rFonts w:ascii="宋体" w:hAnsi="宋体" w:cs="宋体" w:eastAsia="宋体" w:hint="default"/>
          <w:spacing w:val="-1"/>
        </w:rPr>
        <w:t>GR201832008016</w:t>
      </w:r>
      <w:r>
        <w:rPr>
          <w:spacing w:val="-1"/>
        </w:rPr>
        <w:t>号的《高新技术企业证书》，有效期为三年，</w:t>
      </w:r>
      <w:r>
        <w:rPr>
          <w:rFonts w:ascii="宋体" w:hAnsi="宋体" w:cs="宋体" w:eastAsia="宋体" w:hint="default"/>
          <w:spacing w:val="-1"/>
        </w:rPr>
        <w:t>2018</w:t>
      </w:r>
      <w:r>
        <w:rPr>
          <w:spacing w:val="-1"/>
        </w:rPr>
        <w:t>年按</w:t>
      </w:r>
      <w:r>
        <w:rPr>
          <w:rFonts w:ascii="宋体" w:hAnsi="宋体" w:cs="宋体" w:eastAsia="宋体" w:hint="default"/>
          <w:spacing w:val="-1"/>
        </w:rPr>
        <w:t>15%</w:t>
      </w:r>
      <w:r>
        <w:rPr>
          <w:spacing w:val="-1"/>
        </w:rPr>
        <w:t>的</w:t>
      </w:r>
      <w:r>
        <w:rPr>
          <w:spacing w:val="-42"/>
        </w:rPr>
        <w:t> </w:t>
      </w:r>
      <w:r>
        <w:rPr/>
        <w:t>税率计缴企业所得税。</w:t>
      </w:r>
    </w:p>
    <w:p>
      <w:pPr>
        <w:pStyle w:val="Heading3"/>
        <w:spacing w:line="357" w:lineRule="auto" w:before="33"/>
        <w:ind w:right="1786" w:firstLine="419"/>
        <w:jc w:val="both"/>
      </w:pPr>
      <w:r>
        <w:rPr/>
        <w:t>⑧本公司的孙公司深圳广电银通金融电子科技有限公司被认定为高新技术企业，</w:t>
      </w:r>
      <w:r>
        <w:rPr>
          <w:rFonts w:ascii="宋体" w:hAnsi="宋体" w:cs="宋体" w:eastAsia="宋体" w:hint="default"/>
        </w:rPr>
        <w:t>2018</w:t>
      </w:r>
      <w:r>
        <w:rPr>
          <w:rFonts w:ascii="宋体" w:hAnsi="宋体" w:cs="宋体" w:eastAsia="宋体" w:hint="default"/>
          <w:w w:val="100"/>
        </w:rPr>
        <w:t> </w:t>
      </w:r>
      <w:r>
        <w:rPr/>
        <w:t>年取得编号为</w:t>
      </w:r>
      <w:r>
        <w:rPr>
          <w:rFonts w:ascii="宋体" w:hAnsi="宋体" w:cs="宋体" w:eastAsia="宋体" w:hint="default"/>
        </w:rPr>
        <w:t>GR201844200048</w:t>
      </w:r>
      <w:r>
        <w:rPr/>
        <w:t>的《高新技术企业证书》</w:t>
      </w:r>
      <w:r>
        <w:rPr>
          <w:rFonts w:ascii="宋体" w:hAnsi="宋体" w:cs="宋体" w:eastAsia="宋体" w:hint="default"/>
        </w:rPr>
        <w:t>,</w:t>
      </w:r>
      <w:r>
        <w:rPr>
          <w:rFonts w:ascii="宋体" w:hAnsi="宋体" w:cs="宋体" w:eastAsia="宋体" w:hint="default"/>
          <w:spacing w:val="9"/>
        </w:rPr>
        <w:t> </w:t>
      </w:r>
      <w:r>
        <w:rPr/>
        <w:t>有效期为三年，</w:t>
      </w:r>
      <w:r>
        <w:rPr>
          <w:rFonts w:ascii="宋体" w:hAnsi="宋体" w:cs="宋体" w:eastAsia="宋体" w:hint="default"/>
        </w:rPr>
        <w:t>2018</w:t>
      </w:r>
      <w:r>
        <w:rPr/>
        <w:t>年按</w:t>
      </w:r>
      <w:r>
        <w:rPr>
          <w:rFonts w:ascii="宋体" w:hAnsi="宋体" w:cs="宋体" w:eastAsia="宋体" w:hint="default"/>
        </w:rPr>
        <w:t>15%</w:t>
      </w:r>
      <w:r>
        <w:rPr/>
        <w:t>的税</w:t>
      </w:r>
      <w:r>
        <w:rPr>
          <w:spacing w:val="-3"/>
          <w:w w:val="100"/>
        </w:rPr>
        <w:t> </w:t>
      </w:r>
      <w:r>
        <w:rPr/>
        <w:t>率计缴企业所得税。</w:t>
      </w:r>
    </w:p>
    <w:p>
      <w:pPr>
        <w:pStyle w:val="Heading3"/>
        <w:spacing w:line="355" w:lineRule="auto"/>
        <w:ind w:right="1788" w:firstLine="419"/>
        <w:jc w:val="both"/>
      </w:pPr>
      <w:r>
        <w:rPr>
          <w:spacing w:val="-1"/>
        </w:rPr>
        <w:t>⑨本公司的曾孙公司深圳鹏通金融服务有限公司被认定为高新技术企业，</w:t>
      </w:r>
      <w:r>
        <w:rPr>
          <w:rFonts w:ascii="宋体" w:hAnsi="宋体" w:cs="宋体" w:eastAsia="宋体" w:hint="default"/>
          <w:spacing w:val="-1"/>
        </w:rPr>
        <w:t>2017</w:t>
      </w:r>
      <w:r>
        <w:rPr>
          <w:spacing w:val="-1"/>
        </w:rPr>
        <w:t>年</w:t>
      </w:r>
      <w:r>
        <w:rPr>
          <w:rFonts w:ascii="宋体" w:hAnsi="宋体" w:cs="宋体" w:eastAsia="宋体" w:hint="default"/>
          <w:spacing w:val="-1"/>
        </w:rPr>
        <w:t>8</w:t>
      </w:r>
      <w:r>
        <w:rPr>
          <w:spacing w:val="-1"/>
        </w:rPr>
        <w:t>月取</w:t>
      </w:r>
      <w:r>
        <w:rPr>
          <w:w w:val="100"/>
        </w:rPr>
        <w:t> </w:t>
      </w:r>
      <w:r>
        <w:rPr>
          <w:spacing w:val="-1"/>
        </w:rPr>
        <w:t>得编号为</w:t>
      </w:r>
      <w:r>
        <w:rPr>
          <w:rFonts w:ascii="宋体" w:hAnsi="宋体" w:cs="宋体" w:eastAsia="宋体" w:hint="default"/>
          <w:spacing w:val="-1"/>
        </w:rPr>
        <w:t>GR201744200056</w:t>
      </w:r>
      <w:r>
        <w:rPr>
          <w:spacing w:val="-1"/>
        </w:rPr>
        <w:t>号的《高新技术企业证书》，有效期为三年，</w:t>
      </w:r>
      <w:r>
        <w:rPr>
          <w:rFonts w:ascii="宋体" w:hAnsi="宋体" w:cs="宋体" w:eastAsia="宋体" w:hint="default"/>
          <w:spacing w:val="-1"/>
        </w:rPr>
        <w:t>2018</w:t>
      </w:r>
      <w:r>
        <w:rPr>
          <w:spacing w:val="-1"/>
        </w:rPr>
        <w:t>年按</w:t>
      </w:r>
      <w:r>
        <w:rPr>
          <w:rFonts w:ascii="宋体" w:hAnsi="宋体" w:cs="宋体" w:eastAsia="宋体" w:hint="default"/>
          <w:spacing w:val="-1"/>
        </w:rPr>
        <w:t>15%</w:t>
      </w:r>
      <w:r>
        <w:rPr>
          <w:spacing w:val="-1"/>
        </w:rPr>
        <w:t>的税率</w:t>
      </w:r>
      <w:r>
        <w:rPr>
          <w:spacing w:val="-42"/>
        </w:rPr>
        <w:t> </w:t>
      </w:r>
      <w:r>
        <w:rPr>
          <w:spacing w:val="-42"/>
        </w:rPr>
      </w:r>
      <w:r>
        <w:rPr/>
        <w:t>计缴企业所得税。</w:t>
      </w:r>
    </w:p>
    <w:p>
      <w:pPr>
        <w:pStyle w:val="Heading3"/>
        <w:spacing w:line="357" w:lineRule="auto" w:before="32"/>
        <w:ind w:right="1786" w:firstLine="419"/>
        <w:jc w:val="both"/>
      </w:pPr>
      <w:r>
        <w:rPr/>
        <w:t>⑩本公司的曾孙公司上海欣辰通金融电子科技有限公司被认定为高新技术企业，</w:t>
      </w:r>
      <w:r>
        <w:rPr>
          <w:rFonts w:ascii="宋体" w:hAnsi="宋体" w:cs="宋体" w:eastAsia="宋体" w:hint="default"/>
        </w:rPr>
        <w:t>2018</w:t>
      </w:r>
      <w:r>
        <w:rPr>
          <w:rFonts w:ascii="宋体" w:hAnsi="宋体" w:cs="宋体" w:eastAsia="宋体" w:hint="default"/>
          <w:w w:val="100"/>
        </w:rPr>
        <w:t> </w:t>
      </w:r>
      <w:r>
        <w:rPr>
          <w:spacing w:val="-1"/>
        </w:rPr>
        <w:t>年取得编号为</w:t>
      </w:r>
      <w:r>
        <w:rPr>
          <w:rFonts w:ascii="宋体" w:hAnsi="宋体" w:cs="宋体" w:eastAsia="宋体" w:hint="default"/>
          <w:spacing w:val="-1"/>
        </w:rPr>
        <w:t>GR201831001953</w:t>
      </w:r>
      <w:r>
        <w:rPr>
          <w:spacing w:val="-1"/>
        </w:rPr>
        <w:t>号的《高新技术企业证书》，有效期为三年，</w:t>
      </w:r>
      <w:r>
        <w:rPr>
          <w:rFonts w:ascii="宋体" w:hAnsi="宋体" w:cs="宋体" w:eastAsia="宋体" w:hint="default"/>
          <w:spacing w:val="-1"/>
        </w:rPr>
        <w:t>2018</w:t>
      </w:r>
      <w:r>
        <w:rPr>
          <w:spacing w:val="-1"/>
        </w:rPr>
        <w:t>年按</w:t>
      </w:r>
      <w:r>
        <w:rPr>
          <w:rFonts w:ascii="宋体" w:hAnsi="宋体" w:cs="宋体" w:eastAsia="宋体" w:hint="default"/>
          <w:spacing w:val="-1"/>
        </w:rPr>
        <w:t>15%</w:t>
      </w:r>
      <w:r>
        <w:rPr>
          <w:spacing w:val="-1"/>
        </w:rPr>
        <w:t>的</w:t>
      </w:r>
      <w:r>
        <w:rPr>
          <w:spacing w:val="-42"/>
        </w:rPr>
        <w:t> </w:t>
      </w:r>
      <w:r>
        <w:rPr/>
        <w:t>税率计缴企业所得税。</w:t>
      </w:r>
    </w:p>
    <w:p>
      <w:pPr>
        <w:pStyle w:val="Heading3"/>
        <w:spacing w:line="793" w:lineRule="exact" w:before="0"/>
        <w:ind w:left="558" w:right="1683"/>
        <w:jc w:val="left"/>
      </w:pPr>
      <w:r>
        <w:rPr>
          <w:rFonts w:ascii="Cambria Math" w:hAnsi="Cambria Math" w:cs="Cambria Math" w:eastAsia="Cambria Math" w:hint="default"/>
        </w:rPr>
        <w:t>⑪</w:t>
      </w:r>
      <w:r>
        <w:rPr/>
        <w:t>本公司的控股曾孙公司宜昌市金牛押运护卫保安服务有限责任公司被认定为高新技</w:t>
      </w:r>
    </w:p>
    <w:p>
      <w:pPr>
        <w:spacing w:after="0" w:line="793" w:lineRule="exact"/>
        <w:jc w:val="left"/>
        <w:sectPr>
          <w:pgSz w:w="11910" w:h="16840"/>
          <w:pgMar w:header="733" w:footer="977" w:top="960" w:bottom="1160" w:left="1660" w:right="0"/>
        </w:sectPr>
      </w:pPr>
    </w:p>
    <w:p>
      <w:pPr>
        <w:spacing w:line="240" w:lineRule="auto" w:before="0"/>
        <w:rPr>
          <w:rFonts w:ascii="宋体" w:hAnsi="宋体" w:cs="宋体" w:eastAsia="宋体" w:hint="default"/>
          <w:sz w:val="20"/>
          <w:szCs w:val="20"/>
        </w:rPr>
      </w:pPr>
    </w:p>
    <w:p>
      <w:pPr>
        <w:pStyle w:val="Heading3"/>
        <w:spacing w:line="355" w:lineRule="auto" w:before="168"/>
        <w:ind w:right="1683"/>
        <w:jc w:val="left"/>
      </w:pPr>
      <w:r>
        <w:rPr>
          <w:spacing w:val="-1"/>
        </w:rPr>
        <w:t>术企业，</w:t>
      </w:r>
      <w:r>
        <w:rPr>
          <w:rFonts w:ascii="宋体" w:hAnsi="宋体" w:cs="宋体" w:eastAsia="宋体" w:hint="default"/>
          <w:spacing w:val="-1"/>
        </w:rPr>
        <w:t>2016</w:t>
      </w:r>
      <w:r>
        <w:rPr>
          <w:spacing w:val="-1"/>
        </w:rPr>
        <w:t>年取得编号为</w:t>
      </w:r>
      <w:r>
        <w:rPr>
          <w:rFonts w:ascii="宋体" w:hAnsi="宋体" w:cs="宋体" w:eastAsia="宋体" w:hint="default"/>
          <w:spacing w:val="-1"/>
        </w:rPr>
        <w:t>GR201642000406</w:t>
      </w:r>
      <w:r>
        <w:rPr>
          <w:spacing w:val="-1"/>
        </w:rPr>
        <w:t>号的《高新技术企业证书》</w:t>
      </w:r>
      <w:r>
        <w:rPr>
          <w:rFonts w:ascii="宋体" w:hAnsi="宋体" w:cs="宋体" w:eastAsia="宋体" w:hint="default"/>
          <w:spacing w:val="-1"/>
        </w:rPr>
        <w:t>,</w:t>
      </w:r>
      <w:r>
        <w:rPr>
          <w:spacing w:val="-1"/>
        </w:rPr>
        <w:t>有效期三年，</w:t>
      </w:r>
      <w:r>
        <w:rPr>
          <w:rFonts w:ascii="宋体" w:hAnsi="宋体" w:cs="宋体" w:eastAsia="宋体" w:hint="default"/>
          <w:spacing w:val="-1"/>
        </w:rPr>
        <w:t>2018</w:t>
      </w:r>
      <w:r>
        <w:rPr>
          <w:rFonts w:ascii="宋体" w:hAnsi="宋体" w:cs="宋体" w:eastAsia="宋体" w:hint="default"/>
          <w:spacing w:val="-42"/>
        </w:rPr>
        <w:t> </w:t>
      </w:r>
      <w:r>
        <w:rPr>
          <w:rFonts w:ascii="宋体" w:hAnsi="宋体" w:cs="宋体" w:eastAsia="宋体" w:hint="default"/>
          <w:spacing w:val="-42"/>
        </w:rPr>
      </w:r>
      <w:r>
        <w:rPr/>
        <w:t>年按</w:t>
      </w:r>
      <w:r>
        <w:rPr>
          <w:rFonts w:ascii="宋体" w:hAnsi="宋体" w:cs="宋体" w:eastAsia="宋体" w:hint="default"/>
        </w:rPr>
        <w:t>15%</w:t>
      </w:r>
      <w:r>
        <w:rPr/>
        <w:t>的税率计缴企业所得税。</w:t>
      </w:r>
    </w:p>
    <w:p>
      <w:pPr>
        <w:pStyle w:val="Heading3"/>
        <w:spacing w:line="580" w:lineRule="exact" w:before="0"/>
        <w:ind w:right="1683" w:firstLine="314"/>
        <w:jc w:val="left"/>
      </w:pPr>
      <w:r>
        <w:rPr>
          <w:rFonts w:ascii="Cambria Math" w:hAnsi="Cambria Math" w:cs="Cambria Math" w:eastAsia="Cambria Math" w:hint="default"/>
          <w:spacing w:val="-3"/>
        </w:rPr>
        <w:t>⑫</w:t>
      </w:r>
      <w:r>
        <w:rPr>
          <w:spacing w:val="-3"/>
        </w:rPr>
        <w:t>本公司的曾孙公司资阳保安有限责任公司依据《财政部、海关总署、国家税务总局关</w:t>
      </w:r>
    </w:p>
    <w:p>
      <w:pPr>
        <w:pStyle w:val="Heading3"/>
        <w:spacing w:line="137" w:lineRule="exact" w:before="0"/>
        <w:ind w:right="0"/>
        <w:jc w:val="both"/>
      </w:pPr>
      <w:r>
        <w:rPr>
          <w:spacing w:val="-4"/>
        </w:rPr>
        <w:t>于深入实施西部大开发战略有关税收政策问题的通知》财税</w:t>
      </w:r>
      <w:r>
        <w:rPr>
          <w:rFonts w:ascii="宋体" w:hAnsi="宋体" w:cs="宋体" w:eastAsia="宋体" w:hint="default"/>
          <w:spacing w:val="-4"/>
        </w:rPr>
        <w:t>[2011]58</w:t>
      </w:r>
      <w:r>
        <w:rPr>
          <w:spacing w:val="-4"/>
        </w:rPr>
        <w:t>号，符合西部大开发税</w:t>
      </w:r>
    </w:p>
    <w:p>
      <w:pPr>
        <w:pStyle w:val="Heading3"/>
        <w:spacing w:line="137" w:lineRule="exact" w:before="133"/>
        <w:ind w:right="0"/>
        <w:jc w:val="both"/>
      </w:pPr>
      <w:r>
        <w:rPr/>
        <w:t>收优惠政策条件，</w:t>
      </w:r>
      <w:r>
        <w:rPr>
          <w:rFonts w:ascii="宋体" w:hAnsi="宋体" w:cs="宋体" w:eastAsia="宋体" w:hint="default"/>
        </w:rPr>
        <w:t>2018</w:t>
      </w:r>
      <w:r>
        <w:rPr/>
        <w:t>年减按</w:t>
      </w:r>
      <w:r>
        <w:rPr>
          <w:rFonts w:ascii="宋体" w:hAnsi="宋体" w:cs="宋体" w:eastAsia="宋体" w:hint="default"/>
        </w:rPr>
        <w:t>15%</w:t>
      </w:r>
      <w:r>
        <w:rPr/>
        <w:t>的税率计缴企业所得税。</w:t>
      </w:r>
    </w:p>
    <w:p>
      <w:pPr>
        <w:pStyle w:val="Heading3"/>
        <w:spacing w:line="168" w:lineRule="auto" w:before="58"/>
        <w:ind w:right="1683" w:firstLine="314"/>
        <w:jc w:val="left"/>
      </w:pPr>
      <w:r>
        <w:rPr>
          <w:rFonts w:ascii="Cambria Math" w:hAnsi="Cambria Math" w:cs="Cambria Math" w:eastAsia="Cambria Math" w:hint="default"/>
          <w:spacing w:val="-3"/>
        </w:rPr>
        <w:t>⑬</w:t>
      </w:r>
      <w:r>
        <w:rPr>
          <w:spacing w:val="-3"/>
        </w:rPr>
        <w:t>本公司的曾孙公司黔南州蓝盾武装护运有限责任公司依据《财政部、海关总署、国家</w:t>
      </w:r>
      <w:r>
        <w:rPr>
          <w:w w:val="100"/>
        </w:rPr>
        <w:t> </w:t>
      </w:r>
      <w:r>
        <w:rPr>
          <w:spacing w:val="-4"/>
        </w:rPr>
        <w:t>税务总局关于深入实施西部大开发战略有关税收政策问题的通知》财税</w:t>
      </w:r>
      <w:r>
        <w:rPr>
          <w:rFonts w:ascii="宋体" w:hAnsi="宋体" w:cs="宋体" w:eastAsia="宋体" w:hint="default"/>
          <w:spacing w:val="-4"/>
        </w:rPr>
        <w:t>[2011]58</w:t>
      </w:r>
      <w:r>
        <w:rPr>
          <w:spacing w:val="-4"/>
        </w:rPr>
        <w:t>号，符合西</w:t>
      </w:r>
    </w:p>
    <w:p>
      <w:pPr>
        <w:pStyle w:val="Heading3"/>
        <w:spacing w:line="137" w:lineRule="exact" w:before="144"/>
        <w:ind w:right="0"/>
        <w:jc w:val="both"/>
      </w:pPr>
      <w:r>
        <w:rPr/>
        <w:t>部大开发税收优惠政策条件，</w:t>
      </w:r>
      <w:r>
        <w:rPr>
          <w:rFonts w:ascii="宋体" w:hAnsi="宋体" w:cs="宋体" w:eastAsia="宋体" w:hint="default"/>
        </w:rPr>
        <w:t>2018</w:t>
      </w:r>
      <w:r>
        <w:rPr/>
        <w:t>年减按</w:t>
      </w:r>
      <w:r>
        <w:rPr>
          <w:rFonts w:ascii="宋体" w:hAnsi="宋体" w:cs="宋体" w:eastAsia="宋体" w:hint="default"/>
        </w:rPr>
        <w:t>15%</w:t>
      </w:r>
      <w:r>
        <w:rPr/>
        <w:t>的税率计缴企业所得税。</w:t>
      </w:r>
    </w:p>
    <w:p>
      <w:pPr>
        <w:pStyle w:val="Heading3"/>
        <w:spacing w:line="168" w:lineRule="auto" w:before="58"/>
        <w:ind w:right="1783" w:firstLine="314"/>
        <w:jc w:val="left"/>
      </w:pPr>
      <w:r>
        <w:rPr>
          <w:rFonts w:ascii="Cambria Math" w:hAnsi="Cambria Math" w:cs="Cambria Math" w:eastAsia="Cambria Math" w:hint="default"/>
          <w:spacing w:val="-2"/>
        </w:rPr>
        <w:t>⑭</w:t>
      </w:r>
      <w:r>
        <w:rPr>
          <w:spacing w:val="-2"/>
        </w:rPr>
        <w:t>本公司的孙公司深圳市信义科技有限公司被认定为高新技术企业，</w:t>
      </w:r>
      <w:r>
        <w:rPr>
          <w:rFonts w:ascii="宋体" w:hAnsi="宋体" w:cs="宋体" w:eastAsia="宋体" w:hint="default"/>
          <w:spacing w:val="-2"/>
        </w:rPr>
        <w:t>2017</w:t>
      </w:r>
      <w:r>
        <w:rPr>
          <w:spacing w:val="-2"/>
        </w:rPr>
        <w:t>年取得编号为</w:t>
      </w:r>
      <w:r>
        <w:rPr>
          <w:w w:val="100"/>
        </w:rPr>
        <w:t> </w:t>
      </w:r>
      <w:r>
        <w:rPr>
          <w:rFonts w:ascii="宋体" w:hAnsi="宋体" w:cs="宋体" w:eastAsia="宋体" w:hint="default"/>
        </w:rPr>
        <w:t>GR201744200349</w:t>
      </w:r>
      <w:r>
        <w:rPr/>
        <w:t>的《高新技术企业证书》</w:t>
      </w:r>
      <w:r>
        <w:rPr>
          <w:rFonts w:ascii="宋体" w:hAnsi="宋体" w:cs="宋体" w:eastAsia="宋体" w:hint="default"/>
        </w:rPr>
        <w:t>,</w:t>
      </w:r>
      <w:r>
        <w:rPr>
          <w:rFonts w:ascii="宋体" w:hAnsi="宋体" w:cs="宋体" w:eastAsia="宋体" w:hint="default"/>
          <w:spacing w:val="10"/>
        </w:rPr>
        <w:t> </w:t>
      </w:r>
      <w:r>
        <w:rPr/>
        <w:t>有效期为三年，</w:t>
      </w:r>
      <w:r>
        <w:rPr>
          <w:rFonts w:ascii="宋体" w:hAnsi="宋体" w:cs="宋体" w:eastAsia="宋体" w:hint="default"/>
        </w:rPr>
        <w:t>2018</w:t>
      </w:r>
      <w:r>
        <w:rPr/>
        <w:t>年按</w:t>
      </w:r>
      <w:r>
        <w:rPr>
          <w:rFonts w:ascii="宋体" w:hAnsi="宋体" w:cs="宋体" w:eastAsia="宋体" w:hint="default"/>
        </w:rPr>
        <w:t>15%</w:t>
      </w:r>
      <w:r>
        <w:rPr/>
        <w:t>的税率计缴企业所</w:t>
      </w:r>
    </w:p>
    <w:p>
      <w:pPr>
        <w:pStyle w:val="Heading3"/>
        <w:spacing w:line="137" w:lineRule="exact" w:before="142"/>
        <w:ind w:right="0"/>
        <w:jc w:val="both"/>
      </w:pPr>
      <w:r>
        <w:rPr/>
        <w:t>得税。</w:t>
      </w:r>
    </w:p>
    <w:p>
      <w:pPr>
        <w:pStyle w:val="Heading3"/>
        <w:spacing w:line="168" w:lineRule="auto" w:before="58"/>
        <w:ind w:right="1683" w:firstLine="419"/>
        <w:jc w:val="left"/>
      </w:pPr>
      <w:r>
        <w:rPr>
          <w:rFonts w:ascii="Cambria Math" w:hAnsi="Cambria Math" w:cs="Cambria Math" w:eastAsia="Cambria Math" w:hint="default"/>
        </w:rPr>
        <w:t>⑮</w:t>
      </w:r>
      <w:r>
        <w:rPr/>
        <w:t>本公司的子公司北京中科江南信息技术股份有限公司于</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22</w:t>
      </w:r>
      <w:r>
        <w:rPr/>
        <w:t>日经北京市科</w:t>
      </w:r>
      <w:r>
        <w:rPr>
          <w:w w:val="100"/>
        </w:rPr>
        <w:t> </w:t>
      </w:r>
      <w:r>
        <w:rPr>
          <w:spacing w:val="-4"/>
        </w:rPr>
        <w:t>学技术委员会批准复审认定为高新技术企业，取得证书编号为</w:t>
      </w:r>
      <w:r>
        <w:rPr>
          <w:rFonts w:ascii="宋体" w:hAnsi="宋体" w:cs="宋体" w:eastAsia="宋体" w:hint="default"/>
          <w:spacing w:val="-4"/>
        </w:rPr>
        <w:t>GR201611001901</w:t>
      </w:r>
      <w:r>
        <w:rPr>
          <w:spacing w:val="-4"/>
        </w:rPr>
        <w:t>的《高新技术</w:t>
      </w:r>
    </w:p>
    <w:p>
      <w:pPr>
        <w:pStyle w:val="Heading3"/>
        <w:spacing w:line="137" w:lineRule="exact" w:before="142"/>
        <w:ind w:right="0"/>
        <w:jc w:val="both"/>
      </w:pPr>
      <w:r>
        <w:rPr/>
        <w:t>企业证书》，有效期三年，</w:t>
      </w:r>
      <w:r>
        <w:rPr>
          <w:rFonts w:ascii="宋体" w:hAnsi="宋体" w:cs="宋体" w:eastAsia="宋体" w:hint="default"/>
        </w:rPr>
        <w:t>2018</w:t>
      </w:r>
      <w:r>
        <w:rPr/>
        <w:t>年享受按</w:t>
      </w:r>
      <w:r>
        <w:rPr>
          <w:rFonts w:ascii="宋体" w:hAnsi="宋体" w:cs="宋体" w:eastAsia="宋体" w:hint="default"/>
        </w:rPr>
        <w:t>15%</w:t>
      </w:r>
      <w:r>
        <w:rPr/>
        <w:t>税率征收企业所得税的税收优惠。</w:t>
      </w:r>
    </w:p>
    <w:p>
      <w:pPr>
        <w:pStyle w:val="Heading3"/>
        <w:spacing w:line="168" w:lineRule="auto" w:before="58"/>
        <w:ind w:right="1683" w:firstLine="314"/>
        <w:jc w:val="left"/>
      </w:pPr>
      <w:r>
        <w:rPr>
          <w:rFonts w:ascii="Cambria Math" w:hAnsi="Cambria Math" w:cs="Cambria Math" w:eastAsia="Cambria Math" w:hint="default"/>
          <w:spacing w:val="-2"/>
        </w:rPr>
        <w:t>⑯</w:t>
      </w:r>
      <w:r>
        <w:rPr>
          <w:spacing w:val="-2"/>
        </w:rPr>
        <w:t>本公司的孙子公司新余市保安服务有限公司申请高新技术企业，被江西省</w:t>
      </w:r>
      <w:r>
        <w:rPr>
          <w:rFonts w:ascii="宋体" w:hAnsi="宋体" w:cs="宋体" w:eastAsia="宋体" w:hint="default"/>
          <w:spacing w:val="-2"/>
        </w:rPr>
        <w:t>2018</w:t>
      </w:r>
      <w:r>
        <w:rPr>
          <w:spacing w:val="-2"/>
        </w:rPr>
        <w:t>年第二</w:t>
      </w:r>
      <w:r>
        <w:rPr>
          <w:w w:val="100"/>
        </w:rPr>
        <w:t> </w:t>
      </w:r>
      <w:r>
        <w:rPr/>
        <w:t>批认定为高新技术企业，</w:t>
      </w:r>
      <w:r>
        <w:rPr>
          <w:spacing w:val="-5"/>
        </w:rPr>
        <w:t> </w:t>
      </w:r>
      <w:r>
        <w:rPr>
          <w:rFonts w:ascii="宋体" w:hAnsi="宋体" w:cs="宋体" w:eastAsia="宋体" w:hint="default"/>
        </w:rPr>
        <w:t>2018</w:t>
      </w:r>
      <w:r>
        <w:rPr/>
        <w:t>年按</w:t>
      </w:r>
      <w:r>
        <w:rPr>
          <w:rFonts w:ascii="宋体" w:hAnsi="宋体" w:cs="宋体" w:eastAsia="宋体" w:hint="default"/>
        </w:rPr>
        <w:t>15%</w:t>
      </w:r>
      <w:r>
        <w:rPr/>
        <w:t>的税率计缴企业所得税。</w:t>
      </w:r>
    </w:p>
    <w:p>
      <w:pPr>
        <w:pStyle w:val="Heading3"/>
        <w:spacing w:line="690" w:lineRule="exact" w:before="0"/>
        <w:ind w:right="1683" w:firstLine="419"/>
        <w:jc w:val="left"/>
      </w:pPr>
      <w:r>
        <w:rPr>
          <w:rFonts w:ascii="Cambria Math" w:hAnsi="Cambria Math" w:cs="Cambria Math" w:eastAsia="Cambria Math" w:hint="default"/>
        </w:rPr>
        <w:t>⑰</w:t>
      </w:r>
      <w:r>
        <w:rPr/>
        <w:t>本公司的孙子公司南宁盈通金融电子科技有限公司被认定为高新技术企业，</w:t>
      </w:r>
      <w:r>
        <w:rPr>
          <w:rFonts w:ascii="宋体" w:hAnsi="宋体" w:cs="宋体" w:eastAsia="宋体" w:hint="default"/>
        </w:rPr>
        <w:t>2018</w:t>
      </w:r>
      <w:r>
        <w:rPr/>
        <w:t>年</w:t>
      </w:r>
    </w:p>
    <w:p>
      <w:pPr>
        <w:pStyle w:val="Heading3"/>
        <w:spacing w:line="137" w:lineRule="exact" w:before="0"/>
        <w:ind w:right="0"/>
        <w:jc w:val="both"/>
      </w:pPr>
      <w:r>
        <w:rPr>
          <w:spacing w:val="-3"/>
        </w:rPr>
        <w:t>取得编号为</w:t>
      </w:r>
      <w:r>
        <w:rPr>
          <w:rFonts w:ascii="宋体" w:hAnsi="宋体" w:cs="宋体" w:eastAsia="宋体" w:hint="default"/>
          <w:spacing w:val="-3"/>
        </w:rPr>
        <w:t>GR201845000391</w:t>
      </w:r>
      <w:r>
        <w:rPr>
          <w:spacing w:val="-3"/>
        </w:rPr>
        <w:t>号的《高新技术企业证书》</w:t>
      </w:r>
      <w:r>
        <w:rPr>
          <w:rFonts w:ascii="宋体" w:hAnsi="宋体" w:cs="宋体" w:eastAsia="宋体" w:hint="default"/>
          <w:spacing w:val="-3"/>
        </w:rPr>
        <w:t>,</w:t>
      </w:r>
      <w:r>
        <w:rPr>
          <w:spacing w:val="-3"/>
        </w:rPr>
        <w:t>有效期三年，</w:t>
      </w:r>
      <w:r>
        <w:rPr>
          <w:rFonts w:ascii="宋体" w:hAnsi="宋体" w:cs="宋体" w:eastAsia="宋体" w:hint="default"/>
          <w:spacing w:val="-3"/>
        </w:rPr>
        <w:t>2018</w:t>
      </w:r>
      <w:r>
        <w:rPr>
          <w:spacing w:val="-3"/>
        </w:rPr>
        <w:t>年按</w:t>
      </w:r>
      <w:r>
        <w:rPr>
          <w:rFonts w:ascii="宋体" w:hAnsi="宋体" w:cs="宋体" w:eastAsia="宋体" w:hint="default"/>
          <w:spacing w:val="-3"/>
        </w:rPr>
        <w:t>15%</w:t>
      </w:r>
      <w:r>
        <w:rPr>
          <w:spacing w:val="-3"/>
        </w:rPr>
        <w:t>的税率计</w:t>
      </w:r>
    </w:p>
    <w:p>
      <w:pPr>
        <w:pStyle w:val="Heading3"/>
        <w:spacing w:line="355" w:lineRule="auto" w:before="133"/>
        <w:ind w:left="558" w:right="1683" w:hanging="420"/>
        <w:jc w:val="left"/>
      </w:pPr>
      <w:r>
        <w:rPr/>
        <w:t>缴企业所得税。</w:t>
      </w:r>
      <w:r>
        <w:rPr>
          <w:spacing w:val="-103"/>
        </w:rPr>
        <w:t> </w:t>
      </w:r>
      <w:r>
        <w:rPr>
          <w:spacing w:val="-103"/>
        </w:rPr>
      </w:r>
      <w:r>
        <w:rPr/>
        <w:t>依据广西壮族自治区人民政府关于延续和修订促进广西北部湾经济区开放开发若干政</w:t>
      </w:r>
    </w:p>
    <w:p>
      <w:pPr>
        <w:pStyle w:val="Heading3"/>
        <w:spacing w:line="357" w:lineRule="auto" w:before="32"/>
        <w:ind w:right="1683"/>
        <w:jc w:val="both"/>
      </w:pPr>
      <w:r>
        <w:rPr/>
        <w:t>策规定的通知（桂政发</w:t>
      </w:r>
      <w:r>
        <w:rPr>
          <w:rFonts w:ascii="宋体" w:hAnsi="宋体" w:cs="宋体" w:eastAsia="宋体" w:hint="default"/>
        </w:rPr>
        <w:t>[2014]5</w:t>
      </w:r>
      <w:r>
        <w:rPr/>
        <w:t>号）“第六条 实行产业发展税收优惠。（二）新认定的减</w:t>
      </w:r>
      <w:r>
        <w:rPr>
          <w:spacing w:val="-92"/>
        </w:rPr>
        <w:t> </w:t>
      </w:r>
      <w:r>
        <w:rPr>
          <w:spacing w:val="-92"/>
        </w:rPr>
      </w:r>
      <w:r>
        <w:rPr/>
        <w:t>按</w:t>
      </w:r>
      <w:r>
        <w:rPr>
          <w:rFonts w:ascii="宋体" w:hAnsi="宋体" w:cs="宋体" w:eastAsia="宋体" w:hint="default"/>
        </w:rPr>
        <w:t>10%</w:t>
      </w:r>
      <w:r>
        <w:rPr/>
        <w:t>税率征收企业所得税的国家规划布局内重点软件企业和集成电路设计企业，新办的实</w:t>
      </w:r>
      <w:r>
        <w:rPr>
          <w:spacing w:val="-92"/>
        </w:rPr>
        <w:t> </w:t>
      </w:r>
      <w:r>
        <w:rPr>
          <w:spacing w:val="-92"/>
        </w:rPr>
      </w:r>
      <w:r>
        <w:rPr/>
        <w:t>行减按</w:t>
      </w:r>
      <w:r>
        <w:rPr>
          <w:rFonts w:ascii="宋体" w:hAnsi="宋体" w:cs="宋体" w:eastAsia="宋体" w:hint="default"/>
        </w:rPr>
        <w:t>15%</w:t>
      </w:r>
      <w:r>
        <w:rPr/>
        <w:t>税率征收企业所得税的高新技术企业、享受国家减半征收税收优惠政策的软件及</w:t>
      </w:r>
      <w:r>
        <w:rPr>
          <w:spacing w:val="-92"/>
        </w:rPr>
        <w:t> </w:t>
      </w:r>
      <w:r>
        <w:rPr>
          <w:spacing w:val="-92"/>
        </w:rPr>
      </w:r>
      <w:r>
        <w:rPr>
          <w:spacing w:val="-6"/>
          <w:w w:val="100"/>
        </w:rPr>
        <w:t>集成电路设计和生产企业，均免征属于地方分享部分的企业所得税”，</w:t>
      </w:r>
      <w:r>
        <w:rPr>
          <w:rFonts w:ascii="宋体" w:hAnsi="宋体" w:cs="宋体" w:eastAsia="宋体" w:hint="default"/>
          <w:spacing w:val="-6"/>
          <w:w w:val="100"/>
        </w:rPr>
        <w:t>2018</w:t>
      </w:r>
      <w:r>
        <w:rPr>
          <w:spacing w:val="-6"/>
          <w:w w:val="100"/>
        </w:rPr>
        <w:t>年所得税率为</w:t>
      </w:r>
      <w:r>
        <w:rPr>
          <w:rFonts w:ascii="宋体" w:hAnsi="宋体" w:cs="宋体" w:eastAsia="宋体" w:hint="default"/>
          <w:spacing w:val="-6"/>
          <w:w w:val="100"/>
        </w:rPr>
        <w:t>9%</w:t>
      </w:r>
      <w:r>
        <w:rPr>
          <w:spacing w:val="-6"/>
          <w:w w:val="100"/>
        </w:rPr>
        <w:t>。</w:t>
      </w:r>
    </w:p>
    <w:p>
      <w:pPr>
        <w:pStyle w:val="Heading3"/>
        <w:spacing w:line="576" w:lineRule="exact" w:before="0"/>
        <w:ind w:right="1683" w:firstLine="419"/>
        <w:jc w:val="left"/>
      </w:pPr>
      <w:r>
        <w:rPr>
          <w:rFonts w:ascii="Cambria Math" w:hAnsi="Cambria Math" w:cs="Cambria Math" w:eastAsia="Cambria Math" w:hint="default"/>
        </w:rPr>
        <w:t>⑱</w:t>
      </w:r>
      <w:r>
        <w:rPr/>
        <w:t>本公司的孙子公司辽宁辽通金融电子科技有限公司被认定为高新技术企业，</w:t>
      </w:r>
      <w:r>
        <w:rPr>
          <w:rFonts w:ascii="宋体" w:hAnsi="宋体" w:cs="宋体" w:eastAsia="宋体" w:hint="default"/>
        </w:rPr>
        <w:t>2018</w:t>
      </w:r>
      <w:r>
        <w:rPr/>
        <w:t>年</w:t>
      </w:r>
    </w:p>
    <w:p>
      <w:pPr>
        <w:pStyle w:val="Heading3"/>
        <w:spacing w:line="137" w:lineRule="exact" w:before="0"/>
        <w:ind w:right="0"/>
        <w:jc w:val="both"/>
      </w:pPr>
      <w:r>
        <w:rPr>
          <w:spacing w:val="-3"/>
        </w:rPr>
        <w:t>取得编号为</w:t>
      </w:r>
      <w:r>
        <w:rPr>
          <w:rFonts w:ascii="宋体" w:hAnsi="宋体" w:cs="宋体" w:eastAsia="宋体" w:hint="default"/>
          <w:spacing w:val="-3"/>
        </w:rPr>
        <w:t>GR201821000668</w:t>
      </w:r>
      <w:r>
        <w:rPr>
          <w:spacing w:val="-3"/>
        </w:rPr>
        <w:t>号的《高新技术企业证书》</w:t>
      </w:r>
      <w:r>
        <w:rPr>
          <w:rFonts w:ascii="宋体" w:hAnsi="宋体" w:cs="宋体" w:eastAsia="宋体" w:hint="default"/>
          <w:spacing w:val="-3"/>
        </w:rPr>
        <w:t>,</w:t>
      </w:r>
      <w:r>
        <w:rPr>
          <w:spacing w:val="-3"/>
        </w:rPr>
        <w:t>有效期三年，</w:t>
      </w:r>
      <w:r>
        <w:rPr>
          <w:rFonts w:ascii="宋体" w:hAnsi="宋体" w:cs="宋体" w:eastAsia="宋体" w:hint="default"/>
          <w:spacing w:val="-3"/>
        </w:rPr>
        <w:t>2018</w:t>
      </w:r>
      <w:r>
        <w:rPr>
          <w:spacing w:val="-3"/>
        </w:rPr>
        <w:t>年按</w:t>
      </w:r>
      <w:r>
        <w:rPr>
          <w:rFonts w:ascii="宋体" w:hAnsi="宋体" w:cs="宋体" w:eastAsia="宋体" w:hint="default"/>
          <w:spacing w:val="-3"/>
        </w:rPr>
        <w:t>15%</w:t>
      </w:r>
      <w:r>
        <w:rPr>
          <w:spacing w:val="-3"/>
        </w:rPr>
        <w:t>的税率计</w:t>
      </w:r>
    </w:p>
    <w:p>
      <w:pPr>
        <w:pStyle w:val="Heading3"/>
        <w:spacing w:line="137" w:lineRule="exact" w:before="135"/>
        <w:ind w:right="0"/>
        <w:jc w:val="both"/>
      </w:pPr>
      <w:r>
        <w:rPr/>
        <w:t>缴企业所得税。</w:t>
      </w:r>
    </w:p>
    <w:p>
      <w:pPr>
        <w:pStyle w:val="Heading3"/>
        <w:spacing w:line="168" w:lineRule="auto" w:before="58"/>
        <w:ind w:right="1683" w:firstLine="419"/>
        <w:jc w:val="left"/>
      </w:pPr>
      <w:r>
        <w:rPr>
          <w:rFonts w:ascii="Cambria Math" w:hAnsi="Cambria Math" w:cs="Cambria Math" w:eastAsia="Cambria Math" w:hint="default"/>
        </w:rPr>
        <w:t>⑲</w:t>
      </w:r>
      <w:r>
        <w:rPr/>
        <w:t>本公司的下属公司新余市景运科技有限公司、深圳市深安信信息技术有限公司、锡</w:t>
      </w:r>
      <w:r>
        <w:rPr>
          <w:w w:val="100"/>
        </w:rPr>
        <w:t> </w:t>
      </w:r>
      <w:r>
        <w:rPr>
          <w:spacing w:val="-4"/>
          <w:w w:val="100"/>
        </w:rPr>
        <w:t>林郭勒盟安逸物业服务有限责任公司及广东榕通科技服务有限公司根据《财政部国家税务总</w:t>
      </w:r>
    </w:p>
    <w:p>
      <w:pPr>
        <w:pStyle w:val="Heading3"/>
        <w:spacing w:line="357" w:lineRule="auto" w:before="142"/>
        <w:ind w:right="1786"/>
        <w:jc w:val="both"/>
      </w:pPr>
      <w:r>
        <w:rPr>
          <w:spacing w:val="-4"/>
        </w:rPr>
        <w:t>局关于进一步扩大小型微利企业所得税优惠政策范围的通知》财税〔</w:t>
      </w:r>
      <w:r>
        <w:rPr>
          <w:rFonts w:ascii="宋体" w:hAnsi="宋体" w:cs="宋体" w:eastAsia="宋体" w:hint="default"/>
          <w:spacing w:val="-4"/>
        </w:rPr>
        <w:t>2018</w:t>
      </w:r>
      <w:r>
        <w:rPr>
          <w:spacing w:val="-4"/>
        </w:rPr>
        <w:t>〕</w:t>
      </w:r>
      <w:r>
        <w:rPr>
          <w:rFonts w:ascii="宋体" w:hAnsi="宋体" w:cs="宋体" w:eastAsia="宋体" w:hint="default"/>
          <w:spacing w:val="-4"/>
        </w:rPr>
        <w:t>77</w:t>
      </w:r>
      <w:r>
        <w:rPr>
          <w:spacing w:val="-4"/>
        </w:rPr>
        <w:t>号，属于年应</w:t>
      </w:r>
      <w:r>
        <w:rPr>
          <w:spacing w:val="-27"/>
        </w:rPr>
        <w:t> </w:t>
      </w:r>
      <w:r>
        <w:rPr>
          <w:spacing w:val="-27"/>
        </w:rPr>
      </w:r>
      <w:r>
        <w:rPr>
          <w:spacing w:val="-6"/>
        </w:rPr>
        <w:t>纳税所得额低于</w:t>
      </w:r>
      <w:r>
        <w:rPr>
          <w:rFonts w:ascii="宋体" w:hAnsi="宋体" w:cs="宋体" w:eastAsia="宋体" w:hint="default"/>
          <w:spacing w:val="-6"/>
        </w:rPr>
        <w:t>100</w:t>
      </w:r>
      <w:r>
        <w:rPr>
          <w:spacing w:val="-6"/>
        </w:rPr>
        <w:t>万元（含</w:t>
      </w:r>
      <w:r>
        <w:rPr>
          <w:rFonts w:ascii="宋体" w:hAnsi="宋体" w:cs="宋体" w:eastAsia="宋体" w:hint="default"/>
          <w:spacing w:val="-6"/>
        </w:rPr>
        <w:t>100</w:t>
      </w:r>
      <w:r>
        <w:rPr>
          <w:spacing w:val="-6"/>
        </w:rPr>
        <w:t>万元）的小型微利企业，其所得减按</w:t>
      </w:r>
      <w:r>
        <w:rPr>
          <w:rFonts w:ascii="宋体" w:hAnsi="宋体" w:cs="宋体" w:eastAsia="宋体" w:hint="default"/>
          <w:spacing w:val="-6"/>
        </w:rPr>
        <w:t>50%</w:t>
      </w:r>
      <w:r>
        <w:rPr>
          <w:spacing w:val="-6"/>
        </w:rPr>
        <w:t>计入应纳税所得额，</w:t>
      </w:r>
      <w:r>
        <w:rPr>
          <w:spacing w:val="-34"/>
        </w:rPr>
        <w:t> </w:t>
      </w:r>
      <w:r>
        <w:rPr>
          <w:spacing w:val="-34"/>
        </w:rPr>
      </w:r>
      <w:r>
        <w:rPr/>
        <w:t>按</w:t>
      </w:r>
      <w:r>
        <w:rPr>
          <w:rFonts w:ascii="宋体" w:hAnsi="宋体" w:cs="宋体" w:eastAsia="宋体" w:hint="default"/>
        </w:rPr>
        <w:t>20%</w:t>
      </w:r>
      <w:r>
        <w:rPr/>
        <w:t>的税率缴纳企业所得税。</w:t>
      </w:r>
    </w:p>
    <w:p>
      <w:pPr>
        <w:spacing w:after="0" w:line="357" w:lineRule="auto"/>
        <w:jc w:val="both"/>
        <w:sectPr>
          <w:pgSz w:w="11910" w:h="16840"/>
          <w:pgMar w:header="733" w:footer="977" w:top="960" w:bottom="1160" w:left="1660" w:right="0"/>
        </w:sectPr>
      </w:pPr>
    </w:p>
    <w:p>
      <w:pPr>
        <w:spacing w:line="240" w:lineRule="auto" w:before="0"/>
        <w:rPr>
          <w:rFonts w:ascii="宋体" w:hAnsi="宋体" w:cs="宋体" w:eastAsia="宋体" w:hint="default"/>
          <w:sz w:val="20"/>
          <w:szCs w:val="20"/>
        </w:rPr>
      </w:pPr>
    </w:p>
    <w:p>
      <w:pPr>
        <w:pStyle w:val="Heading2"/>
        <w:spacing w:line="240" w:lineRule="auto" w:before="161"/>
        <w:ind w:left="138" w:right="1683"/>
        <w:jc w:val="left"/>
        <w:rPr>
          <w:b w:val="0"/>
          <w:bCs w:val="0"/>
        </w:rPr>
      </w:pPr>
      <w:r>
        <w:rPr/>
        <w:t>七、合并财务报表项目注释</w:t>
      </w:r>
      <w:r>
        <w:rPr>
          <w:b w:val="0"/>
          <w:bCs w:val="0"/>
        </w:rPr>
      </w:r>
    </w:p>
    <w:p>
      <w:pPr>
        <w:spacing w:line="240" w:lineRule="auto" w:before="7"/>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40"/>
          <w:pgMar w:header="733" w:footer="977" w:top="960" w:bottom="1160" w:left="1660" w:right="0"/>
        </w:sectPr>
      </w:pPr>
    </w:p>
    <w:p>
      <w:pPr>
        <w:pStyle w:val="Heading4"/>
        <w:spacing w:line="240" w:lineRule="auto" w:before="37"/>
        <w:ind w:left="138" w:right="0"/>
        <w:jc w:val="left"/>
        <w:rPr>
          <w:b w:val="0"/>
          <w:bCs w:val="0"/>
        </w:rPr>
      </w:pPr>
      <w:r>
        <w:rPr>
          <w:rFonts w:ascii="Times New Roman" w:hAnsi="Times New Roman" w:cs="Times New Roman" w:eastAsia="Times New Roman" w:hint="default"/>
          <w:w w:val="95"/>
        </w:rPr>
        <w:t>1</w:t>
      </w:r>
      <w:r>
        <w:rPr>
          <w:w w:val="95"/>
        </w:rPr>
        <w:t>、货币资金</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7"/>
        <w:rPr>
          <w:rFonts w:ascii="宋体" w:hAnsi="宋体" w:cs="宋体" w:eastAsia="宋体" w:hint="default"/>
          <w:b/>
          <w:bCs/>
          <w:sz w:val="14"/>
          <w:szCs w:val="14"/>
        </w:rPr>
      </w:pPr>
    </w:p>
    <w:p>
      <w:pPr>
        <w:pStyle w:val="BodyText"/>
        <w:spacing w:line="240" w:lineRule="auto"/>
        <w:ind w:left="138" w:right="0"/>
        <w:jc w:val="left"/>
      </w:pPr>
      <w:r>
        <w:rPr/>
        <w:t>单位：</w:t>
      </w:r>
      <w:r>
        <w:rPr>
          <w:spacing w:val="1"/>
        </w:rPr>
        <w:t> </w:t>
      </w:r>
      <w:r>
        <w:rPr/>
        <w:t>元</w:t>
      </w:r>
    </w:p>
    <w:p>
      <w:pPr>
        <w:spacing w:after="0" w:line="240" w:lineRule="auto"/>
        <w:jc w:val="left"/>
        <w:sectPr>
          <w:type w:val="continuous"/>
          <w:pgSz w:w="11910" w:h="16840"/>
          <w:pgMar w:top="1100" w:bottom="1160" w:left="1660" w:right="0"/>
          <w:cols w:num="2" w:equalWidth="0">
            <w:col w:w="1242" w:space="6262"/>
            <w:col w:w="2746"/>
          </w:cols>
        </w:sectPr>
      </w:pPr>
    </w:p>
    <w:p>
      <w:pPr>
        <w:spacing w:line="240" w:lineRule="auto" w:before="4"/>
        <w:rPr>
          <w:rFonts w:ascii="宋体" w:hAnsi="宋体" w:cs="宋体" w:eastAsia="宋体" w:hint="default"/>
          <w:sz w:val="11"/>
          <w:szCs w:val="11"/>
        </w:rPr>
      </w:pPr>
    </w:p>
    <w:tbl>
      <w:tblPr>
        <w:tblW w:w="0" w:type="auto"/>
        <w:jc w:val="left"/>
        <w:tblInd w:w="144" w:type="dxa"/>
        <w:tblLayout w:type="fixed"/>
        <w:tblCellMar>
          <w:top w:w="0" w:type="dxa"/>
          <w:left w:w="0" w:type="dxa"/>
          <w:bottom w:w="0" w:type="dxa"/>
          <w:right w:w="0" w:type="dxa"/>
        </w:tblCellMar>
        <w:tblLook w:val="01E0"/>
      </w:tblPr>
      <w:tblGrid>
        <w:gridCol w:w="3167"/>
        <w:gridCol w:w="3202"/>
        <w:gridCol w:w="3190"/>
      </w:tblGrid>
      <w:tr>
        <w:trPr>
          <w:trHeight w:val="36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6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5,579,516.05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3,403,471.34</w:t>
            </w:r>
          </w:p>
        </w:tc>
      </w:tr>
      <w:tr>
        <w:trPr>
          <w:trHeight w:val="36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4,228,489,595.17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3,697,784,219.77</w:t>
            </w:r>
          </w:p>
        </w:tc>
      </w:tr>
      <w:tr>
        <w:trPr>
          <w:trHeight w:val="36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15,719,362.11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161,153.52</w:t>
            </w:r>
          </w:p>
        </w:tc>
      </w:tr>
      <w:tr>
        <w:trPr>
          <w:trHeight w:val="36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4,249,788,473.33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3,701,348,844.63</w:t>
            </w:r>
          </w:p>
        </w:tc>
      </w:tr>
      <w:tr>
        <w:trPr>
          <w:trHeight w:val="36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90"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119,296,099.30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84,188,645.25</w:t>
            </w:r>
          </w:p>
        </w:tc>
      </w:tr>
    </w:tbl>
    <w:p>
      <w:pPr>
        <w:pStyle w:val="BodyText"/>
        <w:spacing w:line="217" w:lineRule="exact"/>
        <w:ind w:left="558" w:right="1683"/>
        <w:jc w:val="left"/>
        <w:rPr>
          <w:rFonts w:ascii="Times New Roman" w:hAnsi="Times New Roman" w:cs="Times New Roman" w:eastAsia="Times New Roman" w:hint="default"/>
        </w:rPr>
      </w:pPr>
      <w:r>
        <w:rPr/>
        <w:t>其中因抵押、质押或冻结等对使用有限制，以及放在境外且资金汇回受到限制的货币资金明细如下</w:t>
      </w:r>
      <w:r>
        <w:rPr>
          <w:rFonts w:ascii="Times New Roman" w:hAnsi="Times New Roman" w:cs="Times New Roman" w:eastAsia="Times New Roman" w:hint="default"/>
        </w:rPr>
        <w:t>:</w:t>
      </w:r>
    </w:p>
    <w:p>
      <w:pPr>
        <w:pStyle w:val="BodyText"/>
        <w:spacing w:line="240" w:lineRule="auto" w:before="101"/>
        <w:ind w:left="0" w:right="1791"/>
        <w:jc w:val="right"/>
      </w:pPr>
      <w:r>
        <w:rPr/>
        <w:t>单位：元</w:t>
      </w:r>
    </w:p>
    <w:p>
      <w:pPr>
        <w:spacing w:line="240" w:lineRule="auto" w:before="4"/>
        <w:rPr>
          <w:rFonts w:ascii="宋体" w:hAnsi="宋体" w:cs="宋体" w:eastAsia="宋体" w:hint="default"/>
          <w:sz w:val="11"/>
          <w:szCs w:val="11"/>
        </w:rPr>
      </w:pPr>
    </w:p>
    <w:tbl>
      <w:tblPr>
        <w:tblW w:w="0" w:type="auto"/>
        <w:jc w:val="left"/>
        <w:tblInd w:w="130" w:type="dxa"/>
        <w:tblLayout w:type="fixed"/>
        <w:tblCellMar>
          <w:top w:w="0" w:type="dxa"/>
          <w:left w:w="0" w:type="dxa"/>
          <w:bottom w:w="0" w:type="dxa"/>
          <w:right w:w="0" w:type="dxa"/>
        </w:tblCellMar>
        <w:tblLook w:val="01E0"/>
      </w:tblPr>
      <w:tblGrid>
        <w:gridCol w:w="3200"/>
        <w:gridCol w:w="3180"/>
        <w:gridCol w:w="3121"/>
      </w:tblGrid>
      <w:tr>
        <w:trPr>
          <w:trHeight w:val="367" w:hRule="exact"/>
        </w:trPr>
        <w:tc>
          <w:tcPr>
            <w:tcW w:w="32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3"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13" w:lineRule="exact"/>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03" w:hRule="exact"/>
        </w:trPr>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2"/>
              <w:jc w:val="right"/>
              <w:rPr>
                <w:rFonts w:ascii="Times New Roman" w:hAnsi="Times New Roman" w:cs="Times New Roman" w:eastAsia="Times New Roman" w:hint="default"/>
                <w:sz w:val="18"/>
                <w:szCs w:val="18"/>
              </w:rPr>
            </w:pPr>
            <w:r>
              <w:rPr>
                <w:rFonts w:ascii="Times New Roman"/>
                <w:spacing w:val="-1"/>
                <w:sz w:val="18"/>
              </w:rPr>
              <w:t>12,977,152.45</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2"/>
              <w:jc w:val="right"/>
              <w:rPr>
                <w:rFonts w:ascii="Times New Roman" w:hAnsi="Times New Roman" w:cs="Times New Roman" w:eastAsia="Times New Roman" w:hint="default"/>
                <w:sz w:val="18"/>
                <w:szCs w:val="18"/>
              </w:rPr>
            </w:pPr>
            <w:r>
              <w:rPr>
                <w:rFonts w:ascii="Times New Roman"/>
                <w:spacing w:val="-1"/>
                <w:sz w:val="18"/>
              </w:rPr>
              <w:t>141,153.52</w:t>
            </w:r>
          </w:p>
        </w:tc>
      </w:tr>
      <w:tr>
        <w:trPr>
          <w:trHeight w:val="384" w:hRule="exact"/>
        </w:trPr>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
              <w:jc w:val="right"/>
              <w:rPr>
                <w:rFonts w:ascii="Times New Roman" w:hAnsi="Times New Roman" w:cs="Times New Roman" w:eastAsia="Times New Roman" w:hint="default"/>
                <w:sz w:val="18"/>
                <w:szCs w:val="18"/>
              </w:rPr>
            </w:pPr>
            <w:r>
              <w:rPr>
                <w:rFonts w:ascii="Times New Roman"/>
                <w:spacing w:val="-1"/>
                <w:sz w:val="18"/>
              </w:rPr>
              <w:t>603,014.18</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386" w:hRule="exact"/>
        </w:trPr>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2" w:right="0"/>
              <w:jc w:val="left"/>
              <w:rPr>
                <w:rFonts w:ascii="宋体" w:hAnsi="宋体" w:cs="宋体" w:eastAsia="宋体" w:hint="default"/>
                <w:sz w:val="18"/>
                <w:szCs w:val="18"/>
              </w:rPr>
            </w:pPr>
            <w:r>
              <w:rPr>
                <w:rFonts w:ascii="宋体" w:hAnsi="宋体" w:cs="宋体" w:eastAsia="宋体" w:hint="default"/>
                <w:sz w:val="18"/>
                <w:szCs w:val="18"/>
              </w:rPr>
              <w:t>财政监管资金</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2"/>
              <w:jc w:val="right"/>
              <w:rPr>
                <w:rFonts w:ascii="Times New Roman" w:hAnsi="Times New Roman" w:cs="Times New Roman" w:eastAsia="Times New Roman" w:hint="default"/>
                <w:sz w:val="18"/>
                <w:szCs w:val="18"/>
              </w:rPr>
            </w:pPr>
            <w:r>
              <w:rPr>
                <w:rFonts w:ascii="Times New Roman"/>
                <w:spacing w:val="-1"/>
                <w:sz w:val="18"/>
              </w:rPr>
              <w:t>2,139,195.48</w:t>
            </w:r>
          </w:p>
        </w:tc>
        <w:tc>
          <w:tcPr>
            <w:tcW w:w="3121" w:type="dxa"/>
            <w:tcBorders>
              <w:top w:val="single" w:sz="6" w:space="0" w:color="000000"/>
              <w:left w:val="single" w:sz="6" w:space="0" w:color="000000"/>
              <w:bottom w:val="single" w:sz="6" w:space="0" w:color="000000"/>
              <w:right w:val="single" w:sz="6" w:space="0" w:color="000000"/>
            </w:tcBorders>
          </w:tcPr>
          <w:p>
            <w:pPr/>
          </w:p>
        </w:tc>
      </w:tr>
      <w:tr>
        <w:trPr>
          <w:trHeight w:val="386" w:hRule="exact"/>
        </w:trPr>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
              <w:jc w:val="right"/>
              <w:rPr>
                <w:rFonts w:ascii="Times New Roman" w:hAnsi="Times New Roman" w:cs="Times New Roman" w:eastAsia="Times New Roman" w:hint="default"/>
                <w:sz w:val="18"/>
                <w:szCs w:val="18"/>
              </w:rPr>
            </w:pPr>
            <w:r>
              <w:rPr>
                <w:rFonts w:ascii="Times New Roman"/>
                <w:spacing w:val="-1"/>
                <w:sz w:val="18"/>
              </w:rPr>
              <w:t>15,719,362.11</w:t>
            </w:r>
          </w:p>
        </w:tc>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
              <w:jc w:val="right"/>
              <w:rPr>
                <w:rFonts w:ascii="Times New Roman" w:hAnsi="Times New Roman" w:cs="Times New Roman" w:eastAsia="Times New Roman" w:hint="default"/>
                <w:sz w:val="18"/>
                <w:szCs w:val="18"/>
              </w:rPr>
            </w:pPr>
            <w:r>
              <w:rPr>
                <w:rFonts w:ascii="Times New Roman"/>
                <w:spacing w:val="-1"/>
                <w:sz w:val="18"/>
              </w:rPr>
              <w:t>161,153.52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160" w:left="1660" w:right="0"/>
        </w:sectPr>
      </w:pPr>
    </w:p>
    <w:p>
      <w:pPr>
        <w:pStyle w:val="Heading4"/>
        <w:spacing w:line="245" w:lineRule="exact"/>
        <w:ind w:left="138" w:right="0"/>
        <w:jc w:val="left"/>
        <w:rPr>
          <w:b w:val="0"/>
          <w:bCs w:val="0"/>
        </w:rPr>
      </w:pPr>
      <w:r>
        <w:rPr>
          <w:rFonts w:ascii="Times New Roman" w:hAnsi="Times New Roman" w:cs="Times New Roman" w:eastAsia="Times New Roman" w:hint="default"/>
          <w:w w:val="95"/>
        </w:rPr>
        <w:t>2</w:t>
      </w:r>
      <w:r>
        <w:rPr>
          <w:w w:val="95"/>
        </w:rPr>
        <w:t>、应收票据及应收账款</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pStyle w:val="BodyText"/>
        <w:spacing w:line="240" w:lineRule="auto" w:before="120"/>
        <w:ind w:left="138" w:right="0"/>
        <w:jc w:val="left"/>
      </w:pPr>
      <w:r>
        <w:rPr/>
        <w:t>单位：</w:t>
      </w:r>
      <w:r>
        <w:rPr>
          <w:spacing w:val="1"/>
        </w:rPr>
        <w:t> </w:t>
      </w:r>
      <w:r>
        <w:rPr/>
        <w:t>元</w:t>
      </w:r>
    </w:p>
    <w:p>
      <w:pPr>
        <w:spacing w:after="0" w:line="240" w:lineRule="auto"/>
        <w:jc w:val="left"/>
        <w:sectPr>
          <w:type w:val="continuous"/>
          <w:pgSz w:w="11910" w:h="16840"/>
          <w:pgMar w:top="1100" w:bottom="1160" w:left="1660" w:right="0"/>
          <w:cols w:num="2" w:equalWidth="0">
            <w:col w:w="2245" w:space="5259"/>
            <w:col w:w="2746"/>
          </w:cols>
        </w:sectPr>
      </w:pPr>
    </w:p>
    <w:p>
      <w:pPr>
        <w:spacing w:line="240" w:lineRule="auto" w:before="4"/>
        <w:rPr>
          <w:rFonts w:ascii="宋体" w:hAnsi="宋体" w:cs="宋体" w:eastAsia="宋体" w:hint="default"/>
          <w:sz w:val="11"/>
          <w:szCs w:val="11"/>
        </w:rPr>
      </w:pPr>
    </w:p>
    <w:tbl>
      <w:tblPr>
        <w:tblW w:w="0" w:type="auto"/>
        <w:jc w:val="left"/>
        <w:tblInd w:w="144" w:type="dxa"/>
        <w:tblLayout w:type="fixed"/>
        <w:tblCellMar>
          <w:top w:w="0" w:type="dxa"/>
          <w:left w:w="0" w:type="dxa"/>
          <w:bottom w:w="0" w:type="dxa"/>
          <w:right w:w="0" w:type="dxa"/>
        </w:tblCellMar>
        <w:tblLook w:val="01E0"/>
      </w:tblPr>
      <w:tblGrid>
        <w:gridCol w:w="3167"/>
        <w:gridCol w:w="3202"/>
        <w:gridCol w:w="3190"/>
      </w:tblGrid>
      <w:tr>
        <w:trPr>
          <w:trHeight w:val="36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6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41,882,197.77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12,628,058.00</w:t>
            </w:r>
          </w:p>
        </w:tc>
      </w:tr>
      <w:tr>
        <w:trPr>
          <w:trHeight w:val="36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1,311,545,965.04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800,262,574.88</w:t>
            </w:r>
          </w:p>
        </w:tc>
      </w:tr>
      <w:tr>
        <w:trPr>
          <w:trHeight w:val="36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1,353,428,162.81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812,890,632.88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160" w:left="1660" w:right="0"/>
        </w:sectPr>
      </w:pPr>
    </w:p>
    <w:p>
      <w:pPr>
        <w:pStyle w:val="Heading4"/>
        <w:spacing w:line="245" w:lineRule="exact"/>
        <w:ind w:left="138" w:right="-20"/>
        <w:jc w:val="left"/>
        <w:rPr>
          <w:b w:val="0"/>
          <w:bCs w:val="0"/>
        </w:rPr>
      </w:pPr>
      <w:r>
        <w:rPr/>
        <w:t>（</w:t>
      </w:r>
      <w:r>
        <w:rPr>
          <w:rFonts w:ascii="Times New Roman" w:hAnsi="Times New Roman" w:cs="Times New Roman" w:eastAsia="Times New Roman" w:hint="default"/>
        </w:rPr>
        <w:t>1</w:t>
      </w:r>
      <w:r>
        <w:rPr/>
        <w:t>）应收票据</w:t>
      </w:r>
      <w:r>
        <w:rPr>
          <w:b w:val="0"/>
          <w:bCs w:val="0"/>
        </w:rPr>
      </w:r>
    </w:p>
    <w:p>
      <w:pPr>
        <w:pStyle w:val="Heading5"/>
        <w:spacing w:line="240" w:lineRule="auto" w:before="111"/>
        <w:ind w:right="-20"/>
        <w:jc w:val="left"/>
        <w:rPr>
          <w:b w:val="0"/>
          <w:bCs w:val="0"/>
        </w:rPr>
      </w:pPr>
      <w:r>
        <w:rPr>
          <w:rFonts w:ascii="Times New Roman" w:hAnsi="Times New Roman" w:cs="Times New Roman" w:eastAsia="Times New Roman" w:hint="default"/>
        </w:rPr>
        <w:t>1)</w:t>
      </w:r>
      <w:r>
        <w:rPr/>
        <w:t>应收票据分类列示</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17"/>
          <w:szCs w:val="17"/>
        </w:rPr>
      </w:pPr>
    </w:p>
    <w:p>
      <w:pPr>
        <w:pStyle w:val="BodyText"/>
        <w:spacing w:line="240" w:lineRule="auto"/>
        <w:ind w:left="138" w:right="0"/>
        <w:jc w:val="left"/>
      </w:pPr>
      <w:r>
        <w:rPr/>
        <w:t>单位：</w:t>
      </w:r>
      <w:r>
        <w:rPr>
          <w:spacing w:val="1"/>
        </w:rPr>
        <w:t> </w:t>
      </w:r>
      <w:r>
        <w:rPr/>
        <w:t>元</w:t>
      </w:r>
    </w:p>
    <w:p>
      <w:pPr>
        <w:spacing w:after="0" w:line="240" w:lineRule="auto"/>
        <w:jc w:val="left"/>
        <w:sectPr>
          <w:type w:val="continuous"/>
          <w:pgSz w:w="11910" w:h="16840"/>
          <w:pgMar w:top="1100" w:bottom="1160" w:left="1660" w:right="0"/>
          <w:cols w:num="2" w:equalWidth="0">
            <w:col w:w="1734" w:space="5770"/>
            <w:col w:w="2746"/>
          </w:cols>
        </w:sectPr>
      </w:pPr>
    </w:p>
    <w:p>
      <w:pPr>
        <w:spacing w:line="240" w:lineRule="auto" w:before="4"/>
        <w:rPr>
          <w:rFonts w:ascii="宋体" w:hAnsi="宋体" w:cs="宋体" w:eastAsia="宋体" w:hint="default"/>
          <w:sz w:val="11"/>
          <w:szCs w:val="11"/>
        </w:rPr>
      </w:pPr>
    </w:p>
    <w:tbl>
      <w:tblPr>
        <w:tblW w:w="0" w:type="auto"/>
        <w:jc w:val="left"/>
        <w:tblInd w:w="144" w:type="dxa"/>
        <w:tblLayout w:type="fixed"/>
        <w:tblCellMar>
          <w:top w:w="0" w:type="dxa"/>
          <w:left w:w="0" w:type="dxa"/>
          <w:bottom w:w="0" w:type="dxa"/>
          <w:right w:w="0" w:type="dxa"/>
        </w:tblCellMar>
        <w:tblLook w:val="01E0"/>
      </w:tblPr>
      <w:tblGrid>
        <w:gridCol w:w="3167"/>
        <w:gridCol w:w="3202"/>
        <w:gridCol w:w="3190"/>
      </w:tblGrid>
      <w:tr>
        <w:trPr>
          <w:trHeight w:val="36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6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35,889,098.27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9,802,421.00</w:t>
            </w:r>
          </w:p>
        </w:tc>
      </w:tr>
      <w:tr>
        <w:trPr>
          <w:trHeight w:val="36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5,993,099.50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2,825,637.00</w:t>
            </w:r>
          </w:p>
        </w:tc>
      </w:tr>
      <w:tr>
        <w:trPr>
          <w:trHeight w:val="36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41,882,197.77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12,628,058.00</w:t>
            </w:r>
          </w:p>
        </w:tc>
      </w:tr>
    </w:tbl>
    <w:p>
      <w:pPr>
        <w:pStyle w:val="Heading5"/>
        <w:spacing w:line="217" w:lineRule="exact"/>
        <w:ind w:right="1683"/>
        <w:jc w:val="left"/>
        <w:rPr>
          <w:b w:val="0"/>
          <w:bCs w:val="0"/>
        </w:rPr>
      </w:pPr>
      <w:r>
        <w:rPr>
          <w:rFonts w:ascii="Times New Roman" w:hAnsi="Times New Roman" w:cs="Times New Roman" w:eastAsia="Times New Roman" w:hint="default"/>
        </w:rPr>
        <w:t>2)</w:t>
      </w:r>
      <w:r>
        <w:rPr/>
        <w:t>期末公司已质押的应收票据</w:t>
      </w:r>
      <w:r>
        <w:rPr>
          <w:b w:val="0"/>
          <w:bCs w:val="0"/>
        </w:rPr>
      </w:r>
    </w:p>
    <w:p>
      <w:pPr>
        <w:pStyle w:val="BodyText"/>
        <w:spacing w:line="240" w:lineRule="auto" w:before="101"/>
        <w:ind w:left="0" w:right="1791"/>
        <w:jc w:val="right"/>
      </w:pPr>
      <w:r>
        <w:rPr/>
        <w:t>单位：</w:t>
      </w:r>
      <w:r>
        <w:rPr>
          <w:spacing w:val="1"/>
        </w:rPr>
        <w:t> </w:t>
      </w:r>
      <w:r>
        <w:rPr/>
        <w:t>元</w:t>
      </w:r>
    </w:p>
    <w:p>
      <w:pPr>
        <w:spacing w:line="240" w:lineRule="auto" w:before="4"/>
        <w:rPr>
          <w:rFonts w:ascii="宋体" w:hAnsi="宋体" w:cs="宋体" w:eastAsia="宋体" w:hint="default"/>
          <w:sz w:val="11"/>
          <w:szCs w:val="11"/>
        </w:rPr>
      </w:pPr>
    </w:p>
    <w:tbl>
      <w:tblPr>
        <w:tblW w:w="0" w:type="auto"/>
        <w:jc w:val="left"/>
        <w:tblInd w:w="144" w:type="dxa"/>
        <w:tblLayout w:type="fixed"/>
        <w:tblCellMar>
          <w:top w:w="0" w:type="dxa"/>
          <w:left w:w="0" w:type="dxa"/>
          <w:bottom w:w="0" w:type="dxa"/>
          <w:right w:w="0" w:type="dxa"/>
        </w:tblCellMar>
        <w:tblLook w:val="01E0"/>
      </w:tblPr>
      <w:tblGrid>
        <w:gridCol w:w="4761"/>
        <w:gridCol w:w="4798"/>
      </w:tblGrid>
      <w:tr>
        <w:trPr>
          <w:trHeight w:val="360"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9"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360"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11,302,650.00</w:t>
            </w:r>
          </w:p>
        </w:tc>
      </w:tr>
      <w:tr>
        <w:trPr>
          <w:trHeight w:val="360"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11,302,650.00</w:t>
            </w:r>
          </w:p>
        </w:tc>
      </w:tr>
    </w:tbl>
    <w:p>
      <w:pPr>
        <w:pStyle w:val="Heading5"/>
        <w:spacing w:line="217" w:lineRule="exact"/>
        <w:ind w:right="1683"/>
        <w:jc w:val="left"/>
        <w:rPr>
          <w:b w:val="0"/>
          <w:bCs w:val="0"/>
        </w:rPr>
      </w:pPr>
      <w:r>
        <w:rPr>
          <w:rFonts w:ascii="Times New Roman" w:hAnsi="Times New Roman" w:cs="Times New Roman" w:eastAsia="Times New Roman" w:hint="default"/>
        </w:rPr>
        <w:t>3)</w:t>
      </w:r>
      <w:r>
        <w:rPr/>
        <w:t>期末公司已背书或贴现且在资产负债表日尚未到期的应收票据</w:t>
      </w:r>
      <w:r>
        <w:rPr>
          <w:b w:val="0"/>
          <w:bCs w:val="0"/>
        </w:rPr>
      </w:r>
    </w:p>
    <w:p>
      <w:pPr>
        <w:pStyle w:val="BodyText"/>
        <w:spacing w:line="240" w:lineRule="auto" w:before="101"/>
        <w:ind w:left="0" w:right="1791"/>
        <w:jc w:val="right"/>
      </w:pPr>
      <w:r>
        <w:rPr/>
        <w:t>单位：</w:t>
      </w:r>
      <w:r>
        <w:rPr>
          <w:spacing w:val="1"/>
        </w:rPr>
        <w:t> </w:t>
      </w:r>
      <w:r>
        <w:rPr/>
        <w:t>元</w:t>
      </w:r>
    </w:p>
    <w:p>
      <w:pPr>
        <w:spacing w:line="240" w:lineRule="auto" w:before="4"/>
        <w:rPr>
          <w:rFonts w:ascii="宋体" w:hAnsi="宋体" w:cs="宋体" w:eastAsia="宋体" w:hint="default"/>
          <w:sz w:val="11"/>
          <w:szCs w:val="11"/>
        </w:rPr>
      </w:pPr>
    </w:p>
    <w:tbl>
      <w:tblPr>
        <w:tblW w:w="0" w:type="auto"/>
        <w:jc w:val="left"/>
        <w:tblInd w:w="144" w:type="dxa"/>
        <w:tblLayout w:type="fixed"/>
        <w:tblCellMar>
          <w:top w:w="0" w:type="dxa"/>
          <w:left w:w="0" w:type="dxa"/>
          <w:bottom w:w="0" w:type="dxa"/>
          <w:right w:w="0" w:type="dxa"/>
        </w:tblCellMar>
        <w:tblLook w:val="01E0"/>
      </w:tblPr>
      <w:tblGrid>
        <w:gridCol w:w="3179"/>
        <w:gridCol w:w="3190"/>
        <w:gridCol w:w="3178"/>
      </w:tblGrid>
      <w:tr>
        <w:trPr>
          <w:trHeight w:val="36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16"/>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868"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778"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after="0" w:line="203" w:lineRule="exact"/>
        <w:jc w:val="left"/>
        <w:rPr>
          <w:rFonts w:ascii="宋体" w:hAnsi="宋体" w:cs="宋体" w:eastAsia="宋体" w:hint="default"/>
          <w:sz w:val="18"/>
          <w:szCs w:val="18"/>
        </w:rPr>
        <w:sectPr>
          <w:type w:val="continuous"/>
          <w:pgSz w:w="11910" w:h="16840"/>
          <w:pgMar w:top="1100" w:bottom="1160" w:left="166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tbl>
      <w:tblPr>
        <w:tblW w:w="0" w:type="auto"/>
        <w:jc w:val="left"/>
        <w:tblInd w:w="144" w:type="dxa"/>
        <w:tblLayout w:type="fixed"/>
        <w:tblCellMar>
          <w:top w:w="0" w:type="dxa"/>
          <w:left w:w="0" w:type="dxa"/>
          <w:bottom w:w="0" w:type="dxa"/>
          <w:right w:w="0" w:type="dxa"/>
        </w:tblCellMar>
        <w:tblLook w:val="01E0"/>
      </w:tblPr>
      <w:tblGrid>
        <w:gridCol w:w="3167"/>
        <w:gridCol w:w="3202"/>
        <w:gridCol w:w="3190"/>
      </w:tblGrid>
      <w:tr>
        <w:trPr>
          <w:trHeight w:val="36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46,194,552.90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3,050,000.00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49,244,552.90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33" w:footer="977" w:top="960" w:bottom="1160" w:left="1660" w:right="0"/>
        </w:sectPr>
      </w:pPr>
    </w:p>
    <w:p>
      <w:pPr>
        <w:pStyle w:val="Heading5"/>
        <w:spacing w:line="217" w:lineRule="exact"/>
        <w:ind w:right="-20"/>
        <w:jc w:val="left"/>
        <w:rPr>
          <w:b w:val="0"/>
          <w:bCs w:val="0"/>
        </w:rPr>
      </w:pPr>
      <w:r>
        <w:rPr>
          <w:rFonts w:ascii="Times New Roman" w:hAnsi="Times New Roman" w:cs="Times New Roman" w:eastAsia="Times New Roman" w:hint="default"/>
        </w:rPr>
        <w:t>4)</w:t>
      </w:r>
      <w:r>
        <w:rPr/>
        <w:t>期末公司因出票人未履约而将其转应收账款的票据</w:t>
      </w:r>
      <w:r>
        <w:rPr>
          <w:b w:val="0"/>
          <w:bCs w:val="0"/>
        </w:rPr>
      </w:r>
    </w:p>
    <w:p>
      <w:pPr>
        <w:pStyle w:val="BodyText"/>
        <w:spacing w:line="240" w:lineRule="auto" w:before="101"/>
        <w:ind w:left="318" w:right="-20"/>
        <w:jc w:val="left"/>
      </w:pPr>
      <w:r>
        <w:rPr/>
        <w:t>期末没有因出票人未履约而将票据转为应收账款的票据。</w:t>
      </w:r>
    </w:p>
    <w:p>
      <w:pPr>
        <w:pStyle w:val="Heading4"/>
        <w:spacing w:line="240" w:lineRule="auto" w:before="115"/>
        <w:ind w:left="138" w:right="-20"/>
        <w:jc w:val="left"/>
        <w:rPr>
          <w:b w:val="0"/>
          <w:bCs w:val="0"/>
        </w:rPr>
      </w:pPr>
      <w:r>
        <w:rPr/>
        <w:t>（</w:t>
      </w:r>
      <w:r>
        <w:rPr>
          <w:rFonts w:ascii="Times New Roman" w:hAnsi="Times New Roman" w:cs="Times New Roman" w:eastAsia="Times New Roman" w:hint="default"/>
        </w:rPr>
        <w:t>2</w:t>
      </w:r>
      <w:r>
        <w:rPr/>
        <w:t>）应收账款</w:t>
      </w:r>
      <w:r>
        <w:rPr>
          <w:b w:val="0"/>
          <w:bCs w:val="0"/>
        </w:rPr>
      </w:r>
    </w:p>
    <w:p>
      <w:pPr>
        <w:pStyle w:val="Heading5"/>
        <w:spacing w:line="240" w:lineRule="auto" w:before="111"/>
        <w:ind w:right="-20"/>
        <w:jc w:val="left"/>
        <w:rPr>
          <w:b w:val="0"/>
          <w:bCs w:val="0"/>
        </w:rPr>
      </w:pPr>
      <w:r>
        <w:rPr>
          <w:rFonts w:ascii="Times New Roman" w:hAnsi="Times New Roman" w:cs="Times New Roman" w:eastAsia="Times New Roman" w:hint="default"/>
        </w:rPr>
        <w:t>1)</w:t>
      </w:r>
      <w:r>
        <w:rPr/>
        <w:t>应收账款分类披露</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17"/>
          <w:szCs w:val="17"/>
        </w:rPr>
      </w:pPr>
    </w:p>
    <w:p>
      <w:pPr>
        <w:pStyle w:val="BodyText"/>
        <w:spacing w:line="240" w:lineRule="auto"/>
        <w:ind w:left="138" w:right="0"/>
        <w:jc w:val="left"/>
      </w:pPr>
      <w:r>
        <w:rPr/>
        <w:t>单位：</w:t>
      </w:r>
      <w:r>
        <w:rPr>
          <w:spacing w:val="1"/>
        </w:rPr>
        <w:t> </w:t>
      </w:r>
      <w:r>
        <w:rPr/>
        <w:t>元</w:t>
      </w:r>
    </w:p>
    <w:p>
      <w:pPr>
        <w:spacing w:after="0" w:line="240" w:lineRule="auto"/>
        <w:jc w:val="left"/>
        <w:sectPr>
          <w:type w:val="continuous"/>
          <w:pgSz w:w="11910" w:h="16840"/>
          <w:pgMar w:top="1100" w:bottom="1160" w:left="1660" w:right="0"/>
          <w:cols w:num="2" w:equalWidth="0">
            <w:col w:w="4819" w:space="2685"/>
            <w:col w:w="2746"/>
          </w:cols>
        </w:sectPr>
      </w:pPr>
    </w:p>
    <w:p>
      <w:pPr>
        <w:spacing w:line="240" w:lineRule="auto" w:before="1"/>
        <w:rPr>
          <w:rFonts w:ascii="宋体" w:hAnsi="宋体" w:cs="宋体" w:eastAsia="宋体" w:hint="default"/>
          <w:sz w:val="2"/>
          <w:szCs w:val="2"/>
        </w:rPr>
      </w:pPr>
    </w:p>
    <w:tbl>
      <w:tblPr>
        <w:tblW w:w="0" w:type="auto"/>
        <w:jc w:val="left"/>
        <w:tblInd w:w="144" w:type="dxa"/>
        <w:tblLayout w:type="fixed"/>
        <w:tblCellMar>
          <w:top w:w="0" w:type="dxa"/>
          <w:left w:w="0" w:type="dxa"/>
          <w:bottom w:w="0" w:type="dxa"/>
          <w:right w:w="0" w:type="dxa"/>
        </w:tblCellMar>
        <w:tblLook w:val="01E0"/>
      </w:tblPr>
      <w:tblGrid>
        <w:gridCol w:w="1396"/>
        <w:gridCol w:w="1004"/>
        <w:gridCol w:w="710"/>
        <w:gridCol w:w="850"/>
        <w:gridCol w:w="567"/>
        <w:gridCol w:w="994"/>
        <w:gridCol w:w="991"/>
        <w:gridCol w:w="711"/>
        <w:gridCol w:w="991"/>
        <w:gridCol w:w="566"/>
        <w:gridCol w:w="778"/>
      </w:tblGrid>
      <w:tr>
        <w:trPr>
          <w:trHeight w:val="240" w:hRule="exact"/>
        </w:trPr>
        <w:tc>
          <w:tcPr>
            <w:tcW w:w="1396" w:type="dxa"/>
            <w:vMerge w:val="restart"/>
            <w:tcBorders>
              <w:top w:val="single" w:sz="4" w:space="0" w:color="000000"/>
              <w:left w:val="single" w:sz="4" w:space="0" w:color="000000"/>
              <w:right w:val="single" w:sz="4" w:space="0" w:color="000000"/>
            </w:tcBorders>
            <w:shd w:val="clear" w:color="auto" w:fill="D2D2D2"/>
          </w:tcPr>
          <w:p>
            <w:pPr/>
          </w:p>
        </w:tc>
        <w:tc>
          <w:tcPr>
            <w:tcW w:w="412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27" w:hRule="exact"/>
        </w:trPr>
        <w:tc>
          <w:tcPr>
            <w:tcW w:w="1396" w:type="dxa"/>
            <w:vMerge/>
            <w:tcBorders>
              <w:left w:val="single" w:sz="4" w:space="0" w:color="000000"/>
              <w:bottom w:val="nil" w:sz="6" w:space="0" w:color="auto"/>
              <w:right w:val="single" w:sz="4" w:space="0" w:color="000000"/>
            </w:tcBorders>
            <w:shd w:val="clear" w:color="auto" w:fill="D2D2D2"/>
          </w:tcPr>
          <w:p>
            <w:pPr/>
          </w:p>
        </w:tc>
        <w:tc>
          <w:tcPr>
            <w:tcW w:w="17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10" w:lineRule="exact"/>
              <w:ind w:left="49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10" w:lineRule="exact"/>
              <w:ind w:left="34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94" w:type="dxa"/>
            <w:vMerge w:val="restart"/>
            <w:tcBorders>
              <w:top w:val="single" w:sz="4" w:space="0" w:color="000000"/>
              <w:left w:val="single" w:sz="4" w:space="0" w:color="000000"/>
              <w:right w:val="single" w:sz="4" w:space="0" w:color="000000"/>
            </w:tcBorders>
            <w:shd w:val="clear" w:color="auto" w:fill="D2D2D2"/>
          </w:tcPr>
          <w:p>
            <w:pPr/>
          </w:p>
        </w:tc>
        <w:tc>
          <w:tcPr>
            <w:tcW w:w="17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10" w:lineRule="exact"/>
              <w:ind w:left="4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5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10" w:lineRule="exact"/>
              <w:ind w:left="41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78" w:type="dxa"/>
            <w:vMerge w:val="restart"/>
            <w:tcBorders>
              <w:top w:val="single" w:sz="4" w:space="0" w:color="000000"/>
              <w:left w:val="single" w:sz="4" w:space="0" w:color="000000"/>
              <w:right w:val="single" w:sz="4" w:space="0" w:color="000000"/>
            </w:tcBorders>
            <w:shd w:val="clear" w:color="auto" w:fill="D2D2D2"/>
          </w:tcPr>
          <w:p>
            <w:pPr/>
          </w:p>
        </w:tc>
      </w:tr>
      <w:tr>
        <w:trPr>
          <w:trHeight w:val="120" w:hRule="exact"/>
        </w:trPr>
        <w:tc>
          <w:tcPr>
            <w:tcW w:w="1396" w:type="dxa"/>
            <w:vMerge w:val="restart"/>
            <w:tcBorders>
              <w:top w:val="nil" w:sz="6" w:space="0" w:color="auto"/>
              <w:left w:val="single" w:sz="4" w:space="0" w:color="000000"/>
              <w:right w:val="single" w:sz="4" w:space="0" w:color="000000"/>
            </w:tcBorders>
            <w:shd w:val="clear" w:color="auto" w:fill="D2D2D2"/>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714" w:type="dxa"/>
            <w:gridSpan w:val="2"/>
            <w:vMerge/>
            <w:tcBorders>
              <w:left w:val="single" w:sz="4" w:space="0" w:color="000000"/>
              <w:bottom w:val="single" w:sz="4" w:space="0" w:color="000000"/>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702" w:type="dxa"/>
            <w:gridSpan w:val="2"/>
            <w:vMerge/>
            <w:tcBorders>
              <w:left w:val="single" w:sz="4" w:space="0" w:color="000000"/>
              <w:bottom w:val="single" w:sz="4" w:space="0" w:color="000000"/>
              <w:right w:val="single" w:sz="4" w:space="0" w:color="000000"/>
            </w:tcBorders>
            <w:shd w:val="clear" w:color="auto" w:fill="D2D2D2"/>
          </w:tcPr>
          <w:p>
            <w:pPr/>
          </w:p>
        </w:tc>
        <w:tc>
          <w:tcPr>
            <w:tcW w:w="1558" w:type="dxa"/>
            <w:gridSpan w:val="2"/>
            <w:vMerge/>
            <w:tcBorders>
              <w:left w:val="single" w:sz="4" w:space="0" w:color="000000"/>
              <w:bottom w:val="single" w:sz="4" w:space="0" w:color="000000"/>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r>
      <w:tr>
        <w:trPr>
          <w:trHeight w:val="120" w:hRule="exact"/>
        </w:trPr>
        <w:tc>
          <w:tcPr>
            <w:tcW w:w="1396" w:type="dxa"/>
            <w:vMerge/>
            <w:tcBorders>
              <w:left w:val="single" w:sz="4" w:space="0" w:color="000000"/>
              <w:bottom w:val="single" w:sz="4" w:space="0" w:color="FFFFFF"/>
              <w:right w:val="single" w:sz="4" w:space="0" w:color="000000"/>
            </w:tcBorders>
            <w:shd w:val="clear" w:color="auto" w:fill="D2D2D2"/>
          </w:tcPr>
          <w:p>
            <w:pPr/>
          </w:p>
        </w:tc>
        <w:tc>
          <w:tcPr>
            <w:tcW w:w="100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10"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850"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05" w:lineRule="exact"/>
              <w:ind w:left="95"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05" w:lineRule="exact"/>
              <w:ind w:left="1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05" w:lineRule="exact"/>
              <w:ind w:left="96"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8" w:type="dxa"/>
            <w:vMerge w:val="restart"/>
            <w:tcBorders>
              <w:top w:val="nil" w:sz="6" w:space="0" w:color="auto"/>
              <w:left w:val="single" w:sz="22" w:space="0" w:color="D2D2D2"/>
              <w:right w:val="single" w:sz="10" w:space="0" w:color="D2D2D2"/>
            </w:tcBorders>
          </w:tcPr>
          <w:p>
            <w:pPr>
              <w:pStyle w:val="TableParagraph"/>
              <w:spacing w:line="205" w:lineRule="exact"/>
              <w:ind w:left="-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账面价值</w:t>
            </w:r>
            <w:r>
              <w:rPr>
                <w:rFonts w:ascii="宋体" w:hAnsi="宋体" w:cs="宋体" w:eastAsia="宋体" w:hint="default"/>
                <w:sz w:val="18"/>
                <w:szCs w:val="18"/>
              </w:rPr>
            </w:r>
          </w:p>
        </w:tc>
      </w:tr>
      <w:tr>
        <w:trPr>
          <w:trHeight w:val="116" w:hRule="exact"/>
        </w:trPr>
        <w:tc>
          <w:tcPr>
            <w:tcW w:w="1396" w:type="dxa"/>
            <w:vMerge w:val="restart"/>
            <w:tcBorders>
              <w:top w:val="single" w:sz="4" w:space="0" w:color="FFFFFF"/>
              <w:left w:val="single" w:sz="4" w:space="0" w:color="000000"/>
              <w:right w:val="single" w:sz="4" w:space="0" w:color="000000"/>
            </w:tcBorders>
            <w:shd w:val="clear" w:color="auto" w:fill="D2D2D2"/>
          </w:tcPr>
          <w:p>
            <w:pPr/>
          </w:p>
        </w:tc>
        <w:tc>
          <w:tcPr>
            <w:tcW w:w="1004" w:type="dxa"/>
            <w:vMerge w:val="restart"/>
            <w:tcBorders>
              <w:top w:val="single" w:sz="4" w:space="0" w:color="FFFFFF"/>
              <w:left w:val="single" w:sz="4" w:space="0" w:color="000000"/>
              <w:right w:val="single" w:sz="4" w:space="0" w:color="000000"/>
            </w:tcBorders>
            <w:shd w:val="clear" w:color="auto" w:fill="D2D2D2"/>
          </w:tcPr>
          <w:p>
            <w:pPr>
              <w:pStyle w:val="TableParagraph"/>
              <w:spacing w:line="203" w:lineRule="exact"/>
              <w:ind w:left="3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val="restart"/>
            <w:tcBorders>
              <w:top w:val="single" w:sz="4" w:space="0" w:color="FFFFFF"/>
              <w:left w:val="single" w:sz="4" w:space="0" w:color="000000"/>
              <w:right w:val="single" w:sz="4" w:space="0" w:color="000000"/>
            </w:tcBorders>
            <w:shd w:val="clear" w:color="auto" w:fill="D2D2D2"/>
          </w:tcPr>
          <w:p>
            <w:pPr>
              <w:pStyle w:val="TableParagraph"/>
              <w:spacing w:line="203" w:lineRule="exact"/>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vMerge w:val="restart"/>
            <w:tcBorders>
              <w:top w:val="single" w:sz="4" w:space="0" w:color="FFFFFF"/>
              <w:left w:val="single" w:sz="4" w:space="0" w:color="000000"/>
              <w:right w:val="single" w:sz="4" w:space="0" w:color="000000"/>
            </w:tcBorders>
            <w:shd w:val="clear" w:color="auto" w:fill="D2D2D2"/>
          </w:tcPr>
          <w:p>
            <w:pPr>
              <w:pStyle w:val="TableParagraph"/>
              <w:spacing w:line="203" w:lineRule="exact"/>
              <w:ind w:left="23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7" w:type="dxa"/>
            <w:vMerge/>
            <w:tcBorders>
              <w:left w:val="single" w:sz="4" w:space="0" w:color="000000"/>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08" w:lineRule="exact"/>
              <w:ind w:left="30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1" w:type="dxa"/>
            <w:vMerge w:val="restart"/>
            <w:tcBorders>
              <w:top w:val="nil" w:sz="6" w:space="0" w:color="auto"/>
              <w:left w:val="single" w:sz="4" w:space="0" w:color="000000"/>
              <w:right w:val="single" w:sz="4" w:space="0" w:color="000000"/>
            </w:tcBorders>
            <w:shd w:val="clear" w:color="auto" w:fill="D2D2D2"/>
          </w:tcPr>
          <w:p>
            <w:pPr>
              <w:pStyle w:val="TableParagraph"/>
              <w:spacing w:line="208" w:lineRule="exact"/>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08" w:lineRule="exact"/>
              <w:ind w:left="30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6" w:type="dxa"/>
            <w:vMerge/>
            <w:tcBorders>
              <w:left w:val="single" w:sz="4" w:space="0" w:color="000000"/>
              <w:right w:val="single" w:sz="4" w:space="0" w:color="000000"/>
            </w:tcBorders>
            <w:shd w:val="clear" w:color="auto" w:fill="D2D2D2"/>
          </w:tcPr>
          <w:p>
            <w:pPr/>
          </w:p>
        </w:tc>
        <w:tc>
          <w:tcPr>
            <w:tcW w:w="778" w:type="dxa"/>
            <w:vMerge/>
            <w:tcBorders>
              <w:left w:val="single" w:sz="22" w:space="0" w:color="D2D2D2"/>
              <w:bottom w:val="nil" w:sz="6" w:space="0" w:color="auto"/>
              <w:right w:val="single" w:sz="10" w:space="0" w:color="D2D2D2"/>
            </w:tcBorders>
          </w:tcPr>
          <w:p>
            <w:pPr/>
          </w:p>
        </w:tc>
      </w:tr>
      <w:tr>
        <w:trPr>
          <w:trHeight w:val="242" w:hRule="exact"/>
        </w:trPr>
        <w:tc>
          <w:tcPr>
            <w:tcW w:w="1396" w:type="dxa"/>
            <w:vMerge/>
            <w:tcBorders>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0"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10" w:right="0"/>
              <w:jc w:val="left"/>
              <w:rPr>
                <w:rFonts w:ascii="宋体" w:hAnsi="宋体" w:cs="宋体" w:eastAsia="宋体" w:hint="default"/>
                <w:sz w:val="18"/>
                <w:szCs w:val="18"/>
              </w:rPr>
            </w:pPr>
            <w:r>
              <w:rPr>
                <w:rFonts w:ascii="宋体" w:hAnsi="宋体" w:cs="宋体" w:eastAsia="宋体" w:hint="default"/>
                <w:sz w:val="18"/>
                <w:szCs w:val="18"/>
              </w:rPr>
              <w:t>单项金额重大并</w:t>
            </w:r>
          </w:p>
          <w:p>
            <w:pPr>
              <w:pStyle w:val="TableParagraph"/>
              <w:spacing w:line="240" w:lineRule="auto"/>
              <w:ind w:left="10" w:right="113"/>
              <w:jc w:val="left"/>
              <w:rPr>
                <w:rFonts w:ascii="宋体" w:hAnsi="宋体" w:cs="宋体" w:eastAsia="宋体" w:hint="default"/>
                <w:sz w:val="18"/>
                <w:szCs w:val="18"/>
              </w:rPr>
            </w:pPr>
            <w:r>
              <w:rPr>
                <w:rFonts w:ascii="宋体" w:hAnsi="宋体" w:cs="宋体" w:eastAsia="宋体" w:hint="default"/>
                <w:sz w:val="18"/>
                <w:szCs w:val="18"/>
              </w:rPr>
              <w:t>单独计提坏账准 备的应收账款</w:t>
            </w:r>
          </w:p>
        </w:tc>
        <w:tc>
          <w:tcPr>
            <w:tcW w:w="1004" w:type="dxa"/>
            <w:tcBorders>
              <w:top w:val="single" w:sz="47" w:space="0" w:color="D2D2D2"/>
              <w:left w:val="single" w:sz="13" w:space="0" w:color="D2D2D2"/>
              <w:bottom w:val="single" w:sz="4" w:space="0" w:color="000000"/>
              <w:right w:val="single" w:sz="4" w:space="0" w:color="000000"/>
            </w:tcBorders>
          </w:tcPr>
          <w:p>
            <w:pPr/>
          </w:p>
        </w:tc>
        <w:tc>
          <w:tcPr>
            <w:tcW w:w="710" w:type="dxa"/>
            <w:tcBorders>
              <w:top w:val="single" w:sz="47" w:space="0" w:color="D2D2D2"/>
              <w:left w:val="single" w:sz="4" w:space="0" w:color="000000"/>
              <w:bottom w:val="single" w:sz="4" w:space="0" w:color="000000"/>
              <w:right w:val="single" w:sz="4" w:space="0" w:color="000000"/>
            </w:tcBorders>
          </w:tcPr>
          <w:p>
            <w:pPr/>
          </w:p>
        </w:tc>
        <w:tc>
          <w:tcPr>
            <w:tcW w:w="850" w:type="dxa"/>
            <w:tcBorders>
              <w:top w:val="single" w:sz="47" w:space="0" w:color="D2D2D2"/>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7" w:space="0" w:color="D2D2D2"/>
              <w:left w:val="single" w:sz="4" w:space="0" w:color="000000"/>
              <w:bottom w:val="single" w:sz="4" w:space="0" w:color="000000"/>
              <w:right w:val="single" w:sz="4" w:space="0" w:color="000000"/>
            </w:tcBorders>
          </w:tcPr>
          <w:p>
            <w:pPr/>
          </w:p>
        </w:tc>
        <w:tc>
          <w:tcPr>
            <w:tcW w:w="711" w:type="dxa"/>
            <w:tcBorders>
              <w:top w:val="single" w:sz="47" w:space="0" w:color="D2D2D2"/>
              <w:left w:val="single" w:sz="4" w:space="0" w:color="000000"/>
              <w:bottom w:val="single" w:sz="4" w:space="0" w:color="000000"/>
              <w:right w:val="single" w:sz="4" w:space="0" w:color="000000"/>
            </w:tcBorders>
          </w:tcPr>
          <w:p>
            <w:pPr/>
          </w:p>
        </w:tc>
        <w:tc>
          <w:tcPr>
            <w:tcW w:w="991" w:type="dxa"/>
            <w:tcBorders>
              <w:top w:val="single" w:sz="47" w:space="0" w:color="D2D2D2"/>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10" w:right="0"/>
              <w:jc w:val="left"/>
              <w:rPr>
                <w:rFonts w:ascii="宋体" w:hAnsi="宋体" w:cs="宋体" w:eastAsia="宋体" w:hint="default"/>
                <w:sz w:val="18"/>
                <w:szCs w:val="18"/>
              </w:rPr>
            </w:pPr>
            <w:r>
              <w:rPr>
                <w:rFonts w:ascii="宋体" w:hAnsi="宋体" w:cs="宋体" w:eastAsia="宋体" w:hint="default"/>
                <w:sz w:val="18"/>
                <w:szCs w:val="18"/>
              </w:rPr>
              <w:t>按信用风险特征</w:t>
            </w:r>
          </w:p>
          <w:p>
            <w:pPr>
              <w:pStyle w:val="TableParagraph"/>
              <w:spacing w:line="240" w:lineRule="auto"/>
              <w:ind w:left="10" w:right="113"/>
              <w:jc w:val="left"/>
              <w:rPr>
                <w:rFonts w:ascii="宋体" w:hAnsi="宋体" w:cs="宋体" w:eastAsia="宋体" w:hint="default"/>
                <w:sz w:val="18"/>
                <w:szCs w:val="18"/>
              </w:rPr>
            </w:pPr>
            <w:r>
              <w:rPr>
                <w:rFonts w:ascii="宋体" w:hAnsi="宋体" w:cs="宋体" w:eastAsia="宋体" w:hint="default"/>
                <w:sz w:val="18"/>
                <w:szCs w:val="18"/>
              </w:rPr>
              <w:t>组合计提坏账准 备的应收账款</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07" w:lineRule="exact" w:before="139"/>
              <w:ind w:left="103" w:right="0"/>
              <w:jc w:val="left"/>
              <w:rPr>
                <w:rFonts w:ascii="Times New Roman" w:hAnsi="Times New Roman" w:cs="Times New Roman" w:eastAsia="Times New Roman" w:hint="default"/>
                <w:sz w:val="18"/>
                <w:szCs w:val="18"/>
              </w:rPr>
            </w:pPr>
            <w:r>
              <w:rPr>
                <w:rFonts w:ascii="Times New Roman"/>
                <w:sz w:val="18"/>
              </w:rPr>
              <w:t>1,372,396,4</w:t>
            </w:r>
          </w:p>
          <w:p>
            <w:pPr>
              <w:pStyle w:val="TableParagraph"/>
              <w:spacing w:line="207" w:lineRule="exact"/>
              <w:ind w:left="551" w:right="0"/>
              <w:jc w:val="left"/>
              <w:rPr>
                <w:rFonts w:ascii="Times New Roman" w:hAnsi="Times New Roman" w:cs="Times New Roman" w:eastAsia="Times New Roman" w:hint="default"/>
                <w:sz w:val="18"/>
                <w:szCs w:val="18"/>
              </w:rPr>
            </w:pPr>
            <w:r>
              <w:rPr>
                <w:rFonts w:ascii="Times New Roman"/>
                <w:sz w:val="18"/>
              </w:rPr>
              <w:t>92.73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98.26%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95" w:right="0"/>
              <w:jc w:val="left"/>
              <w:rPr>
                <w:rFonts w:ascii="Times New Roman" w:hAnsi="Times New Roman" w:cs="Times New Roman" w:eastAsia="Times New Roman" w:hint="default"/>
                <w:sz w:val="18"/>
                <w:szCs w:val="18"/>
              </w:rPr>
            </w:pPr>
            <w:r>
              <w:rPr>
                <w:rFonts w:ascii="Times New Roman"/>
                <w:sz w:val="18"/>
              </w:rPr>
              <w:t>77,338,45</w:t>
            </w:r>
          </w:p>
          <w:p>
            <w:pPr>
              <w:pStyle w:val="TableParagraph"/>
              <w:spacing w:line="207" w:lineRule="exact"/>
              <w:ind w:left="501" w:right="0"/>
              <w:jc w:val="left"/>
              <w:rPr>
                <w:rFonts w:ascii="Times New Roman" w:hAnsi="Times New Roman" w:cs="Times New Roman" w:eastAsia="Times New Roman" w:hint="default"/>
                <w:sz w:val="18"/>
                <w:szCs w:val="18"/>
              </w:rPr>
            </w:pPr>
            <w:r>
              <w:rPr>
                <w:rFonts w:ascii="Times New Roman"/>
                <w:sz w:val="18"/>
              </w:rPr>
              <w:t>7.78</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5.64%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103" w:right="0"/>
              <w:jc w:val="left"/>
              <w:rPr>
                <w:rFonts w:ascii="Times New Roman" w:hAnsi="Times New Roman" w:cs="Times New Roman" w:eastAsia="Times New Roman" w:hint="default"/>
                <w:sz w:val="18"/>
                <w:szCs w:val="18"/>
              </w:rPr>
            </w:pPr>
            <w:r>
              <w:rPr>
                <w:rFonts w:ascii="Times New Roman"/>
                <w:sz w:val="18"/>
              </w:rPr>
              <w:t>1,295,058,0</w:t>
            </w:r>
          </w:p>
          <w:p>
            <w:pPr>
              <w:pStyle w:val="TableParagraph"/>
              <w:spacing w:line="207" w:lineRule="exact"/>
              <w:ind w:left="551" w:right="0"/>
              <w:jc w:val="left"/>
              <w:rPr>
                <w:rFonts w:ascii="Times New Roman" w:hAnsi="Times New Roman" w:cs="Times New Roman" w:eastAsia="Times New Roman" w:hint="default"/>
                <w:sz w:val="18"/>
                <w:szCs w:val="18"/>
              </w:rPr>
            </w:pPr>
            <w:r>
              <w:rPr>
                <w:rFonts w:ascii="Times New Roman"/>
                <w:sz w:val="18"/>
              </w:rPr>
              <w:t>34.95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21"/>
              <w:jc w:val="right"/>
              <w:rPr>
                <w:rFonts w:ascii="Times New Roman" w:hAnsi="Times New Roman" w:cs="Times New Roman" w:eastAsia="Times New Roman" w:hint="default"/>
                <w:sz w:val="18"/>
                <w:szCs w:val="18"/>
              </w:rPr>
            </w:pPr>
            <w:r>
              <w:rPr>
                <w:rFonts w:ascii="Times New Roman"/>
                <w:spacing w:val="-1"/>
                <w:sz w:val="18"/>
              </w:rPr>
              <w:t>829,947,262</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.99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99.96%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21"/>
              <w:jc w:val="right"/>
              <w:rPr>
                <w:rFonts w:ascii="Times New Roman" w:hAnsi="Times New Roman" w:cs="Times New Roman" w:eastAsia="Times New Roman" w:hint="default"/>
                <w:sz w:val="18"/>
                <w:szCs w:val="18"/>
              </w:rPr>
            </w:pPr>
            <w:r>
              <w:rPr>
                <w:rFonts w:ascii="Times New Roman"/>
                <w:spacing w:val="-1"/>
                <w:sz w:val="18"/>
              </w:rPr>
              <w:t>29,684,688.</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11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3.58%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21" w:right="0"/>
              <w:jc w:val="left"/>
              <w:rPr>
                <w:rFonts w:ascii="Times New Roman" w:hAnsi="Times New Roman" w:cs="Times New Roman" w:eastAsia="Times New Roman" w:hint="default"/>
                <w:sz w:val="18"/>
                <w:szCs w:val="18"/>
              </w:rPr>
            </w:pPr>
            <w:r>
              <w:rPr>
                <w:rFonts w:ascii="Times New Roman"/>
                <w:sz w:val="18"/>
              </w:rPr>
              <w:t>800,262,5</w:t>
            </w:r>
          </w:p>
          <w:p>
            <w:pPr>
              <w:pStyle w:val="TableParagraph"/>
              <w:spacing w:line="207" w:lineRule="exact"/>
              <w:ind w:left="336" w:right="0"/>
              <w:jc w:val="left"/>
              <w:rPr>
                <w:rFonts w:ascii="Times New Roman" w:hAnsi="Times New Roman" w:cs="Times New Roman" w:eastAsia="Times New Roman" w:hint="default"/>
                <w:sz w:val="18"/>
                <w:szCs w:val="18"/>
              </w:rPr>
            </w:pPr>
            <w:r>
              <w:rPr>
                <w:rFonts w:ascii="Times New Roman"/>
                <w:sz w:val="18"/>
              </w:rPr>
              <w:t>74.88</w:t>
            </w:r>
          </w:p>
        </w:tc>
      </w:tr>
      <w:tr>
        <w:trPr>
          <w:trHeight w:val="710"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10" w:right="0"/>
              <w:jc w:val="left"/>
              <w:rPr>
                <w:rFonts w:ascii="宋体" w:hAnsi="宋体" w:cs="宋体" w:eastAsia="宋体" w:hint="default"/>
                <w:sz w:val="18"/>
                <w:szCs w:val="18"/>
              </w:rPr>
            </w:pPr>
            <w:r>
              <w:rPr>
                <w:rFonts w:ascii="宋体" w:hAnsi="宋体" w:cs="宋体" w:eastAsia="宋体" w:hint="default"/>
                <w:sz w:val="18"/>
                <w:szCs w:val="18"/>
              </w:rPr>
              <w:t>单项金额不重大</w:t>
            </w:r>
          </w:p>
          <w:p>
            <w:pPr>
              <w:pStyle w:val="TableParagraph"/>
              <w:spacing w:line="240" w:lineRule="auto"/>
              <w:ind w:left="10" w:right="113"/>
              <w:jc w:val="left"/>
              <w:rPr>
                <w:rFonts w:ascii="宋体" w:hAnsi="宋体" w:cs="宋体" w:eastAsia="宋体" w:hint="default"/>
                <w:sz w:val="18"/>
                <w:szCs w:val="18"/>
              </w:rPr>
            </w:pPr>
            <w:r>
              <w:rPr>
                <w:rFonts w:ascii="宋体" w:hAnsi="宋体" w:cs="宋体" w:eastAsia="宋体" w:hint="default"/>
                <w:sz w:val="18"/>
                <w:szCs w:val="18"/>
              </w:rPr>
              <w:t>但单独计提坏账 准备的应收账款</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07" w:lineRule="exact" w:before="139"/>
              <w:ind w:right="21"/>
              <w:jc w:val="right"/>
              <w:rPr>
                <w:rFonts w:ascii="Times New Roman" w:hAnsi="Times New Roman" w:cs="Times New Roman" w:eastAsia="Times New Roman" w:hint="default"/>
                <w:sz w:val="18"/>
                <w:szCs w:val="18"/>
              </w:rPr>
            </w:pPr>
            <w:r>
              <w:rPr>
                <w:rFonts w:ascii="Times New Roman"/>
                <w:spacing w:val="-1"/>
                <w:sz w:val="18"/>
              </w:rPr>
              <w:t>24,263,314.</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24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21"/>
              <w:jc w:val="right"/>
              <w:rPr>
                <w:rFonts w:ascii="Times New Roman" w:hAnsi="Times New Roman" w:cs="Times New Roman" w:eastAsia="Times New Roman" w:hint="default"/>
                <w:sz w:val="18"/>
                <w:szCs w:val="18"/>
              </w:rPr>
            </w:pPr>
            <w:r>
              <w:rPr>
                <w:rFonts w:ascii="Times New Roman"/>
                <w:spacing w:val="-1"/>
                <w:sz w:val="18"/>
              </w:rPr>
              <w:t>7,775,384.</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15</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21"/>
              <w:jc w:val="right"/>
              <w:rPr>
                <w:rFonts w:ascii="Times New Roman" w:hAnsi="Times New Roman" w:cs="Times New Roman" w:eastAsia="Times New Roman" w:hint="default"/>
                <w:sz w:val="18"/>
                <w:szCs w:val="18"/>
              </w:rPr>
            </w:pPr>
            <w:r>
              <w:rPr>
                <w:rFonts w:ascii="Times New Roman"/>
                <w:sz w:val="18"/>
              </w:rPr>
              <w:t>32.05</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23"/>
              <w:jc w:val="right"/>
              <w:rPr>
                <w:rFonts w:ascii="Times New Roman" w:hAnsi="Times New Roman" w:cs="Times New Roman" w:eastAsia="Times New Roman" w:hint="default"/>
                <w:sz w:val="18"/>
                <w:szCs w:val="18"/>
              </w:rPr>
            </w:pPr>
            <w:r>
              <w:rPr>
                <w:rFonts w:ascii="Times New Roman"/>
                <w:spacing w:val="-1"/>
                <w:sz w:val="18"/>
              </w:rPr>
              <w:t>16,487,930.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348,620.00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348,620.00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2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96" w:hRule="exact"/>
        </w:trPr>
        <w:tc>
          <w:tcPr>
            <w:tcW w:w="1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13" w:space="0" w:color="D2D2D2"/>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1,396,659,8</w:t>
            </w:r>
          </w:p>
          <w:p>
            <w:pPr>
              <w:pStyle w:val="TableParagraph"/>
              <w:spacing w:line="207" w:lineRule="exact"/>
              <w:ind w:left="551" w:right="0"/>
              <w:jc w:val="left"/>
              <w:rPr>
                <w:rFonts w:ascii="Times New Roman" w:hAnsi="Times New Roman" w:cs="Times New Roman" w:eastAsia="Times New Roman" w:hint="default"/>
                <w:sz w:val="18"/>
                <w:szCs w:val="18"/>
              </w:rPr>
            </w:pPr>
            <w:r>
              <w:rPr>
                <w:rFonts w:ascii="Times New Roman"/>
                <w:sz w:val="18"/>
              </w:rPr>
              <w:t>06.97</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98"/>
              <w:ind w:left="31" w:right="0"/>
              <w:jc w:val="left"/>
              <w:rPr>
                <w:rFonts w:ascii="Times New Roman" w:hAnsi="Times New Roman" w:cs="Times New Roman" w:eastAsia="Times New Roman" w:hint="default"/>
                <w:sz w:val="18"/>
                <w:szCs w:val="18"/>
              </w:rPr>
            </w:pPr>
            <w:r>
              <w:rPr>
                <w:rFonts w:ascii="Times New Roman"/>
                <w:sz w:val="18"/>
              </w:rPr>
              <w:t>100.00%</w:t>
            </w:r>
          </w:p>
        </w:tc>
        <w:tc>
          <w:tcPr>
            <w:tcW w:w="850" w:type="dxa"/>
            <w:vMerge w:val="restart"/>
            <w:tcBorders>
              <w:top w:val="single" w:sz="4" w:space="0" w:color="000000"/>
              <w:left w:val="single" w:sz="4" w:space="0" w:color="000000"/>
              <w:right w:val="single" w:sz="4" w:space="0" w:color="000000"/>
            </w:tcBorders>
          </w:tcPr>
          <w:p>
            <w:pPr>
              <w:pStyle w:val="TableParagraph"/>
              <w:spacing w:line="202" w:lineRule="exact"/>
              <w:ind w:left="95" w:right="0"/>
              <w:jc w:val="left"/>
              <w:rPr>
                <w:rFonts w:ascii="Times New Roman" w:hAnsi="Times New Roman" w:cs="Times New Roman" w:eastAsia="Times New Roman" w:hint="default"/>
                <w:sz w:val="18"/>
                <w:szCs w:val="18"/>
              </w:rPr>
            </w:pPr>
            <w:r>
              <w:rPr>
                <w:rFonts w:ascii="Times New Roman"/>
                <w:sz w:val="18"/>
              </w:rPr>
              <w:t>85,113,84</w:t>
            </w:r>
          </w:p>
          <w:p>
            <w:pPr>
              <w:pStyle w:val="TableParagraph"/>
              <w:spacing w:line="207" w:lineRule="exact"/>
              <w:ind w:left="501" w:right="0"/>
              <w:jc w:val="left"/>
              <w:rPr>
                <w:rFonts w:ascii="Times New Roman" w:hAnsi="Times New Roman" w:cs="Times New Roman" w:eastAsia="Times New Roman" w:hint="default"/>
                <w:sz w:val="18"/>
                <w:szCs w:val="18"/>
              </w:rPr>
            </w:pPr>
            <w:r>
              <w:rPr>
                <w:rFonts w:ascii="Times New Roman"/>
                <w:sz w:val="18"/>
              </w:rPr>
              <w:t>1.93</w:t>
            </w:r>
          </w:p>
        </w:tc>
        <w:tc>
          <w:tcPr>
            <w:tcW w:w="567" w:type="dxa"/>
            <w:vMerge w:val="restart"/>
            <w:tcBorders>
              <w:top w:val="single" w:sz="4" w:space="0" w:color="000000"/>
              <w:left w:val="single" w:sz="4" w:space="0" w:color="000000"/>
              <w:right w:val="single" w:sz="4" w:space="0" w:color="000000"/>
            </w:tcBorders>
          </w:tcPr>
          <w:p>
            <w:pPr>
              <w:pStyle w:val="TableParagraph"/>
              <w:spacing w:line="240" w:lineRule="auto" w:before="98"/>
              <w:ind w:left="67" w:right="0"/>
              <w:jc w:val="left"/>
              <w:rPr>
                <w:rFonts w:ascii="Times New Roman" w:hAnsi="Times New Roman" w:cs="Times New Roman" w:eastAsia="Times New Roman" w:hint="default"/>
                <w:sz w:val="18"/>
                <w:szCs w:val="18"/>
              </w:rPr>
            </w:pPr>
            <w:r>
              <w:rPr>
                <w:rFonts w:ascii="Times New Roman"/>
                <w:sz w:val="18"/>
              </w:rPr>
              <w:t>6.09%</w:t>
            </w:r>
          </w:p>
        </w:tc>
        <w:tc>
          <w:tcPr>
            <w:tcW w:w="994" w:type="dxa"/>
            <w:vMerge w:val="restart"/>
            <w:tcBorders>
              <w:top w:val="single" w:sz="4" w:space="0" w:color="000000"/>
              <w:left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1,311,545,9</w:t>
            </w:r>
          </w:p>
          <w:p>
            <w:pPr>
              <w:pStyle w:val="TableParagraph"/>
              <w:spacing w:line="207" w:lineRule="exact"/>
              <w:ind w:left="551" w:right="0"/>
              <w:jc w:val="left"/>
              <w:rPr>
                <w:rFonts w:ascii="Times New Roman" w:hAnsi="Times New Roman" w:cs="Times New Roman" w:eastAsia="Times New Roman" w:hint="default"/>
                <w:sz w:val="18"/>
                <w:szCs w:val="18"/>
              </w:rPr>
            </w:pPr>
            <w:r>
              <w:rPr>
                <w:rFonts w:ascii="Times New Roman"/>
                <w:sz w:val="18"/>
              </w:rPr>
              <w:t>65.04</w:t>
            </w:r>
          </w:p>
        </w:tc>
        <w:tc>
          <w:tcPr>
            <w:tcW w:w="991" w:type="dxa"/>
            <w:vMerge w:val="restart"/>
            <w:tcBorders>
              <w:top w:val="single" w:sz="4" w:space="0" w:color="000000"/>
              <w:left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830,295,882</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.99</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98"/>
              <w:ind w:left="31" w:right="0"/>
              <w:jc w:val="left"/>
              <w:rPr>
                <w:rFonts w:ascii="Times New Roman" w:hAnsi="Times New Roman" w:cs="Times New Roman" w:eastAsia="Times New Roman" w:hint="default"/>
                <w:sz w:val="18"/>
                <w:szCs w:val="18"/>
              </w:rPr>
            </w:pPr>
            <w:r>
              <w:rPr>
                <w:rFonts w:ascii="Times New Roman"/>
                <w:sz w:val="18"/>
              </w:rPr>
              <w:t>100.00%</w:t>
            </w:r>
          </w:p>
        </w:tc>
        <w:tc>
          <w:tcPr>
            <w:tcW w:w="991" w:type="dxa"/>
            <w:vMerge w:val="restart"/>
            <w:tcBorders>
              <w:top w:val="single" w:sz="4" w:space="0" w:color="000000"/>
              <w:left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30,033,308.</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11</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8"/>
              <w:ind w:left="67" w:right="0"/>
              <w:jc w:val="left"/>
              <w:rPr>
                <w:rFonts w:ascii="Times New Roman" w:hAnsi="Times New Roman" w:cs="Times New Roman" w:eastAsia="Times New Roman" w:hint="default"/>
                <w:sz w:val="18"/>
                <w:szCs w:val="18"/>
              </w:rPr>
            </w:pPr>
            <w:r>
              <w:rPr>
                <w:rFonts w:ascii="Times New Roman"/>
                <w:sz w:val="18"/>
              </w:rPr>
              <w:t>3.62%</w:t>
            </w:r>
          </w:p>
        </w:tc>
        <w:tc>
          <w:tcPr>
            <w:tcW w:w="778" w:type="dxa"/>
            <w:vMerge w:val="restart"/>
            <w:tcBorders>
              <w:top w:val="single" w:sz="4" w:space="0" w:color="000000"/>
              <w:left w:val="single" w:sz="4" w:space="0" w:color="000000"/>
              <w:right w:val="single" w:sz="4" w:space="0" w:color="000000"/>
            </w:tcBorders>
          </w:tcPr>
          <w:p>
            <w:pPr>
              <w:pStyle w:val="TableParagraph"/>
              <w:spacing w:line="202" w:lineRule="exact"/>
              <w:ind w:left="21" w:right="0"/>
              <w:jc w:val="left"/>
              <w:rPr>
                <w:rFonts w:ascii="Times New Roman" w:hAnsi="Times New Roman" w:cs="Times New Roman" w:eastAsia="Times New Roman" w:hint="default"/>
                <w:sz w:val="18"/>
                <w:szCs w:val="18"/>
              </w:rPr>
            </w:pPr>
            <w:r>
              <w:rPr>
                <w:rFonts w:ascii="Times New Roman"/>
                <w:sz w:val="18"/>
              </w:rPr>
              <w:t>800,262,5</w:t>
            </w:r>
          </w:p>
          <w:p>
            <w:pPr>
              <w:pStyle w:val="TableParagraph"/>
              <w:spacing w:line="207" w:lineRule="exact"/>
              <w:ind w:left="336" w:right="0"/>
              <w:jc w:val="left"/>
              <w:rPr>
                <w:rFonts w:ascii="Times New Roman" w:hAnsi="Times New Roman" w:cs="Times New Roman" w:eastAsia="Times New Roman" w:hint="default"/>
                <w:sz w:val="18"/>
                <w:szCs w:val="18"/>
              </w:rPr>
            </w:pPr>
            <w:r>
              <w:rPr>
                <w:rFonts w:ascii="Times New Roman"/>
                <w:sz w:val="18"/>
              </w:rPr>
              <w:t>74.88</w:t>
            </w:r>
          </w:p>
        </w:tc>
      </w:tr>
      <w:tr>
        <w:trPr>
          <w:trHeight w:val="329" w:hRule="exact"/>
        </w:trPr>
        <w:tc>
          <w:tcPr>
            <w:tcW w:w="139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5" w:lineRule="exact"/>
              <w:ind w:left="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04" w:type="dxa"/>
            <w:vMerge/>
            <w:tcBorders>
              <w:left w:val="single" w:sz="13" w:space="0" w:color="D2D2D2"/>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00" w:bottom="1160" w:left="1660" w:right="0"/>
        </w:sectPr>
      </w:pPr>
    </w:p>
    <w:p>
      <w:pPr>
        <w:pStyle w:val="BodyText"/>
        <w:spacing w:line="203" w:lineRule="exact"/>
        <w:ind w:left="138" w:right="-20"/>
        <w:jc w:val="left"/>
      </w:pPr>
      <w:r>
        <w:rPr/>
        <w:t>期末没有单项金额重大并单项计提坏账准备的应收账款。</w:t>
      </w:r>
    </w:p>
    <w:p>
      <w:pPr>
        <w:pStyle w:val="BodyText"/>
        <w:spacing w:line="240" w:lineRule="auto" w:before="115"/>
        <w:ind w:left="138" w:right="-20"/>
        <w:jc w:val="left"/>
      </w:pPr>
      <w:r>
        <w:rPr/>
        <w:t>组合中，按账龄分析法计提坏账准备的应收账款：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spacing w:line="240" w:lineRule="auto"/>
        <w:ind w:left="138" w:right="0"/>
        <w:jc w:val="left"/>
      </w:pPr>
      <w:r>
        <w:rPr/>
        <w:t>单位：</w:t>
      </w:r>
      <w:r>
        <w:rPr>
          <w:spacing w:val="1"/>
        </w:rPr>
        <w:t> </w:t>
      </w:r>
      <w:r>
        <w:rPr/>
        <w:t>元</w:t>
      </w:r>
    </w:p>
    <w:p>
      <w:pPr>
        <w:spacing w:after="0" w:line="240" w:lineRule="auto"/>
        <w:jc w:val="left"/>
        <w:sectPr>
          <w:type w:val="continuous"/>
          <w:pgSz w:w="11910" w:h="16840"/>
          <w:pgMar w:top="1100" w:bottom="1160" w:left="1660" w:right="0"/>
          <w:cols w:num="2" w:equalWidth="0">
            <w:col w:w="4639" w:space="2865"/>
            <w:col w:w="2746"/>
          </w:cols>
        </w:sectPr>
      </w:pPr>
    </w:p>
    <w:p>
      <w:pPr>
        <w:spacing w:line="240" w:lineRule="auto" w:before="2"/>
        <w:rPr>
          <w:rFonts w:ascii="宋体" w:hAnsi="宋体" w:cs="宋体" w:eastAsia="宋体" w:hint="default"/>
          <w:sz w:val="11"/>
          <w:szCs w:val="11"/>
        </w:rPr>
      </w:pPr>
    </w:p>
    <w:tbl>
      <w:tblPr>
        <w:tblW w:w="0" w:type="auto"/>
        <w:jc w:val="left"/>
        <w:tblInd w:w="144" w:type="dxa"/>
        <w:tblLayout w:type="fixed"/>
        <w:tblCellMar>
          <w:top w:w="0" w:type="dxa"/>
          <w:left w:w="0" w:type="dxa"/>
          <w:bottom w:w="0" w:type="dxa"/>
          <w:right w:w="0" w:type="dxa"/>
        </w:tblCellMar>
        <w:tblLook w:val="01E0"/>
      </w:tblPr>
      <w:tblGrid>
        <w:gridCol w:w="2370"/>
        <w:gridCol w:w="2403"/>
        <w:gridCol w:w="2393"/>
        <w:gridCol w:w="2393"/>
      </w:tblGrid>
      <w:tr>
        <w:trPr>
          <w:trHeight w:val="186" w:hRule="exact"/>
        </w:trPr>
        <w:tc>
          <w:tcPr>
            <w:tcW w:w="23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04" w:lineRule="exact"/>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74" w:hRule="exact"/>
        </w:trPr>
        <w:tc>
          <w:tcPr>
            <w:tcW w:w="2370" w:type="dxa"/>
            <w:vMerge w:val="restart"/>
            <w:tcBorders>
              <w:top w:val="nil" w:sz="6" w:space="0" w:color="auto"/>
              <w:left w:val="single" w:sz="4" w:space="0" w:color="000000"/>
              <w:right w:val="single" w:sz="4" w:space="0" w:color="000000"/>
            </w:tcBorders>
            <w:shd w:val="clear" w:color="auto" w:fill="D2D2D2"/>
          </w:tcPr>
          <w:p>
            <w:pPr>
              <w:pStyle w:val="TableParagraph"/>
              <w:spacing w:line="203" w:lineRule="exact"/>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9" w:type="dxa"/>
            <w:gridSpan w:val="3"/>
            <w:vMerge/>
            <w:tcBorders>
              <w:left w:val="single" w:sz="4" w:space="0" w:color="000000"/>
              <w:bottom w:val="single" w:sz="4" w:space="0" w:color="000000"/>
              <w:right w:val="single" w:sz="4" w:space="0" w:color="000000"/>
            </w:tcBorders>
            <w:shd w:val="clear" w:color="auto" w:fill="D2D2D2"/>
          </w:tcPr>
          <w:p>
            <w:pPr/>
          </w:p>
        </w:tc>
      </w:tr>
      <w:tr>
        <w:trPr>
          <w:trHeight w:val="174" w:hRule="exact"/>
        </w:trPr>
        <w:tc>
          <w:tcPr>
            <w:tcW w:w="2370" w:type="dxa"/>
            <w:vMerge/>
            <w:tcBorders>
              <w:left w:val="single" w:sz="4" w:space="0" w:color="000000"/>
              <w:bottom w:val="nil" w:sz="6" w:space="0" w:color="auto"/>
              <w:right w:val="single" w:sz="4" w:space="0" w:color="000000"/>
            </w:tcBorders>
            <w:shd w:val="clear" w:color="auto" w:fill="D2D2D2"/>
          </w:tcPr>
          <w:p>
            <w:pPr/>
          </w:p>
        </w:tc>
        <w:tc>
          <w:tcPr>
            <w:tcW w:w="2403" w:type="dxa"/>
            <w:vMerge w:val="restart"/>
            <w:tcBorders>
              <w:top w:val="single" w:sz="4" w:space="0" w:color="000000"/>
              <w:left w:val="single" w:sz="4" w:space="0" w:color="000000"/>
              <w:right w:val="single" w:sz="4" w:space="0" w:color="000000"/>
            </w:tcBorders>
            <w:shd w:val="clear" w:color="auto" w:fill="D2D2D2"/>
          </w:tcPr>
          <w:p>
            <w:pPr>
              <w:pStyle w:val="TableParagraph"/>
              <w:spacing w:line="204" w:lineRule="exact"/>
              <w:ind w:left="6"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187" w:hRule="exact"/>
        </w:trPr>
        <w:tc>
          <w:tcPr>
            <w:tcW w:w="2370"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60"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18"/>
                <w:szCs w:val="18"/>
              </w:rPr>
            </w:pPr>
            <w:r>
              <w:rPr>
                <w:rFonts w:ascii="Times New Roman"/>
                <w:spacing w:val="-1"/>
                <w:sz w:val="18"/>
              </w:rPr>
              <w:t>934,313,936.68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18"/>
                <w:szCs w:val="18"/>
              </w:rPr>
            </w:pPr>
            <w:r>
              <w:rPr>
                <w:rFonts w:ascii="Times New Roman"/>
                <w:spacing w:val="-1"/>
                <w:sz w:val="18"/>
              </w:rPr>
              <w:t>4,671,570.16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z w:val="18"/>
              </w:rPr>
              <w:t>0.50%</w:t>
            </w:r>
          </w:p>
        </w:tc>
      </w:tr>
      <w:tr>
        <w:trPr>
          <w:trHeight w:val="360"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18"/>
                <w:szCs w:val="18"/>
              </w:rPr>
            </w:pPr>
            <w:r>
              <w:rPr>
                <w:rFonts w:ascii="Times New Roman"/>
                <w:spacing w:val="-1"/>
                <w:sz w:val="18"/>
              </w:rPr>
              <w:t>228,562,012.81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18"/>
                <w:szCs w:val="18"/>
              </w:rPr>
            </w:pPr>
            <w:r>
              <w:rPr>
                <w:rFonts w:ascii="Times New Roman"/>
                <w:spacing w:val="-1"/>
                <w:sz w:val="18"/>
              </w:rPr>
              <w:t>11,428,100.64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z w:val="18"/>
              </w:rPr>
              <w:t>5.00%</w:t>
            </w:r>
          </w:p>
        </w:tc>
      </w:tr>
      <w:tr>
        <w:trPr>
          <w:trHeight w:val="360"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18"/>
                <w:szCs w:val="18"/>
              </w:rPr>
            </w:pPr>
            <w:r>
              <w:rPr>
                <w:rFonts w:ascii="Times New Roman"/>
                <w:spacing w:val="-1"/>
                <w:sz w:val="18"/>
              </w:rPr>
              <w:t>110,408,821.39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18"/>
                <w:szCs w:val="18"/>
              </w:rPr>
            </w:pPr>
            <w:r>
              <w:rPr>
                <w:rFonts w:ascii="Times New Roman"/>
                <w:spacing w:val="-1"/>
                <w:sz w:val="18"/>
              </w:rPr>
              <w:t>11,040,882.14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10.00%</w:t>
            </w:r>
          </w:p>
        </w:tc>
      </w:tr>
      <w:tr>
        <w:trPr>
          <w:trHeight w:val="360"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18"/>
                <w:szCs w:val="18"/>
              </w:rPr>
            </w:pPr>
            <w:r>
              <w:rPr>
                <w:rFonts w:ascii="Times New Roman"/>
                <w:spacing w:val="-1"/>
                <w:sz w:val="18"/>
              </w:rPr>
              <w:t>99,111,721.85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18"/>
                <w:szCs w:val="18"/>
              </w:rPr>
            </w:pPr>
            <w:r>
              <w:rPr>
                <w:rFonts w:ascii="Times New Roman"/>
                <w:spacing w:val="-1"/>
                <w:sz w:val="18"/>
              </w:rPr>
              <w:t>50,197,904.84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50.65%</w:t>
            </w:r>
          </w:p>
        </w:tc>
      </w:tr>
      <w:tr>
        <w:trPr>
          <w:trHeight w:val="360"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18"/>
                <w:szCs w:val="18"/>
              </w:rPr>
            </w:pPr>
            <w:r>
              <w:rPr>
                <w:rFonts w:ascii="Times New Roman"/>
                <w:spacing w:val="-1"/>
                <w:sz w:val="18"/>
              </w:rPr>
              <w:t>63,969,392.91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18"/>
                <w:szCs w:val="18"/>
              </w:rPr>
            </w:pPr>
            <w:r>
              <w:rPr>
                <w:rFonts w:ascii="Times New Roman"/>
                <w:spacing w:val="-1"/>
                <w:sz w:val="18"/>
              </w:rPr>
              <w:t>19,190,817.87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30.00%</w:t>
            </w:r>
          </w:p>
        </w:tc>
      </w:tr>
      <w:tr>
        <w:trPr>
          <w:trHeight w:val="361"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5"/>
              <w:ind w:right="22"/>
              <w:jc w:val="right"/>
              <w:rPr>
                <w:rFonts w:ascii="Times New Roman" w:hAnsi="Times New Roman" w:cs="Times New Roman" w:eastAsia="Times New Roman" w:hint="default"/>
                <w:sz w:val="18"/>
                <w:szCs w:val="18"/>
              </w:rPr>
            </w:pPr>
            <w:r>
              <w:rPr>
                <w:rFonts w:ascii="Times New Roman"/>
                <w:spacing w:val="-1"/>
                <w:sz w:val="18"/>
              </w:rPr>
              <w:t>8,270,483.96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2"/>
              <w:jc w:val="right"/>
              <w:rPr>
                <w:rFonts w:ascii="Times New Roman" w:hAnsi="Times New Roman" w:cs="Times New Roman" w:eastAsia="Times New Roman" w:hint="default"/>
                <w:sz w:val="18"/>
                <w:szCs w:val="18"/>
              </w:rPr>
            </w:pPr>
            <w:r>
              <w:rPr>
                <w:rFonts w:ascii="Times New Roman"/>
                <w:spacing w:val="-1"/>
                <w:sz w:val="18"/>
              </w:rPr>
              <w:t>4,135,241.99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18"/>
                <w:szCs w:val="18"/>
              </w:rPr>
            </w:pPr>
            <w:r>
              <w:rPr>
                <w:rFonts w:ascii="Times New Roman"/>
                <w:sz w:val="18"/>
              </w:rPr>
              <w:t>50.00%</w:t>
            </w:r>
          </w:p>
        </w:tc>
      </w:tr>
      <w:tr>
        <w:trPr>
          <w:trHeight w:val="360"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18"/>
                <w:szCs w:val="18"/>
              </w:rPr>
            </w:pPr>
            <w:r>
              <w:rPr>
                <w:rFonts w:ascii="Times New Roman"/>
                <w:spacing w:val="-1"/>
                <w:sz w:val="18"/>
              </w:rPr>
              <w:t>26,871,844.98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18"/>
                <w:szCs w:val="18"/>
              </w:rPr>
            </w:pPr>
            <w:r>
              <w:rPr>
                <w:rFonts w:ascii="Times New Roman"/>
                <w:spacing w:val="-1"/>
                <w:sz w:val="18"/>
              </w:rPr>
              <w:t>26,871,844.98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60"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18"/>
                <w:szCs w:val="18"/>
              </w:rPr>
            </w:pPr>
            <w:r>
              <w:rPr>
                <w:rFonts w:ascii="Times New Roman"/>
                <w:spacing w:val="-1"/>
                <w:sz w:val="18"/>
              </w:rPr>
              <w:t>1,372,396,492.73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18"/>
                <w:szCs w:val="18"/>
              </w:rPr>
            </w:pPr>
            <w:r>
              <w:rPr>
                <w:rFonts w:ascii="Times New Roman"/>
                <w:spacing w:val="-1"/>
                <w:sz w:val="18"/>
              </w:rPr>
              <w:t>77,338,457.78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z w:val="18"/>
              </w:rPr>
              <w:t>5.64%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160" w:left="1660" w:right="0"/>
        </w:sectPr>
      </w:pPr>
    </w:p>
    <w:p>
      <w:pPr>
        <w:pStyle w:val="BodyText"/>
        <w:spacing w:line="203" w:lineRule="exact"/>
        <w:ind w:left="138" w:right="-11"/>
        <w:jc w:val="left"/>
      </w:pPr>
      <w:r>
        <w:rPr/>
        <w:t>确定该组合依据的说明：详见本附注五、</w:t>
      </w:r>
      <w:r>
        <w:rPr>
          <w:rFonts w:ascii="宋体" w:hAnsi="宋体" w:cs="宋体" w:eastAsia="宋体" w:hint="default"/>
        </w:rPr>
        <w:t>11</w:t>
      </w:r>
      <w:r>
        <w:rPr/>
        <w:t>。</w:t>
      </w:r>
    </w:p>
    <w:p>
      <w:pPr>
        <w:pStyle w:val="Heading5"/>
        <w:spacing w:line="240" w:lineRule="auto" w:before="115"/>
        <w:ind w:right="-11"/>
        <w:jc w:val="left"/>
        <w:rPr>
          <w:b w:val="0"/>
          <w:bCs w:val="0"/>
        </w:rPr>
      </w:pPr>
      <w:r>
        <w:rPr>
          <w:rFonts w:ascii="Times New Roman" w:hAnsi="Times New Roman" w:cs="Times New Roman" w:eastAsia="Times New Roman" w:hint="default"/>
        </w:rPr>
        <w:t>2)</w:t>
      </w:r>
      <w:r>
        <w:rPr/>
        <w:t>本期计提、收回或转回的坏账准备情况</w:t>
      </w:r>
      <w:r>
        <w:rPr>
          <w:b w:val="0"/>
          <w:bCs w:val="0"/>
        </w:rPr>
      </w:r>
    </w:p>
    <w:p>
      <w:pPr>
        <w:pStyle w:val="BodyText"/>
        <w:spacing w:line="240" w:lineRule="auto" w:before="101"/>
        <w:ind w:left="318" w:right="-11"/>
        <w:jc w:val="left"/>
      </w:pPr>
      <w:r>
        <w:rPr/>
        <w:t>本期计提坏账准备金额</w:t>
      </w:r>
      <w:r>
        <w:rPr>
          <w:spacing w:val="-46"/>
        </w:rPr>
        <w:t> </w:t>
      </w:r>
      <w:r>
        <w:rPr>
          <w:rFonts w:ascii="Times New Roman" w:hAnsi="Times New Roman" w:cs="Times New Roman" w:eastAsia="Times New Roman" w:hint="default"/>
        </w:rPr>
        <w:t>33,147,648.77</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Heading5"/>
        <w:spacing w:line="240" w:lineRule="auto" w:before="101"/>
        <w:ind w:right="-11"/>
        <w:jc w:val="left"/>
        <w:rPr>
          <w:b w:val="0"/>
          <w:bCs w:val="0"/>
        </w:rPr>
      </w:pPr>
      <w:r>
        <w:rPr>
          <w:rFonts w:ascii="Times New Roman" w:hAnsi="Times New Roman" w:cs="Times New Roman" w:eastAsia="Times New Roman" w:hint="default"/>
        </w:rPr>
        <w:t>3)</w:t>
      </w:r>
      <w:r>
        <w:rPr/>
        <w:t>本期实际核销的应收账款情况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14"/>
          <w:szCs w:val="14"/>
        </w:rPr>
      </w:pPr>
    </w:p>
    <w:p>
      <w:pPr>
        <w:pStyle w:val="BodyText"/>
        <w:spacing w:line="240" w:lineRule="auto"/>
        <w:ind w:left="138" w:right="0"/>
        <w:jc w:val="left"/>
      </w:pPr>
      <w:r>
        <w:rPr/>
        <w:t>单位：</w:t>
      </w:r>
      <w:r>
        <w:rPr>
          <w:spacing w:val="1"/>
        </w:rPr>
        <w:t> </w:t>
      </w:r>
      <w:r>
        <w:rPr/>
        <w:t>元</w:t>
      </w:r>
    </w:p>
    <w:p>
      <w:pPr>
        <w:spacing w:after="0" w:line="240" w:lineRule="auto"/>
        <w:jc w:val="left"/>
        <w:sectPr>
          <w:type w:val="continuous"/>
          <w:pgSz w:w="11910" w:h="16840"/>
          <w:pgMar w:top="1100" w:bottom="1160" w:left="1660" w:right="0"/>
          <w:cols w:num="2" w:equalWidth="0">
            <w:col w:w="6713" w:space="791"/>
            <w:col w:w="2746"/>
          </w:cols>
        </w:sectPr>
      </w:pPr>
    </w:p>
    <w:p>
      <w:pPr>
        <w:spacing w:line="240" w:lineRule="auto" w:before="4"/>
        <w:rPr>
          <w:rFonts w:ascii="宋体" w:hAnsi="宋体" w:cs="宋体" w:eastAsia="宋体"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4784"/>
        <w:gridCol w:w="4786"/>
      </w:tblGrid>
      <w:tr>
        <w:trPr>
          <w:trHeight w:val="360"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360"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331,300.00</w:t>
            </w:r>
          </w:p>
        </w:tc>
      </w:tr>
    </w:tbl>
    <w:p>
      <w:pPr>
        <w:pStyle w:val="BodyText"/>
        <w:spacing w:line="203" w:lineRule="exact"/>
        <w:ind w:left="138" w:right="1683"/>
        <w:jc w:val="left"/>
      </w:pPr>
      <w:r>
        <w:rPr/>
        <w:t>其中重要的应收账款核销情况：</w:t>
      </w:r>
    </w:p>
    <w:p>
      <w:pPr>
        <w:spacing w:after="0" w:line="203" w:lineRule="exact"/>
        <w:jc w:val="left"/>
        <w:sectPr>
          <w:type w:val="continuous"/>
          <w:pgSz w:w="11910" w:h="16840"/>
          <w:pgMar w:top="1100" w:bottom="1160" w:left="1660" w:right="0"/>
        </w:sectPr>
      </w:pPr>
    </w:p>
    <w:p>
      <w:pPr>
        <w:spacing w:line="240" w:lineRule="auto" w:before="7"/>
        <w:rPr>
          <w:rFonts w:ascii="宋体" w:hAnsi="宋体" w:cs="宋体" w:eastAsia="宋体" w:hint="default"/>
          <w:sz w:val="29"/>
          <w:szCs w:val="29"/>
        </w:rPr>
      </w:pPr>
    </w:p>
    <w:p>
      <w:pPr>
        <w:pStyle w:val="BodyText"/>
        <w:spacing w:line="240" w:lineRule="auto" w:before="44"/>
        <w:ind w:left="0" w:right="1791"/>
        <w:jc w:val="right"/>
      </w:pPr>
      <w:r>
        <w:rPr/>
        <w:t>单位：</w:t>
      </w:r>
      <w:r>
        <w:rPr>
          <w:spacing w:val="1"/>
        </w:rPr>
        <w:t> </w:t>
      </w:r>
      <w:r>
        <w:rPr/>
        <w:t>元</w:t>
      </w:r>
    </w:p>
    <w:p>
      <w:pPr>
        <w:spacing w:line="240" w:lineRule="auto" w:before="4"/>
        <w:rPr>
          <w:rFonts w:ascii="宋体" w:hAnsi="宋体" w:cs="宋体" w:eastAsia="宋体"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0"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right="3"/>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right="1"/>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款项是否由关联交</w:t>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易产生</w:t>
            </w:r>
          </w:p>
        </w:tc>
      </w:tr>
      <w:tr>
        <w:trPr>
          <w:trHeight w:val="36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20"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18"/>
                <w:szCs w:val="18"/>
              </w:rPr>
            </w:pPr>
            <w:r>
              <w:rPr>
                <w:rFonts w:ascii="Times New Roman"/>
                <w:spacing w:val="-1"/>
                <w:sz w:val="18"/>
              </w:rPr>
              <w:t>311,300.00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公司内部审批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20"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18"/>
                <w:szCs w:val="18"/>
              </w:rPr>
            </w:pPr>
            <w:r>
              <w:rPr>
                <w:rFonts w:ascii="Times New Roman"/>
                <w:w w:val="95"/>
                <w:sz w:val="18"/>
              </w:rPr>
              <w:t>2,000.00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公司内部审批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20"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18"/>
                <w:szCs w:val="18"/>
              </w:rPr>
            </w:pPr>
            <w:r>
              <w:rPr>
                <w:rFonts w:ascii="Times New Roman"/>
                <w:spacing w:val="-1"/>
                <w:sz w:val="18"/>
              </w:rPr>
              <w:t>14,000.00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公司内部审批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7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20"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1594" w:type="dxa"/>
            <w:tcBorders>
              <w:top w:val="single" w:sz="4" w:space="0" w:color="000000"/>
              <w:left w:val="single" w:sz="4" w:space="0" w:color="000000"/>
              <w:bottom w:val="single" w:sz="12" w:space="0" w:color="D2D2D2"/>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18"/>
                <w:szCs w:val="18"/>
              </w:rPr>
            </w:pPr>
            <w:r>
              <w:rPr>
                <w:rFonts w:ascii="Times New Roman"/>
                <w:w w:val="95"/>
                <w:sz w:val="18"/>
              </w:rPr>
              <w:t>4,000.00</w:t>
            </w:r>
          </w:p>
        </w:tc>
        <w:tc>
          <w:tcPr>
            <w:tcW w:w="1596" w:type="dxa"/>
            <w:tcBorders>
              <w:top w:val="single" w:sz="4" w:space="0" w:color="000000"/>
              <w:left w:val="single" w:sz="4" w:space="0" w:color="000000"/>
              <w:bottom w:val="single" w:sz="12" w:space="0" w:color="D2D2D2"/>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12" w:space="0" w:color="D2D2D2"/>
              <w:right w:val="single" w:sz="4"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公司内部审批</w:t>
            </w:r>
          </w:p>
        </w:tc>
        <w:tc>
          <w:tcPr>
            <w:tcW w:w="1594" w:type="dxa"/>
            <w:tcBorders>
              <w:top w:val="single" w:sz="4" w:space="0" w:color="000000"/>
              <w:left w:val="single" w:sz="4" w:space="0" w:color="000000"/>
              <w:bottom w:val="single" w:sz="12" w:space="0" w:color="D2D2D2"/>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2" w:lineRule="exact"/>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2"/>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19"/>
              <w:jc w:val="right"/>
              <w:rPr>
                <w:rFonts w:ascii="Times New Roman" w:hAnsi="Times New Roman" w:cs="Times New Roman" w:eastAsia="Times New Roman" w:hint="default"/>
                <w:sz w:val="18"/>
                <w:szCs w:val="18"/>
              </w:rPr>
            </w:pPr>
            <w:r>
              <w:rPr>
                <w:rFonts w:ascii="Times New Roman"/>
                <w:spacing w:val="-1"/>
                <w:sz w:val="18"/>
              </w:rPr>
              <w:t>331,300.00</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2"/>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2"/>
              <w:jc w:val="center"/>
              <w:rPr>
                <w:rFonts w:ascii="Times New Roman" w:hAnsi="Times New Roman" w:cs="Times New Roman" w:eastAsia="Times New Roman" w:hint="default"/>
                <w:sz w:val="18"/>
                <w:szCs w:val="18"/>
              </w:rPr>
            </w:pPr>
            <w:r>
              <w:rPr>
                <w:rFonts w:ascii="Times New Roman"/>
                <w:sz w:val="18"/>
              </w:rPr>
              <w:t>--</w:t>
            </w:r>
          </w:p>
        </w:tc>
      </w:tr>
    </w:tbl>
    <w:p>
      <w:pPr>
        <w:pStyle w:val="Heading5"/>
        <w:spacing w:line="226" w:lineRule="exact"/>
        <w:ind w:right="1683"/>
        <w:jc w:val="left"/>
        <w:rPr>
          <w:b w:val="0"/>
          <w:bCs w:val="0"/>
        </w:rPr>
      </w:pPr>
      <w:r>
        <w:rPr>
          <w:rFonts w:ascii="Times New Roman" w:hAnsi="Times New Roman" w:cs="Times New Roman" w:eastAsia="Times New Roman" w:hint="default"/>
        </w:rPr>
        <w:t>4)</w:t>
      </w:r>
      <w:r>
        <w:rPr/>
        <w:t>按欠款方归集的期末余额前五名的应收账款情况</w:t>
      </w:r>
      <w:r>
        <w:rPr>
          <w:b w:val="0"/>
          <w:bCs w:val="0"/>
        </w:rPr>
      </w:r>
    </w:p>
    <w:p>
      <w:pPr>
        <w:pStyle w:val="BodyText"/>
        <w:spacing w:line="357" w:lineRule="auto" w:before="101"/>
        <w:ind w:left="138" w:right="1683" w:firstLine="424"/>
        <w:jc w:val="left"/>
        <w:rPr>
          <w:rFonts w:ascii="宋体" w:hAnsi="宋体" w:cs="宋体" w:eastAsia="宋体" w:hint="default"/>
        </w:rPr>
      </w:pPr>
      <w:r>
        <w:rPr>
          <w:spacing w:val="-1"/>
        </w:rPr>
        <w:t>按欠款方归集的期末余额前五名应收账款汇总金额</w:t>
      </w:r>
      <w:r>
        <w:rPr>
          <w:rFonts w:ascii="宋体" w:hAnsi="宋体" w:cs="宋体" w:eastAsia="宋体" w:hint="default"/>
          <w:spacing w:val="-1"/>
        </w:rPr>
        <w:t>456,454,176.04</w:t>
      </w:r>
      <w:r>
        <w:rPr>
          <w:spacing w:val="-1"/>
        </w:rPr>
        <w:t>元，占应收账款期末余额合计数的</w:t>
      </w:r>
      <w:r>
        <w:rPr/>
        <w:t> 比例</w:t>
      </w:r>
      <w:r>
        <w:rPr>
          <w:rFonts w:ascii="宋体" w:hAnsi="宋体" w:cs="宋体" w:eastAsia="宋体" w:hint="default"/>
        </w:rPr>
        <w:t>32.68%</w:t>
      </w:r>
      <w:r>
        <w:rPr/>
        <w:t>，相应计提的坏账准备期末余额汇总金额</w:t>
      </w:r>
      <w:r>
        <w:rPr>
          <w:rFonts w:ascii="宋体" w:hAnsi="宋体" w:cs="宋体" w:eastAsia="宋体" w:hint="default"/>
        </w:rPr>
        <w:t>27,469,301.92</w:t>
      </w:r>
      <w:r>
        <w:rPr/>
        <w:t>元。 </w:t>
      </w:r>
      <w:r>
        <w:rPr>
          <w:rFonts w:ascii="Times New Roman" w:hAnsi="Times New Roman" w:cs="Times New Roman" w:eastAsia="Times New Roman" w:hint="default"/>
          <w:b/>
          <w:bCs/>
        </w:rPr>
        <w:t>5)</w:t>
      </w:r>
      <w:r>
        <w:rPr>
          <w:rFonts w:ascii="宋体" w:hAnsi="宋体" w:cs="宋体" w:eastAsia="宋体" w:hint="default"/>
          <w:b/>
          <w:bCs/>
        </w:rPr>
        <w:t>因金融资产转移而终止确认的应收账款</w:t>
      </w:r>
      <w:r>
        <w:rPr>
          <w:rFonts w:ascii="宋体" w:hAnsi="宋体" w:cs="宋体" w:eastAsia="宋体" w:hint="default"/>
        </w:rPr>
      </w:r>
    </w:p>
    <w:p>
      <w:pPr>
        <w:pStyle w:val="BodyText"/>
        <w:spacing w:line="240" w:lineRule="auto" w:before="3"/>
        <w:ind w:left="318" w:right="1683"/>
        <w:jc w:val="left"/>
      </w:pPr>
      <w:r>
        <w:rPr/>
        <w:t>本期没有因金融资产转移而终止确认的应收账款。</w:t>
      </w:r>
    </w:p>
    <w:p>
      <w:pPr>
        <w:spacing w:line="338" w:lineRule="auto" w:before="115"/>
        <w:ind w:left="318" w:right="5588" w:hanging="18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转移应收账款且继续涉入形成的资产、负债金额</w:t>
      </w:r>
      <w:r>
        <w:rPr>
          <w:rFonts w:ascii="宋体" w:hAnsi="宋体" w:cs="宋体" w:eastAsia="宋体" w:hint="default"/>
          <w:b/>
          <w:bCs/>
          <w:w w:val="99"/>
          <w:sz w:val="18"/>
          <w:szCs w:val="18"/>
        </w:rPr>
        <w:t> </w:t>
      </w:r>
      <w:r>
        <w:rPr>
          <w:rFonts w:ascii="宋体" w:hAnsi="宋体" w:cs="宋体" w:eastAsia="宋体" w:hint="default"/>
          <w:sz w:val="18"/>
          <w:szCs w:val="18"/>
        </w:rPr>
        <w:t>本期没有转移应收账款且继续涉入形成的资产、负债。</w:t>
      </w:r>
    </w:p>
    <w:p>
      <w:pPr>
        <w:pStyle w:val="Heading4"/>
        <w:spacing w:line="240" w:lineRule="auto" w:before="41"/>
        <w:ind w:left="138" w:right="1683"/>
        <w:jc w:val="left"/>
        <w:rPr>
          <w:b w:val="0"/>
          <w:bCs w:val="0"/>
        </w:rPr>
      </w:pPr>
      <w:r>
        <w:rPr>
          <w:rFonts w:ascii="Times New Roman" w:hAnsi="Times New Roman" w:cs="Times New Roman" w:eastAsia="Times New Roman" w:hint="default"/>
        </w:rPr>
        <w:t>3</w:t>
      </w:r>
      <w:r>
        <w:rPr/>
        <w:t>、预付款项</w:t>
      </w:r>
      <w:r>
        <w:rPr>
          <w:b w:val="0"/>
          <w:bCs w:val="0"/>
        </w:rPr>
      </w:r>
    </w:p>
    <w:p>
      <w:pPr>
        <w:pStyle w:val="Heading4"/>
        <w:spacing w:line="240" w:lineRule="auto" w:before="112"/>
        <w:ind w:left="138" w:right="168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pStyle w:val="BodyText"/>
        <w:spacing w:line="240" w:lineRule="auto" w:before="111"/>
        <w:ind w:left="0" w:right="1791"/>
        <w:jc w:val="right"/>
      </w:pPr>
      <w:r>
        <w:rPr/>
        <w:t>单位：</w:t>
      </w:r>
      <w:r>
        <w:rPr>
          <w:spacing w:val="1"/>
        </w:rPr>
        <w:t> </w:t>
      </w:r>
      <w:r>
        <w:rPr/>
        <w:t>元</w:t>
      </w:r>
    </w:p>
    <w:p>
      <w:pPr>
        <w:spacing w:line="240" w:lineRule="auto" w:before="4"/>
        <w:rPr>
          <w:rFonts w:ascii="宋体" w:hAnsi="宋体" w:cs="宋体" w:eastAsia="宋体" w:hint="default"/>
          <w:sz w:val="11"/>
          <w:szCs w:val="11"/>
        </w:rPr>
      </w:pPr>
    </w:p>
    <w:tbl>
      <w:tblPr>
        <w:tblW w:w="0" w:type="auto"/>
        <w:jc w:val="left"/>
        <w:tblInd w:w="144" w:type="dxa"/>
        <w:tblLayout w:type="fixed"/>
        <w:tblCellMar>
          <w:top w:w="0" w:type="dxa"/>
          <w:left w:w="0" w:type="dxa"/>
          <w:bottom w:w="0" w:type="dxa"/>
          <w:right w:w="0" w:type="dxa"/>
        </w:tblCellMar>
        <w:tblLook w:val="01E0"/>
      </w:tblPr>
      <w:tblGrid>
        <w:gridCol w:w="1890"/>
        <w:gridCol w:w="1928"/>
        <w:gridCol w:w="1913"/>
        <w:gridCol w:w="1916"/>
        <w:gridCol w:w="1915"/>
      </w:tblGrid>
      <w:tr>
        <w:trPr>
          <w:trHeight w:val="185" w:hRule="exact"/>
        </w:trPr>
        <w:tc>
          <w:tcPr>
            <w:tcW w:w="18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03" w:lineRule="exact"/>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71" w:hRule="exact"/>
        </w:trPr>
        <w:tc>
          <w:tcPr>
            <w:tcW w:w="1890" w:type="dxa"/>
            <w:vMerge w:val="restart"/>
            <w:tcBorders>
              <w:top w:val="nil" w:sz="6" w:space="0" w:color="auto"/>
              <w:left w:val="single" w:sz="4" w:space="0" w:color="000000"/>
              <w:right w:val="single" w:sz="4" w:space="0" w:color="000000"/>
            </w:tcBorders>
            <w:shd w:val="clear" w:color="auto" w:fill="D2D2D2"/>
          </w:tcPr>
          <w:p>
            <w:pPr>
              <w:pStyle w:val="TableParagraph"/>
              <w:spacing w:line="203" w:lineRule="exact"/>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180" w:hRule="exact"/>
        </w:trPr>
        <w:tc>
          <w:tcPr>
            <w:tcW w:w="1890"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08" w:lineRule="exact"/>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185" w:hRule="exact"/>
        </w:trPr>
        <w:tc>
          <w:tcPr>
            <w:tcW w:w="18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360" w:hRule="exact"/>
        </w:trPr>
        <w:tc>
          <w:tcPr>
            <w:tcW w:w="1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64,506,137.40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8"/>
              <w:jc w:val="right"/>
              <w:rPr>
                <w:rFonts w:ascii="Times New Roman" w:hAnsi="Times New Roman" w:cs="Times New Roman" w:eastAsia="Times New Roman" w:hint="default"/>
                <w:sz w:val="18"/>
                <w:szCs w:val="18"/>
              </w:rPr>
            </w:pPr>
            <w:r>
              <w:rPr>
                <w:rFonts w:ascii="Times New Roman"/>
                <w:sz w:val="18"/>
              </w:rPr>
              <w:t>94.15%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14,171,380.96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8"/>
              <w:jc w:val="right"/>
              <w:rPr>
                <w:rFonts w:ascii="Times New Roman" w:hAnsi="Times New Roman" w:cs="Times New Roman" w:eastAsia="Times New Roman" w:hint="default"/>
                <w:sz w:val="18"/>
                <w:szCs w:val="18"/>
              </w:rPr>
            </w:pPr>
            <w:r>
              <w:rPr>
                <w:rFonts w:ascii="Times New Roman"/>
                <w:sz w:val="18"/>
              </w:rPr>
              <w:t>84.51%</w:t>
            </w:r>
          </w:p>
        </w:tc>
      </w:tr>
      <w:tr>
        <w:trPr>
          <w:trHeight w:val="360" w:hRule="exact"/>
        </w:trPr>
        <w:tc>
          <w:tcPr>
            <w:tcW w:w="1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3,145,003.62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z w:val="18"/>
              </w:rPr>
              <w:t>4.59%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1,705,617.90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8"/>
              <w:jc w:val="right"/>
              <w:rPr>
                <w:rFonts w:ascii="Times New Roman" w:hAnsi="Times New Roman" w:cs="Times New Roman" w:eastAsia="Times New Roman" w:hint="default"/>
                <w:sz w:val="18"/>
                <w:szCs w:val="18"/>
              </w:rPr>
            </w:pPr>
            <w:r>
              <w:rPr>
                <w:rFonts w:ascii="Times New Roman"/>
                <w:sz w:val="18"/>
              </w:rPr>
              <w:t>10.17%</w:t>
            </w:r>
          </w:p>
        </w:tc>
      </w:tr>
      <w:tr>
        <w:trPr>
          <w:trHeight w:val="360" w:hRule="exact"/>
        </w:trPr>
        <w:tc>
          <w:tcPr>
            <w:tcW w:w="1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353,160.69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z w:val="18"/>
              </w:rPr>
              <w:t>0.52%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348,802.48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z w:val="18"/>
              </w:rPr>
              <w:t>2.08%</w:t>
            </w:r>
          </w:p>
        </w:tc>
      </w:tr>
      <w:tr>
        <w:trPr>
          <w:trHeight w:val="360" w:hRule="exact"/>
        </w:trPr>
        <w:tc>
          <w:tcPr>
            <w:tcW w:w="1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pacing w:val="-1"/>
                <w:sz w:val="18"/>
              </w:rPr>
              <w:t>503,577.91</w:t>
            </w:r>
          </w:p>
        </w:tc>
        <w:tc>
          <w:tcPr>
            <w:tcW w:w="1913"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z w:val="18"/>
              </w:rPr>
              <w:t>0.74%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543,947.95</w:t>
            </w:r>
          </w:p>
        </w:tc>
        <w:tc>
          <w:tcPr>
            <w:tcW w:w="1915"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z w:val="18"/>
              </w:rPr>
              <w:t>3.24%</w:t>
            </w:r>
          </w:p>
        </w:tc>
      </w:tr>
      <w:tr>
        <w:trPr>
          <w:trHeight w:val="360" w:hRule="exact"/>
        </w:trPr>
        <w:tc>
          <w:tcPr>
            <w:tcW w:w="1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6"/>
              <w:ind w:right="14"/>
              <w:jc w:val="right"/>
              <w:rPr>
                <w:rFonts w:ascii="Times New Roman" w:hAnsi="Times New Roman" w:cs="Times New Roman" w:eastAsia="Times New Roman" w:hint="default"/>
                <w:sz w:val="18"/>
                <w:szCs w:val="18"/>
              </w:rPr>
            </w:pPr>
            <w:r>
              <w:rPr>
                <w:rFonts w:ascii="Times New Roman"/>
                <w:spacing w:val="-1"/>
                <w:sz w:val="18"/>
              </w:rPr>
              <w:t>68,507,879.62</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1"/>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6"/>
              <w:ind w:right="15"/>
              <w:jc w:val="right"/>
              <w:rPr>
                <w:rFonts w:ascii="Times New Roman" w:hAnsi="Times New Roman" w:cs="Times New Roman" w:eastAsia="Times New Roman" w:hint="default"/>
                <w:sz w:val="18"/>
                <w:szCs w:val="18"/>
              </w:rPr>
            </w:pPr>
            <w:r>
              <w:rPr>
                <w:rFonts w:ascii="Times New Roman"/>
                <w:spacing w:val="-1"/>
                <w:sz w:val="18"/>
              </w:rPr>
              <w:t>16,769,749.29</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2"/>
              <w:jc w:val="center"/>
              <w:rPr>
                <w:rFonts w:ascii="Times New Roman" w:hAnsi="Times New Roman" w:cs="Times New Roman" w:eastAsia="Times New Roman" w:hint="default"/>
                <w:sz w:val="18"/>
                <w:szCs w:val="18"/>
              </w:rPr>
            </w:pPr>
            <w:r>
              <w:rPr>
                <w:rFonts w:ascii="Times New Roman"/>
                <w:sz w:val="18"/>
              </w:rPr>
              <w:t>--</w:t>
            </w:r>
          </w:p>
        </w:tc>
      </w:tr>
    </w:tbl>
    <w:p>
      <w:pPr>
        <w:pStyle w:val="Heading4"/>
        <w:spacing w:line="245" w:lineRule="exact"/>
        <w:ind w:left="138" w:right="168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pStyle w:val="BodyText"/>
        <w:spacing w:line="338" w:lineRule="auto" w:before="111"/>
        <w:ind w:left="138" w:right="1854" w:firstLine="539"/>
        <w:jc w:val="left"/>
      </w:pPr>
      <w:r>
        <w:rPr/>
        <w:t>按预付对象集中度归集的期末余额前五名预付款项汇总金额</w:t>
      </w:r>
      <w:r>
        <w:rPr>
          <w:rFonts w:ascii="Times New Roman" w:hAnsi="Times New Roman" w:cs="Times New Roman" w:eastAsia="Times New Roman" w:hint="default"/>
        </w:rPr>
        <w:t>24,139,141.21</w:t>
      </w:r>
      <w:r>
        <w:rPr/>
        <w:t>元，占预付款项期末余额 合计数的比例</w:t>
      </w:r>
      <w:r>
        <w:rPr>
          <w:rFonts w:ascii="Times New Roman" w:hAnsi="Times New Roman" w:cs="Times New Roman" w:eastAsia="Times New Roman" w:hint="default"/>
        </w:rPr>
        <w:t>35.24%</w:t>
      </w:r>
      <w:r>
        <w:rPr/>
        <w:t>。</w:t>
      </w:r>
    </w:p>
    <w:p>
      <w:pPr>
        <w:pStyle w:val="Heading4"/>
        <w:spacing w:line="240" w:lineRule="auto" w:before="20"/>
        <w:ind w:left="138" w:right="1683"/>
        <w:jc w:val="left"/>
        <w:rPr>
          <w:b w:val="0"/>
          <w:bCs w:val="0"/>
        </w:rPr>
      </w:pPr>
      <w:r>
        <w:rPr>
          <w:rFonts w:ascii="Times New Roman" w:hAnsi="Times New Roman" w:cs="Times New Roman" w:eastAsia="Times New Roman" w:hint="default"/>
        </w:rPr>
        <w:t>4</w:t>
      </w:r>
      <w:r>
        <w:rPr/>
        <w:t>、其他应收款</w:t>
      </w:r>
      <w:r>
        <w:rPr>
          <w:b w:val="0"/>
          <w:bCs w:val="0"/>
        </w:rPr>
      </w:r>
    </w:p>
    <w:p>
      <w:pPr>
        <w:pStyle w:val="BodyText"/>
        <w:spacing w:line="240" w:lineRule="auto" w:before="111"/>
        <w:ind w:left="0" w:right="1791"/>
        <w:jc w:val="right"/>
      </w:pPr>
      <w:r>
        <w:rPr/>
        <w:t>单位：</w:t>
      </w:r>
      <w:r>
        <w:rPr>
          <w:spacing w:val="1"/>
        </w:rPr>
        <w:t> </w:t>
      </w:r>
      <w:r>
        <w:rPr/>
        <w:t>元</w:t>
      </w:r>
    </w:p>
    <w:p>
      <w:pPr>
        <w:spacing w:line="240" w:lineRule="auto" w:before="4"/>
        <w:rPr>
          <w:rFonts w:ascii="宋体" w:hAnsi="宋体" w:cs="宋体" w:eastAsia="宋体" w:hint="default"/>
          <w:sz w:val="11"/>
          <w:szCs w:val="11"/>
        </w:rPr>
      </w:pPr>
    </w:p>
    <w:tbl>
      <w:tblPr>
        <w:tblW w:w="0" w:type="auto"/>
        <w:jc w:val="left"/>
        <w:tblInd w:w="144" w:type="dxa"/>
        <w:tblLayout w:type="fixed"/>
        <w:tblCellMar>
          <w:top w:w="0" w:type="dxa"/>
          <w:left w:w="0" w:type="dxa"/>
          <w:bottom w:w="0" w:type="dxa"/>
          <w:right w:w="0" w:type="dxa"/>
        </w:tblCellMar>
        <w:tblLook w:val="01E0"/>
      </w:tblPr>
      <w:tblGrid>
        <w:gridCol w:w="3167"/>
        <w:gridCol w:w="3202"/>
        <w:gridCol w:w="3190"/>
      </w:tblGrid>
      <w:tr>
        <w:trPr>
          <w:trHeight w:val="36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6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109,691,755.92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95,552,618.54</w:t>
            </w:r>
          </w:p>
        </w:tc>
      </w:tr>
      <w:tr>
        <w:trPr>
          <w:trHeight w:val="36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109,691,755.92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95,552,618.54</w:t>
            </w:r>
          </w:p>
        </w:tc>
      </w:tr>
    </w:tbl>
    <w:p>
      <w:pPr>
        <w:pStyle w:val="Heading5"/>
        <w:spacing w:line="217" w:lineRule="exact"/>
        <w:ind w:right="1683"/>
        <w:jc w:val="left"/>
        <w:rPr>
          <w:b w:val="0"/>
          <w:bCs w:val="0"/>
        </w:rPr>
      </w:pPr>
      <w:r>
        <w:rPr>
          <w:rFonts w:ascii="Times New Roman" w:hAnsi="Times New Roman" w:cs="Times New Roman" w:eastAsia="Times New Roman" w:hint="default"/>
        </w:rPr>
        <w:t>1)</w:t>
      </w:r>
      <w:r>
        <w:rPr/>
        <w:t>其他应收款分类披露</w:t>
      </w:r>
      <w:r>
        <w:rPr>
          <w:b w:val="0"/>
          <w:bCs w:val="0"/>
        </w:rPr>
      </w:r>
    </w:p>
    <w:p>
      <w:pPr>
        <w:pStyle w:val="BodyText"/>
        <w:spacing w:line="240" w:lineRule="auto" w:before="101"/>
        <w:ind w:left="0" w:right="1791"/>
        <w:jc w:val="right"/>
      </w:pPr>
      <w:r>
        <w:rPr/>
        <w:t>单位：</w:t>
      </w:r>
      <w:r>
        <w:rPr>
          <w:spacing w:val="1"/>
        </w:rPr>
        <w:t> </w:t>
      </w:r>
      <w:r>
        <w:rPr/>
        <w:t>元</w:t>
      </w:r>
    </w:p>
    <w:p>
      <w:pPr>
        <w:spacing w:line="240" w:lineRule="auto" w:before="2"/>
        <w:rPr>
          <w:rFonts w:ascii="宋体" w:hAnsi="宋体" w:cs="宋体" w:eastAsia="宋体"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1634"/>
        <w:gridCol w:w="917"/>
        <w:gridCol w:w="852"/>
        <w:gridCol w:w="850"/>
        <w:gridCol w:w="567"/>
        <w:gridCol w:w="852"/>
        <w:gridCol w:w="850"/>
        <w:gridCol w:w="711"/>
        <w:gridCol w:w="850"/>
        <w:gridCol w:w="708"/>
        <w:gridCol w:w="778"/>
      </w:tblGrid>
      <w:tr>
        <w:trPr>
          <w:trHeight w:val="361"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403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60" w:hRule="exact"/>
        </w:trPr>
        <w:tc>
          <w:tcPr>
            <w:tcW w:w="1634" w:type="dxa"/>
            <w:vMerge/>
            <w:tcBorders>
              <w:left w:val="single" w:sz="4" w:space="0" w:color="000000"/>
              <w:right w:val="single" w:sz="4" w:space="0" w:color="000000"/>
            </w:tcBorders>
            <w:shd w:val="clear" w:color="auto" w:fill="D2D2D2"/>
          </w:tcPr>
          <w:p>
            <w:pPr/>
          </w:p>
        </w:tc>
        <w:tc>
          <w:tcPr>
            <w:tcW w:w="17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5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7"/>
              <w:ind w:left="5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4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41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7"/>
              <w:ind w:left="2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60"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27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23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23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95"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852"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23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23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76"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7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33" w:footer="977" w:top="960" w:bottom="1160" w:left="166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tbl>
      <w:tblPr>
        <w:tblW w:w="0" w:type="auto"/>
        <w:jc w:val="left"/>
        <w:tblInd w:w="144" w:type="dxa"/>
        <w:tblLayout w:type="fixed"/>
        <w:tblCellMar>
          <w:top w:w="0" w:type="dxa"/>
          <w:left w:w="0" w:type="dxa"/>
          <w:bottom w:w="0" w:type="dxa"/>
          <w:right w:w="0" w:type="dxa"/>
        </w:tblCellMar>
        <w:tblLook w:val="01E0"/>
      </w:tblPr>
      <w:tblGrid>
        <w:gridCol w:w="1612"/>
        <w:gridCol w:w="929"/>
        <w:gridCol w:w="852"/>
        <w:gridCol w:w="850"/>
        <w:gridCol w:w="567"/>
        <w:gridCol w:w="852"/>
        <w:gridCol w:w="850"/>
        <w:gridCol w:w="711"/>
        <w:gridCol w:w="850"/>
        <w:gridCol w:w="708"/>
        <w:gridCol w:w="778"/>
      </w:tblGrid>
      <w:tr>
        <w:trPr>
          <w:trHeight w:val="360"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比例</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例</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61"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单项金额重大并单</w:t>
            </w:r>
          </w:p>
          <w:p>
            <w:pPr>
              <w:pStyle w:val="TableParagraph"/>
              <w:spacing w:line="357" w:lineRule="auto" w:before="115"/>
              <w:ind w:left="10" w:right="149"/>
              <w:jc w:val="left"/>
              <w:rPr>
                <w:rFonts w:ascii="宋体" w:hAnsi="宋体" w:cs="宋体" w:eastAsia="宋体" w:hint="default"/>
                <w:sz w:val="18"/>
                <w:szCs w:val="18"/>
              </w:rPr>
            </w:pPr>
            <w:r>
              <w:rPr>
                <w:rFonts w:ascii="宋体" w:hAnsi="宋体" w:cs="宋体" w:eastAsia="宋体" w:hint="default"/>
                <w:sz w:val="18"/>
                <w:szCs w:val="18"/>
              </w:rPr>
              <w:t>独计提坏账准备的 其他应收款</w:t>
            </w:r>
          </w:p>
        </w:tc>
        <w:tc>
          <w:tcPr>
            <w:tcW w:w="929" w:type="dxa"/>
            <w:tcBorders>
              <w:top w:val="single" w:sz="4" w:space="0" w:color="000000"/>
              <w:left w:val="single" w:sz="13" w:space="0" w:color="D2D2D2"/>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1061"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按信用风险特征组</w:t>
            </w:r>
          </w:p>
          <w:p>
            <w:pPr>
              <w:pStyle w:val="TableParagraph"/>
              <w:spacing w:line="357" w:lineRule="auto" w:before="115"/>
              <w:ind w:left="10" w:right="149"/>
              <w:jc w:val="left"/>
              <w:rPr>
                <w:rFonts w:ascii="宋体" w:hAnsi="宋体" w:cs="宋体" w:eastAsia="宋体" w:hint="default"/>
                <w:sz w:val="18"/>
                <w:szCs w:val="18"/>
              </w:rPr>
            </w:pPr>
            <w:r>
              <w:rPr>
                <w:rFonts w:ascii="宋体" w:hAnsi="宋体" w:cs="宋体" w:eastAsia="宋体" w:hint="default"/>
                <w:sz w:val="18"/>
                <w:szCs w:val="18"/>
              </w:rPr>
              <w:t>合计提坏账准备的 其他应收款</w:t>
            </w:r>
          </w:p>
        </w:tc>
        <w:tc>
          <w:tcPr>
            <w:tcW w:w="9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121,682,33</w:t>
            </w:r>
          </w:p>
          <w:p>
            <w:pPr>
              <w:pStyle w:val="TableParagraph"/>
              <w:spacing w:line="240" w:lineRule="auto" w:before="102"/>
              <w:ind w:left="569" w:right="0"/>
              <w:jc w:val="left"/>
              <w:rPr>
                <w:rFonts w:ascii="Times New Roman" w:hAnsi="Times New Roman" w:cs="Times New Roman" w:eastAsia="Times New Roman" w:hint="default"/>
                <w:sz w:val="18"/>
                <w:szCs w:val="18"/>
              </w:rPr>
            </w:pPr>
            <w:r>
              <w:rPr>
                <w:rFonts w:ascii="Times New Roman"/>
                <w:sz w:val="18"/>
              </w:rPr>
              <w:t>7.75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z w:val="18"/>
              </w:rPr>
              <w:t>94.60%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11,990,58</w:t>
            </w:r>
          </w:p>
          <w:p>
            <w:pPr>
              <w:pStyle w:val="TableParagraph"/>
              <w:spacing w:line="240" w:lineRule="auto" w:before="102"/>
              <w:ind w:left="501" w:right="0"/>
              <w:jc w:val="left"/>
              <w:rPr>
                <w:rFonts w:ascii="Times New Roman" w:hAnsi="Times New Roman" w:cs="Times New Roman" w:eastAsia="Times New Roman" w:hint="default"/>
                <w:sz w:val="18"/>
                <w:szCs w:val="18"/>
              </w:rPr>
            </w:pPr>
            <w:r>
              <w:rPr>
                <w:rFonts w:ascii="Times New Roman"/>
                <w:sz w:val="18"/>
              </w:rPr>
              <w:t>1.83</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3" w:right="0"/>
              <w:jc w:val="center"/>
              <w:rPr>
                <w:rFonts w:ascii="Times New Roman" w:hAnsi="Times New Roman" w:cs="Times New Roman" w:eastAsia="Times New Roman" w:hint="default"/>
                <w:sz w:val="18"/>
                <w:szCs w:val="18"/>
              </w:rPr>
            </w:pPr>
            <w:r>
              <w:rPr>
                <w:rFonts w:ascii="Times New Roman"/>
                <w:sz w:val="18"/>
              </w:rPr>
              <w:t>9.85%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109,691,7</w:t>
            </w:r>
          </w:p>
          <w:p>
            <w:pPr>
              <w:pStyle w:val="TableParagraph"/>
              <w:spacing w:line="240" w:lineRule="auto" w:before="102"/>
              <w:ind w:left="412" w:right="0"/>
              <w:jc w:val="left"/>
              <w:rPr>
                <w:rFonts w:ascii="Times New Roman" w:hAnsi="Times New Roman" w:cs="Times New Roman" w:eastAsia="Times New Roman" w:hint="default"/>
                <w:sz w:val="18"/>
                <w:szCs w:val="18"/>
              </w:rPr>
            </w:pPr>
            <w:r>
              <w:rPr>
                <w:rFonts w:ascii="Times New Roman"/>
                <w:sz w:val="18"/>
              </w:rPr>
              <w:t>55.92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102,534,8</w:t>
            </w:r>
          </w:p>
          <w:p>
            <w:pPr>
              <w:pStyle w:val="TableParagraph"/>
              <w:spacing w:line="240" w:lineRule="auto" w:before="102"/>
              <w:ind w:left="410" w:right="0"/>
              <w:jc w:val="left"/>
              <w:rPr>
                <w:rFonts w:ascii="Times New Roman" w:hAnsi="Times New Roman" w:cs="Times New Roman" w:eastAsia="Times New Roman" w:hint="default"/>
                <w:sz w:val="18"/>
                <w:szCs w:val="18"/>
              </w:rPr>
            </w:pPr>
            <w:r>
              <w:rPr>
                <w:rFonts w:ascii="Times New Roman"/>
                <w:sz w:val="18"/>
              </w:rPr>
              <w:t>35.10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94.05%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6,982,216.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6.81%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95,552,61</w:t>
            </w:r>
          </w:p>
          <w:p>
            <w:pPr>
              <w:pStyle w:val="TableParagraph"/>
              <w:spacing w:line="240" w:lineRule="auto" w:before="102"/>
              <w:ind w:left="427" w:right="0"/>
              <w:jc w:val="left"/>
              <w:rPr>
                <w:rFonts w:ascii="Times New Roman" w:hAnsi="Times New Roman" w:cs="Times New Roman" w:eastAsia="Times New Roman" w:hint="default"/>
                <w:sz w:val="18"/>
                <w:szCs w:val="18"/>
              </w:rPr>
            </w:pPr>
            <w:r>
              <w:rPr>
                <w:rFonts w:ascii="Times New Roman"/>
                <w:sz w:val="18"/>
              </w:rPr>
              <w:t>8.54</w:t>
            </w:r>
          </w:p>
        </w:tc>
      </w:tr>
      <w:tr>
        <w:trPr>
          <w:trHeight w:val="1061"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单项金额不重大但</w:t>
            </w:r>
          </w:p>
          <w:p>
            <w:pPr>
              <w:pStyle w:val="TableParagraph"/>
              <w:spacing w:line="357" w:lineRule="auto" w:before="115"/>
              <w:ind w:left="10" w:right="149"/>
              <w:jc w:val="left"/>
              <w:rPr>
                <w:rFonts w:ascii="宋体" w:hAnsi="宋体" w:cs="宋体" w:eastAsia="宋体" w:hint="default"/>
                <w:sz w:val="18"/>
                <w:szCs w:val="18"/>
              </w:rPr>
            </w:pPr>
            <w:r>
              <w:rPr>
                <w:rFonts w:ascii="宋体" w:hAnsi="宋体" w:cs="宋体" w:eastAsia="宋体" w:hint="default"/>
                <w:sz w:val="18"/>
                <w:szCs w:val="18"/>
              </w:rPr>
              <w:t>单独计提坏账准备 的其他应收款</w:t>
            </w:r>
          </w:p>
        </w:tc>
        <w:tc>
          <w:tcPr>
            <w:tcW w:w="9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6,944,448.7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5.40%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6,944,448.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503"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6,488,458.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5.95%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6,488,458.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139"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929" w:type="dxa"/>
            <w:vMerge w:val="restart"/>
            <w:tcBorders>
              <w:top w:val="single" w:sz="4" w:space="0" w:color="000000"/>
              <w:left w:val="single" w:sz="13" w:space="0" w:color="D2D2D2"/>
              <w:right w:val="single" w:sz="4" w:space="0" w:color="000000"/>
            </w:tcBorders>
          </w:tcPr>
          <w:p>
            <w:pPr>
              <w:pStyle w:val="TableParagraph"/>
              <w:spacing w:line="202" w:lineRule="exact"/>
              <w:ind w:left="71" w:right="0"/>
              <w:jc w:val="left"/>
              <w:rPr>
                <w:rFonts w:ascii="Times New Roman" w:hAnsi="Times New Roman" w:cs="Times New Roman" w:eastAsia="Times New Roman" w:hint="default"/>
                <w:sz w:val="18"/>
                <w:szCs w:val="18"/>
              </w:rPr>
            </w:pPr>
            <w:r>
              <w:rPr>
                <w:rFonts w:ascii="Times New Roman"/>
                <w:sz w:val="18"/>
              </w:rPr>
              <w:t>128,626,78</w:t>
            </w:r>
          </w:p>
          <w:p>
            <w:pPr>
              <w:pStyle w:val="TableParagraph"/>
              <w:spacing w:line="240" w:lineRule="auto" w:before="102"/>
              <w:ind w:left="569" w:right="0"/>
              <w:jc w:val="left"/>
              <w:rPr>
                <w:rFonts w:ascii="Times New Roman" w:hAnsi="Times New Roman" w:cs="Times New Roman" w:eastAsia="Times New Roman" w:hint="default"/>
                <w:sz w:val="18"/>
                <w:szCs w:val="18"/>
              </w:rPr>
            </w:pPr>
            <w:r>
              <w:rPr>
                <w:rFonts w:ascii="Times New Roman"/>
                <w:sz w:val="18"/>
              </w:rPr>
              <w:t>6.54</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48"/>
              <w:ind w:left="172" w:right="0"/>
              <w:jc w:val="left"/>
              <w:rPr>
                <w:rFonts w:ascii="Times New Roman" w:hAnsi="Times New Roman" w:cs="Times New Roman" w:eastAsia="Times New Roman" w:hint="default"/>
                <w:sz w:val="18"/>
                <w:szCs w:val="18"/>
              </w:rPr>
            </w:pPr>
            <w:r>
              <w:rPr>
                <w:rFonts w:ascii="Times New Roman"/>
                <w:sz w:val="18"/>
              </w:rPr>
              <w:t>100.00%</w:t>
            </w:r>
          </w:p>
        </w:tc>
        <w:tc>
          <w:tcPr>
            <w:tcW w:w="850" w:type="dxa"/>
            <w:vMerge w:val="restart"/>
            <w:tcBorders>
              <w:top w:val="single" w:sz="4" w:space="0" w:color="000000"/>
              <w:left w:val="single" w:sz="4" w:space="0" w:color="000000"/>
              <w:right w:val="single" w:sz="4" w:space="0" w:color="000000"/>
            </w:tcBorders>
          </w:tcPr>
          <w:p>
            <w:pPr>
              <w:pStyle w:val="TableParagraph"/>
              <w:spacing w:line="202" w:lineRule="exact"/>
              <w:ind w:left="95" w:right="0"/>
              <w:jc w:val="left"/>
              <w:rPr>
                <w:rFonts w:ascii="Times New Roman" w:hAnsi="Times New Roman" w:cs="Times New Roman" w:eastAsia="Times New Roman" w:hint="default"/>
                <w:sz w:val="18"/>
                <w:szCs w:val="18"/>
              </w:rPr>
            </w:pPr>
            <w:r>
              <w:rPr>
                <w:rFonts w:ascii="Times New Roman"/>
                <w:sz w:val="18"/>
              </w:rPr>
              <w:t>18,935,03</w:t>
            </w:r>
          </w:p>
          <w:p>
            <w:pPr>
              <w:pStyle w:val="TableParagraph"/>
              <w:spacing w:line="240" w:lineRule="auto" w:before="102"/>
              <w:ind w:left="501" w:right="0"/>
              <w:jc w:val="left"/>
              <w:rPr>
                <w:rFonts w:ascii="Times New Roman" w:hAnsi="Times New Roman" w:cs="Times New Roman" w:eastAsia="Times New Roman" w:hint="default"/>
                <w:sz w:val="18"/>
                <w:szCs w:val="18"/>
              </w:rPr>
            </w:pPr>
            <w:r>
              <w:rPr>
                <w:rFonts w:ascii="Times New Roman"/>
                <w:sz w:val="18"/>
              </w:rPr>
              <w:t>0.62</w:t>
            </w:r>
          </w:p>
        </w:tc>
        <w:tc>
          <w:tcPr>
            <w:tcW w:w="567" w:type="dxa"/>
            <w:vMerge w:val="restart"/>
            <w:tcBorders>
              <w:top w:val="single" w:sz="4" w:space="0" w:color="000000"/>
              <w:left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z w:val="18"/>
              </w:rPr>
              <w:t>14.72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vMerge w:val="restart"/>
            <w:tcBorders>
              <w:top w:val="single" w:sz="4" w:space="0" w:color="000000"/>
              <w:left w:val="single" w:sz="4" w:space="0" w:color="000000"/>
              <w:right w:val="single" w:sz="4" w:space="0" w:color="000000"/>
            </w:tcBorders>
          </w:tcPr>
          <w:p>
            <w:pPr>
              <w:pStyle w:val="TableParagraph"/>
              <w:spacing w:line="202" w:lineRule="exact"/>
              <w:ind w:left="98" w:right="0"/>
              <w:jc w:val="left"/>
              <w:rPr>
                <w:rFonts w:ascii="Times New Roman" w:hAnsi="Times New Roman" w:cs="Times New Roman" w:eastAsia="Times New Roman" w:hint="default"/>
                <w:sz w:val="18"/>
                <w:szCs w:val="18"/>
              </w:rPr>
            </w:pPr>
            <w:r>
              <w:rPr>
                <w:rFonts w:ascii="Times New Roman"/>
                <w:sz w:val="18"/>
              </w:rPr>
              <w:t>109,691,7</w:t>
            </w:r>
          </w:p>
          <w:p>
            <w:pPr>
              <w:pStyle w:val="TableParagraph"/>
              <w:spacing w:line="240" w:lineRule="auto" w:before="102"/>
              <w:ind w:left="412" w:right="0"/>
              <w:jc w:val="left"/>
              <w:rPr>
                <w:rFonts w:ascii="Times New Roman" w:hAnsi="Times New Roman" w:cs="Times New Roman" w:eastAsia="Times New Roman" w:hint="default"/>
                <w:sz w:val="18"/>
                <w:szCs w:val="18"/>
              </w:rPr>
            </w:pPr>
            <w:r>
              <w:rPr>
                <w:rFonts w:ascii="Times New Roman"/>
                <w:sz w:val="18"/>
              </w:rPr>
              <w:t>55.92</w:t>
            </w:r>
          </w:p>
        </w:tc>
        <w:tc>
          <w:tcPr>
            <w:tcW w:w="850" w:type="dxa"/>
            <w:vMerge w:val="restart"/>
            <w:tcBorders>
              <w:top w:val="single" w:sz="4" w:space="0" w:color="000000"/>
              <w:left w:val="single" w:sz="4" w:space="0" w:color="000000"/>
              <w:right w:val="single" w:sz="4" w:space="0" w:color="000000"/>
            </w:tcBorders>
          </w:tcPr>
          <w:p>
            <w:pPr>
              <w:pStyle w:val="TableParagraph"/>
              <w:spacing w:line="202" w:lineRule="exact"/>
              <w:ind w:left="95" w:right="0"/>
              <w:jc w:val="left"/>
              <w:rPr>
                <w:rFonts w:ascii="Times New Roman" w:hAnsi="Times New Roman" w:cs="Times New Roman" w:eastAsia="Times New Roman" w:hint="default"/>
                <w:sz w:val="18"/>
                <w:szCs w:val="18"/>
              </w:rPr>
            </w:pPr>
            <w:r>
              <w:rPr>
                <w:rFonts w:ascii="Times New Roman"/>
                <w:sz w:val="18"/>
              </w:rPr>
              <w:t>109,023,2</w:t>
            </w:r>
          </w:p>
          <w:p>
            <w:pPr>
              <w:pStyle w:val="TableParagraph"/>
              <w:spacing w:line="240" w:lineRule="auto" w:before="102"/>
              <w:ind w:left="410" w:right="0"/>
              <w:jc w:val="left"/>
              <w:rPr>
                <w:rFonts w:ascii="Times New Roman" w:hAnsi="Times New Roman" w:cs="Times New Roman" w:eastAsia="Times New Roman" w:hint="default"/>
                <w:sz w:val="18"/>
                <w:szCs w:val="18"/>
              </w:rPr>
            </w:pPr>
            <w:r>
              <w:rPr>
                <w:rFonts w:ascii="Times New Roman"/>
                <w:sz w:val="18"/>
              </w:rPr>
              <w:t>93.89</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148"/>
              <w:ind w:left="31" w:right="0"/>
              <w:jc w:val="left"/>
              <w:rPr>
                <w:rFonts w:ascii="Times New Roman" w:hAnsi="Times New Roman" w:cs="Times New Roman" w:eastAsia="Times New Roman" w:hint="default"/>
                <w:sz w:val="18"/>
                <w:szCs w:val="18"/>
              </w:rPr>
            </w:pPr>
            <w:r>
              <w:rPr>
                <w:rFonts w:ascii="Times New Roman"/>
                <w:sz w:val="18"/>
              </w:rPr>
              <w:t>100.00%</w:t>
            </w:r>
          </w:p>
        </w:tc>
        <w:tc>
          <w:tcPr>
            <w:tcW w:w="850" w:type="dxa"/>
            <w:vMerge w:val="restart"/>
            <w:tcBorders>
              <w:top w:val="single" w:sz="4" w:space="0" w:color="000000"/>
              <w:left w:val="single" w:sz="4" w:space="0" w:color="000000"/>
              <w:right w:val="single" w:sz="4" w:space="0" w:color="000000"/>
            </w:tcBorders>
          </w:tcPr>
          <w:p>
            <w:pPr>
              <w:pStyle w:val="TableParagraph"/>
              <w:spacing w:line="202" w:lineRule="exact"/>
              <w:ind w:left="95" w:right="0"/>
              <w:jc w:val="left"/>
              <w:rPr>
                <w:rFonts w:ascii="Times New Roman" w:hAnsi="Times New Roman" w:cs="Times New Roman" w:eastAsia="Times New Roman" w:hint="default"/>
                <w:sz w:val="18"/>
                <w:szCs w:val="18"/>
              </w:rPr>
            </w:pPr>
            <w:r>
              <w:rPr>
                <w:rFonts w:ascii="Times New Roman"/>
                <w:sz w:val="18"/>
              </w:rPr>
              <w:t>13,470,67</w:t>
            </w:r>
          </w:p>
          <w:p>
            <w:pPr>
              <w:pStyle w:val="TableParagraph"/>
              <w:spacing w:line="240" w:lineRule="auto" w:before="102"/>
              <w:ind w:left="501" w:right="0"/>
              <w:jc w:val="left"/>
              <w:rPr>
                <w:rFonts w:ascii="Times New Roman" w:hAnsi="Times New Roman" w:cs="Times New Roman" w:eastAsia="Times New Roman" w:hint="default"/>
                <w:sz w:val="18"/>
                <w:szCs w:val="18"/>
              </w:rPr>
            </w:pPr>
            <w:r>
              <w:rPr>
                <w:rFonts w:ascii="Times New Roman"/>
                <w:sz w:val="18"/>
              </w:rPr>
              <w:t>5.35</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48"/>
              <w:ind w:left="119" w:right="0"/>
              <w:jc w:val="left"/>
              <w:rPr>
                <w:rFonts w:ascii="Times New Roman" w:hAnsi="Times New Roman" w:cs="Times New Roman" w:eastAsia="Times New Roman" w:hint="default"/>
                <w:sz w:val="18"/>
                <w:szCs w:val="18"/>
              </w:rPr>
            </w:pPr>
            <w:r>
              <w:rPr>
                <w:rFonts w:ascii="Times New Roman"/>
                <w:sz w:val="18"/>
              </w:rPr>
              <w:t>12.36%</w:t>
            </w:r>
          </w:p>
        </w:tc>
        <w:tc>
          <w:tcPr>
            <w:tcW w:w="778" w:type="dxa"/>
            <w:vMerge w:val="restart"/>
            <w:tcBorders>
              <w:top w:val="single" w:sz="4" w:space="0" w:color="000000"/>
              <w:left w:val="single" w:sz="4" w:space="0" w:color="000000"/>
              <w:right w:val="single" w:sz="4" w:space="0" w:color="000000"/>
            </w:tcBorders>
          </w:tcPr>
          <w:p>
            <w:pPr>
              <w:pStyle w:val="TableParagraph"/>
              <w:spacing w:line="202" w:lineRule="exact"/>
              <w:ind w:left="21" w:right="0"/>
              <w:jc w:val="left"/>
              <w:rPr>
                <w:rFonts w:ascii="Times New Roman" w:hAnsi="Times New Roman" w:cs="Times New Roman" w:eastAsia="Times New Roman" w:hint="default"/>
                <w:sz w:val="18"/>
                <w:szCs w:val="18"/>
              </w:rPr>
            </w:pPr>
            <w:r>
              <w:rPr>
                <w:rFonts w:ascii="Times New Roman"/>
                <w:sz w:val="18"/>
              </w:rPr>
              <w:t>95,552,61</w:t>
            </w:r>
          </w:p>
          <w:p>
            <w:pPr>
              <w:pStyle w:val="TableParagraph"/>
              <w:spacing w:line="240" w:lineRule="auto" w:before="102"/>
              <w:ind w:left="427" w:right="0"/>
              <w:jc w:val="left"/>
              <w:rPr>
                <w:rFonts w:ascii="Times New Roman" w:hAnsi="Times New Roman" w:cs="Times New Roman" w:eastAsia="Times New Roman" w:hint="default"/>
                <w:sz w:val="18"/>
                <w:szCs w:val="18"/>
              </w:rPr>
            </w:pPr>
            <w:r>
              <w:rPr>
                <w:rFonts w:ascii="Times New Roman"/>
                <w:sz w:val="18"/>
              </w:rPr>
              <w:t>8.54</w:t>
            </w:r>
          </w:p>
        </w:tc>
      </w:tr>
      <w:tr>
        <w:trPr>
          <w:trHeight w:val="350"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vMerge/>
            <w:tcBorders>
              <w:left w:val="single" w:sz="13"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142"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929" w:type="dxa"/>
            <w:vMerge/>
            <w:tcBorders>
              <w:left w:val="single" w:sz="13"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bl>
    <w:p>
      <w:pPr>
        <w:spacing w:after="0"/>
        <w:sectPr>
          <w:pgSz w:w="11910" w:h="16840"/>
          <w:pgMar w:header="733" w:footer="977" w:top="960" w:bottom="1160" w:left="1660" w:right="0"/>
        </w:sectPr>
      </w:pPr>
    </w:p>
    <w:p>
      <w:pPr>
        <w:pStyle w:val="BodyText"/>
        <w:spacing w:line="203" w:lineRule="exact"/>
        <w:ind w:left="498" w:right="-20"/>
        <w:jc w:val="left"/>
      </w:pPr>
      <w:r>
        <w:rPr/>
        <w:t>期末没有单项金额重大并单项计提坏账准备的其他应收款。</w:t>
      </w:r>
    </w:p>
    <w:p>
      <w:pPr>
        <w:pStyle w:val="BodyText"/>
        <w:spacing w:line="240" w:lineRule="auto" w:before="115"/>
        <w:ind w:left="498" w:right="-20"/>
        <w:jc w:val="left"/>
      </w:pPr>
      <w:r>
        <w:rPr/>
        <w:t>组合中，按账龄分析法计提坏账准备的其他应收款：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spacing w:line="240" w:lineRule="auto"/>
        <w:ind w:left="497" w:right="0"/>
        <w:jc w:val="left"/>
      </w:pPr>
      <w:r>
        <w:rPr/>
        <w:t>单位：</w:t>
      </w:r>
      <w:r>
        <w:rPr>
          <w:spacing w:val="1"/>
        </w:rPr>
        <w:t> </w:t>
      </w:r>
      <w:r>
        <w:rPr/>
        <w:t>元</w:t>
      </w:r>
    </w:p>
    <w:p>
      <w:pPr>
        <w:spacing w:after="0" w:line="240" w:lineRule="auto"/>
        <w:jc w:val="left"/>
        <w:sectPr>
          <w:type w:val="continuous"/>
          <w:pgSz w:w="11910" w:h="16840"/>
          <w:pgMar w:top="1100" w:bottom="1160" w:left="1660" w:right="0"/>
          <w:cols w:num="2" w:equalWidth="0">
            <w:col w:w="5179" w:space="1965"/>
            <w:col w:w="3106"/>
          </w:cols>
        </w:sectPr>
      </w:pPr>
    </w:p>
    <w:p>
      <w:pPr>
        <w:spacing w:line="240" w:lineRule="auto" w:before="2"/>
        <w:rPr>
          <w:rFonts w:ascii="宋体" w:hAnsi="宋体" w:cs="宋体" w:eastAsia="宋体" w:hint="default"/>
          <w:sz w:val="11"/>
          <w:szCs w:val="11"/>
        </w:rPr>
      </w:pPr>
    </w:p>
    <w:tbl>
      <w:tblPr>
        <w:tblW w:w="0" w:type="auto"/>
        <w:jc w:val="left"/>
        <w:tblInd w:w="144" w:type="dxa"/>
        <w:tblLayout w:type="fixed"/>
        <w:tblCellMar>
          <w:top w:w="0" w:type="dxa"/>
          <w:left w:w="0" w:type="dxa"/>
          <w:bottom w:w="0" w:type="dxa"/>
          <w:right w:w="0" w:type="dxa"/>
        </w:tblCellMar>
        <w:tblLook w:val="01E0"/>
      </w:tblPr>
      <w:tblGrid>
        <w:gridCol w:w="2368"/>
        <w:gridCol w:w="2405"/>
        <w:gridCol w:w="2393"/>
        <w:gridCol w:w="2393"/>
      </w:tblGrid>
      <w:tr>
        <w:trPr>
          <w:trHeight w:val="186" w:hRule="exact"/>
        </w:trPr>
        <w:tc>
          <w:tcPr>
            <w:tcW w:w="2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04" w:lineRule="exact"/>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74" w:hRule="exact"/>
        </w:trPr>
        <w:tc>
          <w:tcPr>
            <w:tcW w:w="2368" w:type="dxa"/>
            <w:vMerge w:val="restart"/>
            <w:tcBorders>
              <w:top w:val="nil" w:sz="6" w:space="0" w:color="auto"/>
              <w:left w:val="single" w:sz="4" w:space="0" w:color="000000"/>
              <w:right w:val="single" w:sz="4" w:space="0" w:color="000000"/>
            </w:tcBorders>
            <w:shd w:val="clear" w:color="auto" w:fill="D2D2D2"/>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191" w:type="dxa"/>
            <w:gridSpan w:val="3"/>
            <w:vMerge/>
            <w:tcBorders>
              <w:left w:val="single" w:sz="4" w:space="0" w:color="000000"/>
              <w:bottom w:val="single" w:sz="4" w:space="0" w:color="000000"/>
              <w:right w:val="single" w:sz="4" w:space="0" w:color="000000"/>
            </w:tcBorders>
            <w:shd w:val="clear" w:color="auto" w:fill="D2D2D2"/>
          </w:tcPr>
          <w:p>
            <w:pPr/>
          </w:p>
        </w:tc>
      </w:tr>
      <w:tr>
        <w:trPr>
          <w:trHeight w:val="176" w:hRule="exact"/>
        </w:trPr>
        <w:tc>
          <w:tcPr>
            <w:tcW w:w="2368" w:type="dxa"/>
            <w:vMerge/>
            <w:tcBorders>
              <w:left w:val="single" w:sz="4" w:space="0" w:color="000000"/>
              <w:bottom w:val="nil" w:sz="6" w:space="0" w:color="auto"/>
              <w:right w:val="single" w:sz="4" w:space="0" w:color="000000"/>
            </w:tcBorders>
            <w:shd w:val="clear" w:color="auto" w:fill="D2D2D2"/>
          </w:tcPr>
          <w:p>
            <w:pPr/>
          </w:p>
        </w:tc>
        <w:tc>
          <w:tcPr>
            <w:tcW w:w="2405" w:type="dxa"/>
            <w:vMerge w:val="restart"/>
            <w:tcBorders>
              <w:top w:val="single" w:sz="4" w:space="0" w:color="000000"/>
              <w:left w:val="single" w:sz="4" w:space="0" w:color="000000"/>
              <w:right w:val="single" w:sz="4" w:space="0" w:color="000000"/>
            </w:tcBorders>
            <w:shd w:val="clear" w:color="auto" w:fill="D2D2D2"/>
          </w:tcPr>
          <w:p>
            <w:pPr>
              <w:pStyle w:val="TableParagraph"/>
              <w:spacing w:line="204" w:lineRule="exact"/>
              <w:ind w:left="75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185" w:hRule="exact"/>
        </w:trPr>
        <w:tc>
          <w:tcPr>
            <w:tcW w:w="2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5"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60"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18"/>
                <w:szCs w:val="18"/>
              </w:rPr>
            </w:pPr>
            <w:r>
              <w:rPr>
                <w:rFonts w:ascii="Times New Roman"/>
                <w:spacing w:val="-1"/>
                <w:sz w:val="18"/>
              </w:rPr>
              <w:t>82,073,755.30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410,369.40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18"/>
                <w:szCs w:val="18"/>
              </w:rPr>
            </w:pPr>
            <w:r>
              <w:rPr>
                <w:rFonts w:ascii="Times New Roman"/>
                <w:sz w:val="18"/>
              </w:rPr>
              <w:t>0.50%</w:t>
            </w:r>
          </w:p>
        </w:tc>
      </w:tr>
      <w:tr>
        <w:trPr>
          <w:trHeight w:val="360"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18"/>
                <w:szCs w:val="18"/>
              </w:rPr>
            </w:pPr>
            <w:r>
              <w:rPr>
                <w:rFonts w:ascii="Times New Roman"/>
                <w:spacing w:val="-1"/>
                <w:sz w:val="18"/>
              </w:rPr>
              <w:t>15,068,117.08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753,405.85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18"/>
                <w:szCs w:val="18"/>
              </w:rPr>
            </w:pPr>
            <w:r>
              <w:rPr>
                <w:rFonts w:ascii="Times New Roman"/>
                <w:sz w:val="18"/>
              </w:rPr>
              <w:t>5.00%</w:t>
            </w:r>
          </w:p>
        </w:tc>
      </w:tr>
      <w:tr>
        <w:trPr>
          <w:trHeight w:val="360"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18"/>
                <w:szCs w:val="18"/>
              </w:rPr>
            </w:pPr>
            <w:r>
              <w:rPr>
                <w:rFonts w:ascii="Times New Roman"/>
                <w:spacing w:val="-1"/>
                <w:sz w:val="18"/>
              </w:rPr>
              <w:t>7,485,820.15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748,582.02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z w:val="18"/>
              </w:rPr>
              <w:t>10.00%</w:t>
            </w:r>
          </w:p>
        </w:tc>
      </w:tr>
      <w:tr>
        <w:trPr>
          <w:trHeight w:val="360"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18"/>
                <w:szCs w:val="18"/>
              </w:rPr>
            </w:pPr>
            <w:r>
              <w:rPr>
                <w:rFonts w:ascii="Times New Roman"/>
                <w:spacing w:val="-1"/>
                <w:sz w:val="18"/>
              </w:rPr>
              <w:t>17,054,645.22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10,078,224.56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z w:val="18"/>
              </w:rPr>
              <w:t>59.09%</w:t>
            </w:r>
          </w:p>
        </w:tc>
      </w:tr>
      <w:tr>
        <w:trPr>
          <w:trHeight w:val="360"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18"/>
                <w:szCs w:val="18"/>
              </w:rPr>
            </w:pPr>
            <w:r>
              <w:rPr>
                <w:rFonts w:ascii="Times New Roman"/>
                <w:spacing w:val="-1"/>
                <w:sz w:val="18"/>
              </w:rPr>
              <w:t>7,398,125.03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2,219,437.51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z w:val="18"/>
              </w:rPr>
              <w:t>30.00%</w:t>
            </w:r>
          </w:p>
        </w:tc>
      </w:tr>
      <w:tr>
        <w:trPr>
          <w:trHeight w:val="360"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18"/>
                <w:szCs w:val="18"/>
              </w:rPr>
            </w:pPr>
            <w:r>
              <w:rPr>
                <w:rFonts w:ascii="Times New Roman"/>
                <w:spacing w:val="-1"/>
                <w:sz w:val="18"/>
              </w:rPr>
              <w:t>3,595,466.27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1,797,733.13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z w:val="18"/>
              </w:rPr>
              <w:t>50.00%</w:t>
            </w:r>
          </w:p>
        </w:tc>
      </w:tr>
      <w:tr>
        <w:trPr>
          <w:trHeight w:val="360"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18"/>
                <w:szCs w:val="18"/>
              </w:rPr>
            </w:pPr>
            <w:r>
              <w:rPr>
                <w:rFonts w:ascii="Times New Roman"/>
                <w:spacing w:val="-1"/>
                <w:sz w:val="18"/>
              </w:rPr>
              <w:t>6,061,053.92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6,061,053.92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60"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18"/>
                <w:szCs w:val="18"/>
              </w:rPr>
            </w:pPr>
            <w:r>
              <w:rPr>
                <w:rFonts w:ascii="Times New Roman"/>
                <w:spacing w:val="-1"/>
                <w:sz w:val="18"/>
              </w:rPr>
              <w:t>121,682,337.75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11,990,581.83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18"/>
                <w:szCs w:val="18"/>
              </w:rPr>
            </w:pPr>
            <w:r>
              <w:rPr>
                <w:rFonts w:ascii="Times New Roman"/>
                <w:sz w:val="18"/>
              </w:rPr>
              <w:t>9.85%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160" w:left="1660" w:right="0"/>
        </w:sectPr>
      </w:pPr>
    </w:p>
    <w:p>
      <w:pPr>
        <w:pStyle w:val="BodyText"/>
        <w:spacing w:line="217" w:lineRule="exact"/>
        <w:ind w:left="138" w:right="-13"/>
        <w:jc w:val="left"/>
      </w:pPr>
      <w:r>
        <w:rPr/>
        <w:t>确定该组合依据的说明：详见本附注五、</w:t>
      </w:r>
      <w:r>
        <w:rPr>
          <w:rFonts w:ascii="Times New Roman" w:hAnsi="Times New Roman" w:cs="Times New Roman" w:eastAsia="Times New Roman" w:hint="default"/>
        </w:rPr>
        <w:t>11</w:t>
      </w:r>
      <w:r>
        <w:rPr/>
        <w:t>。</w:t>
      </w:r>
    </w:p>
    <w:p>
      <w:pPr>
        <w:pStyle w:val="Heading5"/>
        <w:spacing w:line="240" w:lineRule="auto" w:before="101"/>
        <w:ind w:right="-13"/>
        <w:jc w:val="left"/>
        <w:rPr>
          <w:b w:val="0"/>
          <w:bCs w:val="0"/>
        </w:rPr>
      </w:pPr>
      <w:r>
        <w:rPr>
          <w:rFonts w:ascii="Times New Roman" w:hAnsi="Times New Roman" w:cs="Times New Roman" w:eastAsia="Times New Roman" w:hint="default"/>
        </w:rPr>
        <w:t>2)</w:t>
      </w:r>
      <w:r>
        <w:rPr/>
        <w:t>本期计提、收回或转回的坏账准备情况</w:t>
      </w:r>
      <w:r>
        <w:rPr>
          <w:b w:val="0"/>
          <w:bCs w:val="0"/>
        </w:rPr>
      </w:r>
    </w:p>
    <w:p>
      <w:pPr>
        <w:pStyle w:val="BodyText"/>
        <w:spacing w:line="240" w:lineRule="auto" w:before="101"/>
        <w:ind w:left="318" w:right="-13"/>
        <w:jc w:val="left"/>
      </w:pPr>
      <w:r>
        <w:rPr/>
        <w:t>本期计提坏账准备金额</w:t>
      </w:r>
      <w:r>
        <w:rPr>
          <w:spacing w:val="-46"/>
        </w:rPr>
        <w:t> </w:t>
      </w:r>
      <w:r>
        <w:rPr>
          <w:rFonts w:ascii="Times New Roman" w:hAnsi="Times New Roman" w:cs="Times New Roman" w:eastAsia="Times New Roman" w:hint="default"/>
        </w:rPr>
        <w:t>2,258,361.80</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w:t>
      </w:r>
    </w:p>
    <w:p>
      <w:pPr>
        <w:pStyle w:val="Heading5"/>
        <w:spacing w:line="240" w:lineRule="auto" w:before="102"/>
        <w:ind w:right="-13"/>
        <w:jc w:val="left"/>
        <w:rPr>
          <w:b w:val="0"/>
          <w:bCs w:val="0"/>
        </w:rPr>
      </w:pPr>
      <w:r>
        <w:rPr>
          <w:rFonts w:ascii="Times New Roman" w:hAnsi="Times New Roman" w:cs="Times New Roman" w:eastAsia="Times New Roman" w:hint="default"/>
        </w:rPr>
        <w:t>3)</w:t>
      </w:r>
      <w:r>
        <w:rPr/>
        <w:t>本期实际核销的其他应收款情况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4"/>
          <w:szCs w:val="14"/>
        </w:rPr>
      </w:pPr>
    </w:p>
    <w:p>
      <w:pPr>
        <w:pStyle w:val="BodyText"/>
        <w:spacing w:line="240" w:lineRule="auto"/>
        <w:ind w:left="138" w:right="0"/>
        <w:jc w:val="left"/>
      </w:pPr>
      <w:r>
        <w:rPr/>
        <w:t>单位：</w:t>
      </w:r>
      <w:r>
        <w:rPr>
          <w:spacing w:val="1"/>
        </w:rPr>
        <w:t> </w:t>
      </w:r>
      <w:r>
        <w:rPr/>
        <w:t>元</w:t>
      </w:r>
    </w:p>
    <w:p>
      <w:pPr>
        <w:spacing w:after="0" w:line="240" w:lineRule="auto"/>
        <w:jc w:val="left"/>
        <w:sectPr>
          <w:type w:val="continuous"/>
          <w:pgSz w:w="11910" w:h="16840"/>
          <w:pgMar w:top="1100" w:bottom="1160" w:left="1660" w:right="0"/>
          <w:cols w:num="2" w:equalWidth="0">
            <w:col w:w="6624" w:space="880"/>
            <w:col w:w="2746"/>
          </w:cols>
        </w:sectPr>
      </w:pPr>
    </w:p>
    <w:p>
      <w:pPr>
        <w:spacing w:line="240" w:lineRule="auto" w:before="4"/>
        <w:rPr>
          <w:rFonts w:ascii="宋体" w:hAnsi="宋体" w:cs="宋体" w:eastAsia="宋体"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4782"/>
        <w:gridCol w:w="4789"/>
      </w:tblGrid>
      <w:tr>
        <w:trPr>
          <w:trHeight w:val="360"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360"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14,268.20</w:t>
            </w:r>
          </w:p>
        </w:tc>
      </w:tr>
    </w:tbl>
    <w:p>
      <w:pPr>
        <w:pStyle w:val="BodyText"/>
        <w:spacing w:line="203" w:lineRule="exact"/>
        <w:ind w:left="138" w:right="1683"/>
        <w:jc w:val="left"/>
      </w:pPr>
      <w:r>
        <w:rPr/>
        <w:t>其中重要的其他应收款核销情况：</w:t>
      </w:r>
    </w:p>
    <w:p>
      <w:pPr>
        <w:pStyle w:val="BodyText"/>
        <w:spacing w:line="240" w:lineRule="auto" w:before="115"/>
        <w:ind w:left="0" w:right="1791"/>
        <w:jc w:val="right"/>
      </w:pPr>
      <w:r>
        <w:rPr/>
        <w:t>单位：</w:t>
      </w:r>
      <w:r>
        <w:rPr>
          <w:spacing w:val="1"/>
        </w:rPr>
        <w:t> </w:t>
      </w:r>
      <w:r>
        <w:rPr/>
        <w:t>元</w:t>
      </w:r>
    </w:p>
    <w:p>
      <w:pPr>
        <w:spacing w:line="240" w:lineRule="auto" w:before="4"/>
        <w:rPr>
          <w:rFonts w:ascii="宋体" w:hAnsi="宋体" w:cs="宋体" w:eastAsia="宋体"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right="2"/>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left="1" w:right="0"/>
              <w:jc w:val="center"/>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right="432"/>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right="1"/>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款项是否由关联交</w:t>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易产生</w:t>
            </w:r>
          </w:p>
        </w:tc>
      </w:tr>
      <w:tr>
        <w:trPr>
          <w:trHeight w:val="36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单位一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职工借款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788.21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432"/>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公司内部审批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单位二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职工借款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w w:val="95"/>
                <w:sz w:val="18"/>
              </w:rPr>
              <w:t>1,000.00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432"/>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公司内部审批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单位三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职工借款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139.00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432"/>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公司内部审批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03" w:lineRule="exact"/>
        <w:jc w:val="center"/>
        <w:rPr>
          <w:rFonts w:ascii="宋体" w:hAnsi="宋体" w:cs="宋体" w:eastAsia="宋体" w:hint="default"/>
          <w:sz w:val="18"/>
          <w:szCs w:val="18"/>
        </w:rPr>
        <w:sectPr>
          <w:type w:val="continuous"/>
          <w:pgSz w:w="11910" w:h="16840"/>
          <w:pgMar w:top="1100" w:bottom="1160" w:left="166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36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20"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职工借款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w w:val="95"/>
                <w:sz w:val="18"/>
              </w:rPr>
              <w:t>2,002.05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公司内部审批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20"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职工借款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246.25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公司内部审批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20" w:right="0"/>
              <w:jc w:val="left"/>
              <w:rPr>
                <w:rFonts w:ascii="宋体" w:hAnsi="宋体" w:cs="宋体" w:eastAsia="宋体" w:hint="default"/>
                <w:sz w:val="18"/>
                <w:szCs w:val="18"/>
              </w:rPr>
            </w:pPr>
            <w:r>
              <w:rPr>
                <w:rFonts w:ascii="宋体" w:hAnsi="宋体" w:cs="宋体" w:eastAsia="宋体" w:hint="default"/>
                <w:sz w:val="18"/>
                <w:szCs w:val="18"/>
              </w:rPr>
              <w:t>单位六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职工借款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w w:val="95"/>
                <w:sz w:val="18"/>
              </w:rPr>
              <w:t>1,214.12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公司内部审批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20" w:right="0"/>
              <w:jc w:val="left"/>
              <w:rPr>
                <w:rFonts w:ascii="宋体" w:hAnsi="宋体" w:cs="宋体" w:eastAsia="宋体" w:hint="default"/>
                <w:sz w:val="18"/>
                <w:szCs w:val="18"/>
              </w:rPr>
            </w:pPr>
            <w:r>
              <w:rPr>
                <w:rFonts w:ascii="宋体" w:hAnsi="宋体" w:cs="宋体" w:eastAsia="宋体" w:hint="default"/>
                <w:sz w:val="18"/>
                <w:szCs w:val="18"/>
              </w:rPr>
              <w:t>单位七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职工借款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z w:val="18"/>
              </w:rPr>
              <w:t>98.60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公司内部审批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20" w:right="0"/>
              <w:jc w:val="left"/>
              <w:rPr>
                <w:rFonts w:ascii="宋体" w:hAnsi="宋体" w:cs="宋体" w:eastAsia="宋体" w:hint="default"/>
                <w:sz w:val="18"/>
                <w:szCs w:val="18"/>
              </w:rPr>
            </w:pPr>
            <w:r>
              <w:rPr>
                <w:rFonts w:ascii="宋体" w:hAnsi="宋体" w:cs="宋体" w:eastAsia="宋体" w:hint="default"/>
                <w:sz w:val="18"/>
                <w:szCs w:val="18"/>
              </w:rPr>
              <w:t>单位八</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职工借款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pacing w:val="-1"/>
                <w:sz w:val="18"/>
              </w:rPr>
              <w:t>387.70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公司内部审批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20" w:right="0"/>
              <w:jc w:val="left"/>
              <w:rPr>
                <w:rFonts w:ascii="宋体" w:hAnsi="宋体" w:cs="宋体" w:eastAsia="宋体" w:hint="default"/>
                <w:sz w:val="18"/>
                <w:szCs w:val="18"/>
              </w:rPr>
            </w:pPr>
            <w:r>
              <w:rPr>
                <w:rFonts w:ascii="宋体" w:hAnsi="宋体" w:cs="宋体" w:eastAsia="宋体" w:hint="default"/>
                <w:sz w:val="18"/>
                <w:szCs w:val="18"/>
              </w:rPr>
              <w:t>单位九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职工借款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pacing w:val="-1"/>
                <w:sz w:val="18"/>
              </w:rPr>
              <w:t>693.17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公司内部审批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0" w:right="0"/>
              <w:jc w:val="left"/>
              <w:rPr>
                <w:rFonts w:ascii="宋体" w:hAnsi="宋体" w:cs="宋体" w:eastAsia="宋体" w:hint="default"/>
                <w:sz w:val="18"/>
                <w:szCs w:val="18"/>
              </w:rPr>
            </w:pPr>
            <w:r>
              <w:rPr>
                <w:rFonts w:ascii="宋体" w:hAnsi="宋体" w:cs="宋体" w:eastAsia="宋体" w:hint="default"/>
                <w:sz w:val="18"/>
                <w:szCs w:val="18"/>
              </w:rPr>
              <w:t>单位十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职工借款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w w:val="95"/>
                <w:sz w:val="18"/>
              </w:rPr>
              <w:t>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公司内部审批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32"/>
              <w:jc w:val="right"/>
              <w:rPr>
                <w:rFonts w:ascii="宋体" w:hAnsi="宋体" w:cs="宋体" w:eastAsia="宋体" w:hint="default"/>
                <w:sz w:val="18"/>
                <w:szCs w:val="18"/>
              </w:rPr>
            </w:pPr>
            <w:r>
              <w:rPr>
                <w:rFonts w:ascii="宋体" w:hAnsi="宋体" w:cs="宋体" w:eastAsia="宋体" w:hint="default"/>
                <w:sz w:val="18"/>
                <w:szCs w:val="18"/>
              </w:rPr>
              <w:t>单位十一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职工借款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pacing w:val="-1"/>
                <w:sz w:val="18"/>
              </w:rPr>
              <w:t>147.99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公司内部审批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432"/>
              <w:jc w:val="right"/>
              <w:rPr>
                <w:rFonts w:ascii="宋体" w:hAnsi="宋体" w:cs="宋体" w:eastAsia="宋体" w:hint="default"/>
                <w:sz w:val="18"/>
                <w:szCs w:val="18"/>
              </w:rPr>
            </w:pPr>
            <w:r>
              <w:rPr>
                <w:rFonts w:ascii="宋体" w:hAnsi="宋体" w:cs="宋体" w:eastAsia="宋体" w:hint="default"/>
                <w:sz w:val="18"/>
                <w:szCs w:val="18"/>
              </w:rPr>
              <w:t>单位十二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职工借款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w w:val="95"/>
                <w:sz w:val="18"/>
              </w:rPr>
              <w:t>1,525.05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公司内部审批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432"/>
              <w:jc w:val="right"/>
              <w:rPr>
                <w:rFonts w:ascii="宋体" w:hAnsi="宋体" w:cs="宋体" w:eastAsia="宋体" w:hint="default"/>
                <w:sz w:val="18"/>
                <w:szCs w:val="18"/>
              </w:rPr>
            </w:pPr>
            <w:r>
              <w:rPr>
                <w:rFonts w:ascii="宋体" w:hAnsi="宋体" w:cs="宋体" w:eastAsia="宋体" w:hint="default"/>
                <w:sz w:val="18"/>
                <w:szCs w:val="18"/>
              </w:rPr>
              <w:t>单位十三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职工借款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w w:val="95"/>
                <w:sz w:val="18"/>
              </w:rPr>
              <w:t>1,922.52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公司内部审批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7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432"/>
              <w:jc w:val="right"/>
              <w:rPr>
                <w:rFonts w:ascii="宋体" w:hAnsi="宋体" w:cs="宋体" w:eastAsia="宋体" w:hint="default"/>
                <w:sz w:val="18"/>
                <w:szCs w:val="18"/>
              </w:rPr>
            </w:pPr>
            <w:r>
              <w:rPr>
                <w:rFonts w:ascii="宋体" w:hAnsi="宋体" w:cs="宋体" w:eastAsia="宋体" w:hint="default"/>
                <w:sz w:val="18"/>
                <w:szCs w:val="18"/>
              </w:rPr>
              <w:t>单位十四</w:t>
            </w:r>
          </w:p>
        </w:tc>
        <w:tc>
          <w:tcPr>
            <w:tcW w:w="1594" w:type="dxa"/>
            <w:tcBorders>
              <w:top w:val="single" w:sz="4" w:space="0" w:color="000000"/>
              <w:left w:val="single" w:sz="4" w:space="0" w:color="000000"/>
              <w:bottom w:val="single" w:sz="12" w:space="0" w:color="D2D2D2"/>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职工借款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w w:val="95"/>
                <w:sz w:val="18"/>
              </w:rPr>
              <w:t>2,103.54</w:t>
            </w:r>
          </w:p>
        </w:tc>
        <w:tc>
          <w:tcPr>
            <w:tcW w:w="1594" w:type="dxa"/>
            <w:tcBorders>
              <w:top w:val="single" w:sz="4" w:space="0" w:color="000000"/>
              <w:left w:val="single" w:sz="4" w:space="0" w:color="000000"/>
              <w:bottom w:val="single" w:sz="12" w:space="0" w:color="D2D2D2"/>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12" w:space="0" w:color="D2D2D2"/>
              <w:right w:val="single" w:sz="4"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公司内部审批</w:t>
            </w:r>
          </w:p>
        </w:tc>
        <w:tc>
          <w:tcPr>
            <w:tcW w:w="1596" w:type="dxa"/>
            <w:tcBorders>
              <w:top w:val="single" w:sz="4" w:space="0" w:color="000000"/>
              <w:left w:val="single" w:sz="4" w:space="0" w:color="000000"/>
              <w:bottom w:val="single" w:sz="12" w:space="0" w:color="D2D2D2"/>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22"/>
              <w:jc w:val="right"/>
              <w:rPr>
                <w:rFonts w:ascii="Times New Roman" w:hAnsi="Times New Roman" w:cs="Times New Roman" w:eastAsia="Times New Roman" w:hint="default"/>
                <w:sz w:val="18"/>
                <w:szCs w:val="18"/>
              </w:rPr>
            </w:pPr>
            <w:r>
              <w:rPr>
                <w:rFonts w:ascii="Times New Roman"/>
                <w:spacing w:val="-1"/>
                <w:sz w:val="18"/>
              </w:rPr>
              <w:t>14,268.20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2"/>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2"/>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center"/>
              <w:rPr>
                <w:rFonts w:ascii="Times New Roman" w:hAnsi="Times New Roman" w:cs="Times New Roman" w:eastAsia="Times New Roman" w:hint="default"/>
                <w:sz w:val="18"/>
                <w:szCs w:val="18"/>
              </w:rPr>
            </w:pPr>
            <w:r>
              <w:rPr>
                <w:rFonts w:ascii="Times New Roman"/>
                <w:sz w:val="18"/>
              </w:rPr>
              <w:t>--</w:t>
            </w:r>
          </w:p>
        </w:tc>
      </w:tr>
    </w:tbl>
    <w:p>
      <w:pPr>
        <w:pStyle w:val="Heading5"/>
        <w:spacing w:line="226" w:lineRule="exact"/>
        <w:ind w:right="1683"/>
        <w:jc w:val="left"/>
        <w:rPr>
          <w:b w:val="0"/>
          <w:bCs w:val="0"/>
        </w:rPr>
      </w:pPr>
      <w:r>
        <w:rPr>
          <w:rFonts w:ascii="Times New Roman" w:hAnsi="Times New Roman" w:cs="Times New Roman" w:eastAsia="Times New Roman" w:hint="default"/>
        </w:rPr>
        <w:t>4)</w:t>
      </w:r>
      <w:r>
        <w:rPr/>
        <w:t>其他应收款按款项性质分类情况</w:t>
      </w:r>
      <w:r>
        <w:rPr>
          <w:b w:val="0"/>
          <w:bCs w:val="0"/>
        </w:rPr>
      </w:r>
    </w:p>
    <w:p>
      <w:pPr>
        <w:pStyle w:val="BodyText"/>
        <w:spacing w:line="240" w:lineRule="auto" w:before="101"/>
        <w:ind w:left="0" w:right="1791"/>
        <w:jc w:val="right"/>
      </w:pPr>
      <w:r>
        <w:rPr/>
        <w:t>单位：</w:t>
      </w:r>
      <w:r>
        <w:rPr>
          <w:spacing w:val="1"/>
        </w:rPr>
        <w:t> </w:t>
      </w:r>
      <w:r>
        <w:rPr/>
        <w:t>元</w:t>
      </w:r>
    </w:p>
    <w:p>
      <w:pPr>
        <w:spacing w:line="240" w:lineRule="auto" w:before="4"/>
        <w:rPr>
          <w:rFonts w:ascii="宋体" w:hAnsi="宋体" w:cs="宋体" w:eastAsia="宋体"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3188"/>
        <w:gridCol w:w="3192"/>
        <w:gridCol w:w="3190"/>
      </w:tblGrid>
      <w:tr>
        <w:trPr>
          <w:trHeight w:val="36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4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4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6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18"/>
                <w:szCs w:val="18"/>
              </w:rPr>
            </w:pPr>
            <w:r>
              <w:rPr>
                <w:rFonts w:ascii="Times New Roman"/>
                <w:spacing w:val="-1"/>
                <w:sz w:val="18"/>
              </w:rPr>
              <w:t>38,201,091.86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36,471,182.57</w:t>
            </w:r>
          </w:p>
        </w:tc>
      </w:tr>
      <w:tr>
        <w:trPr>
          <w:trHeight w:val="36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18"/>
                <w:szCs w:val="18"/>
              </w:rPr>
            </w:pPr>
            <w:r>
              <w:rPr>
                <w:rFonts w:ascii="Times New Roman"/>
                <w:spacing w:val="-1"/>
                <w:sz w:val="18"/>
              </w:rPr>
              <w:t>56,683,355.93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43,411,684.98</w:t>
            </w:r>
          </w:p>
        </w:tc>
      </w:tr>
      <w:tr>
        <w:trPr>
          <w:trHeight w:val="36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应收补贴款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146,480.95</w:t>
            </w:r>
          </w:p>
        </w:tc>
      </w:tr>
      <w:tr>
        <w:trPr>
          <w:trHeight w:val="36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职工借款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18"/>
                <w:szCs w:val="18"/>
              </w:rPr>
            </w:pPr>
            <w:r>
              <w:rPr>
                <w:rFonts w:ascii="Times New Roman"/>
                <w:spacing w:val="-1"/>
                <w:sz w:val="18"/>
              </w:rPr>
              <w:t>33,742,338.75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28,993,945.39</w:t>
            </w:r>
          </w:p>
        </w:tc>
      </w:tr>
      <w:tr>
        <w:trPr>
          <w:trHeight w:val="36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6"/>
              <w:ind w:right="24"/>
              <w:jc w:val="right"/>
              <w:rPr>
                <w:rFonts w:ascii="Times New Roman" w:hAnsi="Times New Roman" w:cs="Times New Roman" w:eastAsia="Times New Roman" w:hint="default"/>
                <w:sz w:val="18"/>
                <w:szCs w:val="18"/>
              </w:rPr>
            </w:pPr>
            <w:r>
              <w:rPr>
                <w:rFonts w:ascii="Times New Roman"/>
                <w:spacing w:val="-1"/>
                <w:sz w:val="18"/>
              </w:rPr>
              <w:t>128,626,786.54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109,023,293.89</w:t>
            </w:r>
          </w:p>
        </w:tc>
      </w:tr>
    </w:tbl>
    <w:p>
      <w:pPr>
        <w:pStyle w:val="Heading5"/>
        <w:spacing w:line="217" w:lineRule="exact"/>
        <w:ind w:right="1683"/>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pStyle w:val="BodyText"/>
        <w:spacing w:line="240" w:lineRule="auto" w:before="101"/>
        <w:ind w:left="0" w:right="1791"/>
        <w:jc w:val="right"/>
      </w:pPr>
      <w:r>
        <w:rPr/>
        <w:t>单位：</w:t>
      </w:r>
      <w:r>
        <w:rPr>
          <w:spacing w:val="1"/>
        </w:rPr>
        <w:t> </w:t>
      </w:r>
      <w:r>
        <w:rPr/>
        <w:t>元</w:t>
      </w:r>
    </w:p>
    <w:p>
      <w:pPr>
        <w:spacing w:line="240" w:lineRule="auto" w:before="4"/>
        <w:rPr>
          <w:rFonts w:ascii="宋体" w:hAnsi="宋体" w:cs="宋体" w:eastAsia="宋体"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left="42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left="1"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69" w:right="0"/>
              <w:jc w:val="left"/>
              <w:rPr>
                <w:rFonts w:ascii="宋体" w:hAnsi="宋体" w:cs="宋体" w:eastAsia="宋体" w:hint="default"/>
                <w:sz w:val="18"/>
                <w:szCs w:val="18"/>
              </w:rPr>
            </w:pPr>
            <w:r>
              <w:rPr>
                <w:rFonts w:ascii="宋体" w:hAnsi="宋体" w:cs="宋体" w:eastAsia="宋体" w:hint="default"/>
                <w:sz w:val="18"/>
                <w:szCs w:val="18"/>
              </w:rPr>
              <w:t>占其他应收款期末</w:t>
            </w:r>
          </w:p>
          <w:p>
            <w:pPr>
              <w:pStyle w:val="TableParagraph"/>
              <w:spacing w:line="240" w:lineRule="auto" w:before="115"/>
              <w:ind w:left="69" w:right="0"/>
              <w:jc w:val="left"/>
              <w:rPr>
                <w:rFonts w:ascii="宋体" w:hAnsi="宋体" w:cs="宋体" w:eastAsia="宋体" w:hint="default"/>
                <w:sz w:val="18"/>
                <w:szCs w:val="18"/>
              </w:rPr>
            </w:pPr>
            <w:r>
              <w:rPr>
                <w:rFonts w:ascii="宋体" w:hAnsi="宋体" w:cs="宋体" w:eastAsia="宋体" w:hint="default"/>
                <w:sz w:val="18"/>
                <w:szCs w:val="18"/>
              </w:rPr>
              <w:t>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6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20"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4,761,200.00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3.70%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23,806.00</w:t>
            </w:r>
          </w:p>
        </w:tc>
      </w:tr>
      <w:tr>
        <w:trPr>
          <w:trHeight w:val="36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20"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4,772,154.66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3.71%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pacing w:val="-1"/>
                <w:sz w:val="18"/>
              </w:rPr>
              <w:t>4,684,674.26</w:t>
            </w:r>
          </w:p>
        </w:tc>
      </w:tr>
      <w:tr>
        <w:trPr>
          <w:trHeight w:val="36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20"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3,080,000.00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8"/>
                <w:szCs w:val="18"/>
              </w:rPr>
            </w:pPr>
            <w:r>
              <w:rPr>
                <w:rFonts w:ascii="Times New Roman"/>
                <w:sz w:val="18"/>
              </w:rPr>
              <w:t>2.39%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pacing w:val="-1"/>
                <w:sz w:val="18"/>
              </w:rPr>
              <w:t>732,250.00</w:t>
            </w:r>
          </w:p>
        </w:tc>
      </w:tr>
      <w:tr>
        <w:trPr>
          <w:trHeight w:val="36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20"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2,850,000.00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8"/>
                <w:szCs w:val="18"/>
              </w:rPr>
            </w:pPr>
            <w:r>
              <w:rPr>
                <w:rFonts w:ascii="Times New Roman"/>
                <w:sz w:val="18"/>
              </w:rPr>
              <w:t>2.22%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pacing w:val="-1"/>
                <w:sz w:val="18"/>
              </w:rPr>
              <w:t>1,425,000.00</w:t>
            </w:r>
          </w:p>
        </w:tc>
      </w:tr>
      <w:tr>
        <w:trPr>
          <w:trHeight w:val="37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20"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1594" w:type="dxa"/>
            <w:tcBorders>
              <w:top w:val="single" w:sz="4" w:space="0" w:color="000000"/>
              <w:left w:val="single" w:sz="4" w:space="0" w:color="000000"/>
              <w:bottom w:val="single" w:sz="12" w:space="0" w:color="D2D2D2"/>
              <w:right w:val="single" w:sz="4" w:space="0" w:color="000000"/>
            </w:tcBorders>
          </w:tcPr>
          <w:p>
            <w:pPr>
              <w:pStyle w:val="TableParagraph"/>
              <w:spacing w:line="203" w:lineRule="exact"/>
              <w:ind w:left="2" w:right="0"/>
              <w:jc w:val="center"/>
              <w:rPr>
                <w:rFonts w:ascii="宋体" w:hAnsi="宋体" w:cs="宋体" w:eastAsia="宋体" w:hint="default"/>
                <w:sz w:val="18"/>
                <w:szCs w:val="18"/>
              </w:rPr>
            </w:pPr>
            <w:r>
              <w:rPr>
                <w:rFonts w:ascii="宋体" w:hAnsi="宋体" w:cs="宋体" w:eastAsia="宋体" w:hint="default"/>
                <w:sz w:val="18"/>
                <w:szCs w:val="18"/>
              </w:rPr>
              <w:t>测试钞</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2,617,233.76</w:t>
            </w:r>
          </w:p>
        </w:tc>
        <w:tc>
          <w:tcPr>
            <w:tcW w:w="1594" w:type="dxa"/>
            <w:tcBorders>
              <w:top w:val="single" w:sz="4" w:space="0" w:color="000000"/>
              <w:left w:val="single" w:sz="4" w:space="0" w:color="000000"/>
              <w:bottom w:val="single" w:sz="12" w:space="0" w:color="D2D2D2"/>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8"/>
                <w:szCs w:val="18"/>
              </w:rPr>
            </w:pPr>
            <w:r>
              <w:rPr>
                <w:rFonts w:ascii="Times New Roman"/>
                <w:sz w:val="18"/>
              </w:rPr>
              <w:t>2.03%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pacing w:val="-1"/>
                <w:sz w:val="18"/>
              </w:rPr>
              <w:t>13,086.17</w:t>
            </w:r>
          </w:p>
        </w:tc>
      </w:tr>
      <w:tr>
        <w:trPr>
          <w:trHeight w:val="34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5" w:lineRule="exact"/>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22"/>
              <w:jc w:val="right"/>
              <w:rPr>
                <w:rFonts w:ascii="Times New Roman" w:hAnsi="Times New Roman" w:cs="Times New Roman" w:eastAsia="Times New Roman" w:hint="default"/>
                <w:sz w:val="18"/>
                <w:szCs w:val="18"/>
              </w:rPr>
            </w:pPr>
            <w:r>
              <w:rPr>
                <w:rFonts w:ascii="Times New Roman"/>
                <w:spacing w:val="-1"/>
                <w:sz w:val="18"/>
              </w:rPr>
              <w:t>18,080,588.42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2"/>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8"/>
              <w:jc w:val="right"/>
              <w:rPr>
                <w:rFonts w:ascii="Times New Roman" w:hAnsi="Times New Roman" w:cs="Times New Roman" w:eastAsia="Times New Roman" w:hint="default"/>
                <w:sz w:val="18"/>
                <w:szCs w:val="18"/>
              </w:rPr>
            </w:pPr>
            <w:r>
              <w:rPr>
                <w:rFonts w:ascii="Times New Roman"/>
                <w:sz w:val="18"/>
              </w:rPr>
              <w:t>14.05%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Times New Roman" w:hAnsi="Times New Roman" w:cs="Times New Roman" w:eastAsia="Times New Roman" w:hint="default"/>
                <w:sz w:val="18"/>
                <w:szCs w:val="18"/>
              </w:rPr>
            </w:pPr>
            <w:r>
              <w:rPr>
                <w:rFonts w:ascii="Times New Roman"/>
                <w:spacing w:val="-1"/>
                <w:sz w:val="18"/>
              </w:rPr>
              <w:t>6,878,816.43</w:t>
            </w:r>
          </w:p>
        </w:tc>
      </w:tr>
    </w:tbl>
    <w:p>
      <w:pPr>
        <w:spacing w:after="0" w:line="240" w:lineRule="auto"/>
        <w:jc w:val="right"/>
        <w:rPr>
          <w:rFonts w:ascii="Times New Roman" w:hAnsi="Times New Roman" w:cs="Times New Roman" w:eastAsia="Times New Roman" w:hint="default"/>
          <w:sz w:val="18"/>
          <w:szCs w:val="18"/>
        </w:rPr>
        <w:sectPr>
          <w:pgSz w:w="11910" w:h="16840"/>
          <w:pgMar w:header="733" w:footer="977" w:top="960" w:bottom="1160" w:left="1660" w:right="0"/>
        </w:sectPr>
      </w:pPr>
    </w:p>
    <w:p>
      <w:pPr>
        <w:pStyle w:val="Heading5"/>
        <w:spacing w:line="227" w:lineRule="exact"/>
        <w:ind w:right="-20"/>
        <w:jc w:val="left"/>
        <w:rPr>
          <w:b w:val="0"/>
          <w:bCs w:val="0"/>
        </w:rPr>
      </w:pPr>
      <w:r>
        <w:rPr>
          <w:rFonts w:ascii="Times New Roman" w:hAnsi="Times New Roman" w:cs="Times New Roman" w:eastAsia="Times New Roman" w:hint="default"/>
        </w:rPr>
        <w:t>6)</w:t>
      </w:r>
      <w:r>
        <w:rPr/>
        <w:t>涉及政府补助的应收款项</w:t>
      </w:r>
      <w:r>
        <w:rPr>
          <w:b w:val="0"/>
          <w:bCs w:val="0"/>
        </w:rPr>
      </w:r>
    </w:p>
    <w:p>
      <w:pPr>
        <w:pStyle w:val="BodyText"/>
        <w:spacing w:line="240" w:lineRule="auto" w:before="101"/>
        <w:ind w:left="320" w:right="-20"/>
        <w:jc w:val="left"/>
      </w:pPr>
      <w:r>
        <w:rPr/>
        <w:t>本期没有涉及政府补助的应收款项。</w:t>
      </w:r>
    </w:p>
    <w:p>
      <w:pPr>
        <w:spacing w:line="338" w:lineRule="auto" w:before="112"/>
        <w:ind w:left="318" w:right="340" w:hanging="18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因金融资产转移而终止确认的其他应收款</w:t>
      </w:r>
      <w:r>
        <w:rPr>
          <w:rFonts w:ascii="宋体" w:hAnsi="宋体" w:cs="宋体" w:eastAsia="宋体" w:hint="default"/>
          <w:b/>
          <w:bCs/>
          <w:w w:val="99"/>
          <w:sz w:val="18"/>
          <w:szCs w:val="18"/>
        </w:rPr>
        <w:t> </w:t>
      </w:r>
      <w:r>
        <w:rPr>
          <w:rFonts w:ascii="宋体" w:hAnsi="宋体" w:cs="宋体" w:eastAsia="宋体" w:hint="default"/>
          <w:sz w:val="18"/>
          <w:szCs w:val="18"/>
        </w:rPr>
        <w:t>本期没有因金融资产转移而终止确认的其他应收款。</w:t>
      </w:r>
    </w:p>
    <w:p>
      <w:pPr>
        <w:spacing w:line="338" w:lineRule="auto" w:before="41"/>
        <w:ind w:left="318" w:right="-20" w:hanging="18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8)</w:t>
      </w:r>
      <w:r>
        <w:rPr>
          <w:rFonts w:ascii="宋体" w:hAnsi="宋体" w:cs="宋体" w:eastAsia="宋体" w:hint="default"/>
          <w:b/>
          <w:bCs/>
          <w:sz w:val="18"/>
          <w:szCs w:val="18"/>
        </w:rPr>
        <w:t>转移其他应收款且继续涉入形成的资产、负债金额</w:t>
      </w:r>
      <w:r>
        <w:rPr>
          <w:rFonts w:ascii="宋体" w:hAnsi="宋体" w:cs="宋体" w:eastAsia="宋体" w:hint="default"/>
          <w:b/>
          <w:bCs/>
          <w:w w:val="99"/>
          <w:sz w:val="18"/>
          <w:szCs w:val="18"/>
        </w:rPr>
        <w:t> </w:t>
      </w:r>
      <w:r>
        <w:rPr>
          <w:rFonts w:ascii="宋体" w:hAnsi="宋体" w:cs="宋体" w:eastAsia="宋体" w:hint="default"/>
          <w:sz w:val="18"/>
          <w:szCs w:val="18"/>
        </w:rPr>
        <w:t>本期没有转移其他应收款且继续涉入形成的资产、负债。</w:t>
      </w:r>
    </w:p>
    <w:p>
      <w:pPr>
        <w:pStyle w:val="Heading4"/>
        <w:spacing w:line="240" w:lineRule="auto" w:before="41"/>
        <w:ind w:left="138" w:right="-20"/>
        <w:jc w:val="left"/>
        <w:rPr>
          <w:b w:val="0"/>
          <w:bCs w:val="0"/>
        </w:rPr>
      </w:pPr>
      <w:r>
        <w:rPr>
          <w:rFonts w:ascii="Times New Roman" w:hAnsi="Times New Roman" w:cs="Times New Roman" w:eastAsia="Times New Roman" w:hint="default"/>
        </w:rPr>
        <w:t>5</w:t>
      </w:r>
      <w:r>
        <w:rPr/>
        <w:t>、存货</w:t>
      </w:r>
      <w:r>
        <w:rPr>
          <w:b w:val="0"/>
          <w:bCs w:val="0"/>
        </w:rPr>
      </w:r>
    </w:p>
    <w:p>
      <w:pPr>
        <w:pStyle w:val="Heading4"/>
        <w:spacing w:line="240" w:lineRule="auto" w:before="112"/>
        <w:ind w:left="138" w:right="-2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20"/>
          <w:szCs w:val="20"/>
        </w:rPr>
      </w:pPr>
    </w:p>
    <w:p>
      <w:pPr>
        <w:pStyle w:val="BodyText"/>
        <w:spacing w:line="240" w:lineRule="auto"/>
        <w:ind w:left="138" w:right="0"/>
        <w:jc w:val="left"/>
      </w:pPr>
      <w:r>
        <w:rPr/>
        <w:t>单位：</w:t>
      </w:r>
      <w:r>
        <w:rPr>
          <w:spacing w:val="1"/>
        </w:rPr>
        <w:t> </w:t>
      </w:r>
      <w:r>
        <w:rPr/>
        <w:t>元</w:t>
      </w:r>
    </w:p>
    <w:p>
      <w:pPr>
        <w:spacing w:after="0" w:line="240" w:lineRule="auto"/>
        <w:jc w:val="left"/>
        <w:sectPr>
          <w:type w:val="continuous"/>
          <w:pgSz w:w="11910" w:h="16840"/>
          <w:pgMar w:top="1100" w:bottom="1160" w:left="1660" w:right="0"/>
          <w:cols w:num="2" w:equalWidth="0">
            <w:col w:w="4819" w:space="2685"/>
            <w:col w:w="2746"/>
          </w:cols>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tbl>
      <w:tblPr>
        <w:tblW w:w="0" w:type="auto"/>
        <w:jc w:val="left"/>
        <w:tblInd w:w="144" w:type="dxa"/>
        <w:tblLayout w:type="fixed"/>
        <w:tblCellMar>
          <w:top w:w="0" w:type="dxa"/>
          <w:left w:w="0" w:type="dxa"/>
          <w:bottom w:w="0" w:type="dxa"/>
          <w:right w:w="0" w:type="dxa"/>
        </w:tblCellMar>
        <w:tblLook w:val="01E0"/>
      </w:tblPr>
      <w:tblGrid>
        <w:gridCol w:w="1357"/>
        <w:gridCol w:w="1369"/>
        <w:gridCol w:w="1368"/>
        <w:gridCol w:w="1366"/>
        <w:gridCol w:w="1368"/>
        <w:gridCol w:w="1366"/>
        <w:gridCol w:w="1368"/>
      </w:tblGrid>
      <w:tr>
        <w:trPr>
          <w:trHeight w:val="18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03"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70"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03" w:lineRule="exact"/>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8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08" w:lineRule="exact"/>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08" w:lineRule="exact"/>
              <w:ind w:left="31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08" w:lineRule="exact"/>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08" w:lineRule="exact"/>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08" w:lineRule="exact"/>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08" w:lineRule="exact"/>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8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360"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248,763,470.85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4"/>
              <w:jc w:val="right"/>
              <w:rPr>
                <w:rFonts w:ascii="Times New Roman" w:hAnsi="Times New Roman" w:cs="Times New Roman" w:eastAsia="Times New Roman" w:hint="default"/>
                <w:sz w:val="18"/>
                <w:szCs w:val="18"/>
              </w:rPr>
            </w:pPr>
            <w:r>
              <w:rPr>
                <w:rFonts w:ascii="Times New Roman"/>
                <w:spacing w:val="-1"/>
                <w:sz w:val="18"/>
              </w:rPr>
              <w:t>17,608,664.75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231,154,806.10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218,075,213.62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pacing w:val="-1"/>
                <w:sz w:val="18"/>
              </w:rPr>
              <w:t>3,738,027.87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214,337,185.75</w:t>
            </w:r>
          </w:p>
        </w:tc>
      </w:tr>
      <w:tr>
        <w:trPr>
          <w:trHeight w:val="360"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194,351,536.37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4"/>
              <w:jc w:val="right"/>
              <w:rPr>
                <w:rFonts w:ascii="Times New Roman" w:hAnsi="Times New Roman" w:cs="Times New Roman" w:eastAsia="Times New Roman" w:hint="default"/>
                <w:sz w:val="18"/>
                <w:szCs w:val="18"/>
              </w:rPr>
            </w:pPr>
            <w:r>
              <w:rPr>
                <w:rFonts w:ascii="Times New Roman"/>
                <w:spacing w:val="-1"/>
                <w:sz w:val="18"/>
              </w:rPr>
              <w:t>4,489,666.49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189,861,869.88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141,835,539.48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pacing w:val="-1"/>
                <w:sz w:val="18"/>
              </w:rPr>
              <w:t>972,267.55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140,863,271.93</w:t>
            </w:r>
          </w:p>
        </w:tc>
      </w:tr>
      <w:tr>
        <w:trPr>
          <w:trHeight w:val="360"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1,512,533,039.90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4"/>
              <w:jc w:val="right"/>
              <w:rPr>
                <w:rFonts w:ascii="Times New Roman" w:hAnsi="Times New Roman" w:cs="Times New Roman" w:eastAsia="Times New Roman" w:hint="default"/>
                <w:sz w:val="18"/>
                <w:szCs w:val="18"/>
              </w:rPr>
            </w:pPr>
            <w:r>
              <w:rPr>
                <w:rFonts w:ascii="Times New Roman"/>
                <w:spacing w:val="-1"/>
                <w:sz w:val="18"/>
              </w:rPr>
              <w:t>77,714,125.25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1,434,818,914.65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1,609,893,072.50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45,625,586.09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1,564,267,486.41</w:t>
            </w:r>
          </w:p>
        </w:tc>
      </w:tr>
      <w:tr>
        <w:trPr>
          <w:trHeight w:val="360"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9,125,519.05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9,125,519.05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15,479,820.59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15,479,820.59</w:t>
            </w:r>
          </w:p>
        </w:tc>
      </w:tr>
      <w:tr>
        <w:trPr>
          <w:trHeight w:val="362"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1,964,773,566.17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4"/>
              <w:jc w:val="right"/>
              <w:rPr>
                <w:rFonts w:ascii="Times New Roman" w:hAnsi="Times New Roman" w:cs="Times New Roman" w:eastAsia="Times New Roman" w:hint="default"/>
                <w:sz w:val="18"/>
                <w:szCs w:val="18"/>
              </w:rPr>
            </w:pPr>
            <w:r>
              <w:rPr>
                <w:rFonts w:ascii="Times New Roman"/>
                <w:spacing w:val="-1"/>
                <w:sz w:val="18"/>
              </w:rPr>
              <w:t>99,812,456.49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1,864,961,109.68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1,985,283,646.19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50,335,881.51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1,934,947,764.68</w:t>
            </w:r>
          </w:p>
        </w:tc>
      </w:tr>
    </w:tbl>
    <w:p>
      <w:pPr>
        <w:spacing w:after="0" w:line="240" w:lineRule="auto"/>
        <w:jc w:val="right"/>
        <w:rPr>
          <w:rFonts w:ascii="Times New Roman" w:hAnsi="Times New Roman" w:cs="Times New Roman" w:eastAsia="Times New Roman" w:hint="default"/>
          <w:sz w:val="18"/>
          <w:szCs w:val="18"/>
        </w:rPr>
        <w:sectPr>
          <w:pgSz w:w="11910" w:h="16840"/>
          <w:pgMar w:header="733" w:footer="977" w:top="960" w:bottom="1160" w:left="1660" w:right="0"/>
        </w:sectPr>
      </w:pPr>
    </w:p>
    <w:p>
      <w:pPr>
        <w:pStyle w:val="Heading4"/>
        <w:spacing w:line="245" w:lineRule="exact"/>
        <w:ind w:left="138" w:right="0"/>
        <w:jc w:val="left"/>
        <w:rPr>
          <w:b w:val="0"/>
          <w:bCs w:val="0"/>
        </w:rPr>
      </w:pPr>
      <w:r>
        <w:rPr>
          <w:w w:val="95"/>
        </w:rPr>
        <w:t>（</w:t>
      </w:r>
      <w:r>
        <w:rPr>
          <w:rFonts w:ascii="Times New Roman" w:hAnsi="Times New Roman" w:cs="Times New Roman" w:eastAsia="Times New Roman" w:hint="default"/>
          <w:w w:val="95"/>
        </w:rPr>
        <w:t>2</w:t>
      </w:r>
      <w:r>
        <w:rPr>
          <w:w w:val="95"/>
        </w:rPr>
        <w:t>）存货跌价准备</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pStyle w:val="BodyText"/>
        <w:spacing w:line="240" w:lineRule="auto" w:before="120"/>
        <w:ind w:left="138" w:right="0"/>
        <w:jc w:val="left"/>
      </w:pPr>
      <w:r>
        <w:rPr/>
        <w:t>单位：</w:t>
      </w:r>
      <w:r>
        <w:rPr>
          <w:spacing w:val="1"/>
        </w:rPr>
        <w:t> </w:t>
      </w:r>
      <w:r>
        <w:rPr/>
        <w:t>元</w:t>
      </w:r>
    </w:p>
    <w:p>
      <w:pPr>
        <w:spacing w:after="0" w:line="240" w:lineRule="auto"/>
        <w:jc w:val="left"/>
        <w:sectPr>
          <w:type w:val="continuous"/>
          <w:pgSz w:w="11910" w:h="16840"/>
          <w:pgMar w:top="1100" w:bottom="1160" w:left="1660" w:right="0"/>
          <w:cols w:num="2" w:equalWidth="0">
            <w:col w:w="1844" w:space="5660"/>
            <w:col w:w="2746"/>
          </w:cols>
        </w:sectPr>
      </w:pPr>
    </w:p>
    <w:p>
      <w:pPr>
        <w:spacing w:line="240" w:lineRule="auto" w:before="4"/>
        <w:rPr>
          <w:rFonts w:ascii="宋体" w:hAnsi="宋体" w:cs="宋体" w:eastAsia="宋体" w:hint="default"/>
          <w:sz w:val="11"/>
          <w:szCs w:val="11"/>
        </w:rPr>
      </w:pPr>
    </w:p>
    <w:tbl>
      <w:tblPr>
        <w:tblW w:w="0" w:type="auto"/>
        <w:jc w:val="left"/>
        <w:tblInd w:w="144" w:type="dxa"/>
        <w:tblLayout w:type="fixed"/>
        <w:tblCellMar>
          <w:top w:w="0" w:type="dxa"/>
          <w:left w:w="0" w:type="dxa"/>
          <w:bottom w:w="0" w:type="dxa"/>
          <w:right w:w="0" w:type="dxa"/>
        </w:tblCellMar>
        <w:tblLook w:val="01E0"/>
      </w:tblPr>
      <w:tblGrid>
        <w:gridCol w:w="1345"/>
        <w:gridCol w:w="1381"/>
        <w:gridCol w:w="1368"/>
        <w:gridCol w:w="1366"/>
        <w:gridCol w:w="1368"/>
        <w:gridCol w:w="1366"/>
        <w:gridCol w:w="1368"/>
      </w:tblGrid>
      <w:tr>
        <w:trPr>
          <w:trHeight w:val="185"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04" w:lineRule="exact"/>
              <w:ind w:left="82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04" w:lineRule="exact"/>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0" w:hRule="exact"/>
        </w:trPr>
        <w:tc>
          <w:tcPr>
            <w:tcW w:w="1345" w:type="dxa"/>
            <w:vMerge w:val="restart"/>
            <w:tcBorders>
              <w:top w:val="nil" w:sz="6" w:space="0" w:color="auto"/>
              <w:left w:val="single" w:sz="4" w:space="0" w:color="000000"/>
              <w:right w:val="single" w:sz="4" w:space="0" w:color="000000"/>
            </w:tcBorders>
            <w:shd w:val="clear" w:color="auto" w:fill="D2D2D2"/>
          </w:tcPr>
          <w:p>
            <w:pPr>
              <w:pStyle w:val="TableParagraph"/>
              <w:spacing w:line="203"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81" w:type="dxa"/>
            <w:vMerge w:val="restart"/>
            <w:tcBorders>
              <w:top w:val="nil" w:sz="6" w:space="0" w:color="auto"/>
              <w:left w:val="single" w:sz="4" w:space="0" w:color="000000"/>
              <w:right w:val="single" w:sz="4" w:space="0" w:color="000000"/>
            </w:tcBorders>
            <w:shd w:val="clear" w:color="auto" w:fill="D2D2D2"/>
          </w:tcPr>
          <w:p>
            <w:pPr>
              <w:pStyle w:val="TableParagraph"/>
              <w:spacing w:line="203" w:lineRule="exact"/>
              <w:ind w:left="32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03" w:lineRule="exact"/>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80" w:hRule="exact"/>
        </w:trPr>
        <w:tc>
          <w:tcPr>
            <w:tcW w:w="1345" w:type="dxa"/>
            <w:vMerge/>
            <w:tcBorders>
              <w:left w:val="single" w:sz="4" w:space="0" w:color="000000"/>
              <w:bottom w:val="nil" w:sz="6" w:space="0" w:color="auto"/>
              <w:right w:val="single" w:sz="4" w:space="0" w:color="000000"/>
            </w:tcBorders>
            <w:shd w:val="clear" w:color="auto" w:fill="D2D2D2"/>
          </w:tcPr>
          <w:p>
            <w:pPr/>
          </w:p>
        </w:tc>
        <w:tc>
          <w:tcPr>
            <w:tcW w:w="1381"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08" w:lineRule="exact"/>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185"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60"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3,738,027.87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18"/>
                <w:szCs w:val="18"/>
              </w:rPr>
            </w:pPr>
            <w:r>
              <w:rPr>
                <w:rFonts w:ascii="Times New Roman"/>
                <w:spacing w:val="-1"/>
                <w:sz w:val="18"/>
              </w:rPr>
              <w:t>14,048,093.92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177,457.04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17,608,664.75</w:t>
            </w:r>
          </w:p>
        </w:tc>
      </w:tr>
      <w:tr>
        <w:trPr>
          <w:trHeight w:val="360"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972,267.55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18"/>
                <w:szCs w:val="18"/>
              </w:rPr>
            </w:pPr>
            <w:r>
              <w:rPr>
                <w:rFonts w:ascii="Times New Roman"/>
                <w:spacing w:val="-1"/>
                <w:sz w:val="18"/>
              </w:rPr>
              <w:t>3,517,398.94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4,489,666.49</w:t>
            </w:r>
          </w:p>
        </w:tc>
      </w:tr>
      <w:tr>
        <w:trPr>
          <w:trHeight w:val="360"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45,625,586.09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18"/>
                <w:szCs w:val="18"/>
              </w:rPr>
            </w:pPr>
            <w:r>
              <w:rPr>
                <w:rFonts w:ascii="Times New Roman"/>
                <w:spacing w:val="-1"/>
                <w:sz w:val="18"/>
              </w:rPr>
              <w:t>54,978,398.86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222,655.31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23,112,515.01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77,714,125.25</w:t>
            </w:r>
          </w:p>
        </w:tc>
      </w:tr>
      <w:tr>
        <w:trPr>
          <w:trHeight w:val="360"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50,335,881.51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18"/>
                <w:szCs w:val="18"/>
              </w:rPr>
            </w:pPr>
            <w:r>
              <w:rPr>
                <w:rFonts w:ascii="Times New Roman"/>
                <w:spacing w:val="-1"/>
                <w:sz w:val="18"/>
              </w:rPr>
              <w:t>72,543,891.72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222,655.31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23,289,972.05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99,812,456.49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160" w:left="1660" w:right="0"/>
        </w:sectPr>
      </w:pPr>
    </w:p>
    <w:p>
      <w:pPr>
        <w:pStyle w:val="Heading4"/>
        <w:spacing w:line="245" w:lineRule="exact"/>
        <w:ind w:left="138" w:right="0"/>
        <w:jc w:val="left"/>
        <w:rPr>
          <w:b w:val="0"/>
          <w:bCs w:val="0"/>
        </w:rPr>
      </w:pPr>
      <w:r>
        <w:rPr>
          <w:rFonts w:ascii="Times New Roman" w:hAnsi="Times New Roman" w:cs="Times New Roman" w:eastAsia="Times New Roman" w:hint="default"/>
          <w:w w:val="95"/>
        </w:rPr>
        <w:t>6</w:t>
      </w:r>
      <w:r>
        <w:rPr>
          <w:w w:val="95"/>
        </w:rPr>
        <w:t>、持有待售资产</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pStyle w:val="BodyText"/>
        <w:spacing w:line="240" w:lineRule="auto" w:before="120"/>
        <w:ind w:left="138" w:right="0"/>
        <w:jc w:val="left"/>
      </w:pPr>
      <w:r>
        <w:rPr/>
        <w:t>单位：</w:t>
      </w:r>
      <w:r>
        <w:rPr>
          <w:spacing w:val="1"/>
        </w:rPr>
        <w:t> </w:t>
      </w:r>
      <w:r>
        <w:rPr/>
        <w:t>元</w:t>
      </w:r>
    </w:p>
    <w:p>
      <w:pPr>
        <w:spacing w:after="0" w:line="240" w:lineRule="auto"/>
        <w:jc w:val="left"/>
        <w:sectPr>
          <w:type w:val="continuous"/>
          <w:pgSz w:w="11910" w:h="16840"/>
          <w:pgMar w:top="1100" w:bottom="1160" w:left="1660" w:right="0"/>
          <w:cols w:num="2" w:equalWidth="0">
            <w:col w:w="1643" w:space="5861"/>
            <w:col w:w="2746"/>
          </w:cols>
        </w:sectPr>
      </w:pPr>
    </w:p>
    <w:p>
      <w:pPr>
        <w:spacing w:line="240" w:lineRule="auto" w:before="4"/>
        <w:rPr>
          <w:rFonts w:ascii="宋体" w:hAnsi="宋体" w:cs="宋体" w:eastAsia="宋体"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1913"/>
        <w:gridCol w:w="1913"/>
        <w:gridCol w:w="1916"/>
        <w:gridCol w:w="1913"/>
        <w:gridCol w:w="1918"/>
      </w:tblGrid>
      <w:tr>
        <w:trPr>
          <w:trHeight w:val="360"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410"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410"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413"/>
              <w:jc w:val="right"/>
              <w:rPr>
                <w:rFonts w:ascii="宋体" w:hAnsi="宋体" w:cs="宋体" w:eastAsia="宋体" w:hint="default"/>
                <w:sz w:val="18"/>
                <w:szCs w:val="18"/>
              </w:rPr>
            </w:pPr>
            <w:r>
              <w:rPr>
                <w:rFonts w:ascii="宋体" w:hAnsi="宋体" w:cs="宋体" w:eastAsia="宋体" w:hint="default"/>
                <w:sz w:val="18"/>
                <w:szCs w:val="18"/>
              </w:rPr>
              <w:t>预计处置时间</w:t>
            </w:r>
          </w:p>
        </w:tc>
      </w:tr>
      <w:tr>
        <w:trPr>
          <w:trHeight w:val="36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18"/>
                <w:szCs w:val="18"/>
              </w:rPr>
            </w:pPr>
            <w:r>
              <w:rPr>
                <w:rFonts w:ascii="Times New Roman"/>
                <w:spacing w:val="-1"/>
                <w:sz w:val="18"/>
              </w:rPr>
              <w:t>54,932,269.00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18"/>
                <w:szCs w:val="18"/>
              </w:rPr>
            </w:pPr>
            <w:r>
              <w:rPr>
                <w:rFonts w:ascii="Times New Roman"/>
                <w:spacing w:val="-1"/>
                <w:sz w:val="18"/>
              </w:rPr>
              <w:t>54,932,269.00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12" w:space="0" w:color="D2D2D2"/>
              <w:right w:val="single" w:sz="4" w:space="0" w:color="000000"/>
            </w:tcBorders>
          </w:tcPr>
          <w:p>
            <w:pPr>
              <w:pStyle w:val="TableParagraph"/>
              <w:spacing w:line="217" w:lineRule="exact"/>
              <w:ind w:right="395"/>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r>
      <w:tr>
        <w:trPr>
          <w:trHeight w:val="36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54,932,269.00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54,932,269.00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100" w:bottom="1160" w:left="1660" w:right="0"/>
        </w:sectPr>
      </w:pPr>
    </w:p>
    <w:p>
      <w:pPr>
        <w:pStyle w:val="Heading4"/>
        <w:spacing w:line="245" w:lineRule="exact"/>
        <w:ind w:left="138" w:right="0"/>
        <w:jc w:val="left"/>
        <w:rPr>
          <w:b w:val="0"/>
          <w:bCs w:val="0"/>
        </w:rPr>
      </w:pPr>
      <w:r>
        <w:rPr>
          <w:rFonts w:ascii="Times New Roman" w:hAnsi="Times New Roman" w:cs="Times New Roman" w:eastAsia="Times New Roman" w:hint="default"/>
          <w:w w:val="95"/>
        </w:rPr>
        <w:t>7</w:t>
      </w:r>
      <w:r>
        <w:rPr>
          <w:w w:val="95"/>
        </w:rPr>
        <w:t>、其他流动资产</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pStyle w:val="BodyText"/>
        <w:spacing w:line="240" w:lineRule="auto" w:before="120"/>
        <w:ind w:left="138" w:right="0"/>
        <w:jc w:val="left"/>
      </w:pPr>
      <w:r>
        <w:rPr/>
        <w:t>单位：</w:t>
      </w:r>
      <w:r>
        <w:rPr>
          <w:spacing w:val="1"/>
        </w:rPr>
        <w:t> </w:t>
      </w:r>
      <w:r>
        <w:rPr/>
        <w:t>元</w:t>
      </w:r>
    </w:p>
    <w:p>
      <w:pPr>
        <w:spacing w:after="0" w:line="240" w:lineRule="auto"/>
        <w:jc w:val="left"/>
        <w:sectPr>
          <w:type w:val="continuous"/>
          <w:pgSz w:w="11910" w:h="16840"/>
          <w:pgMar w:top="1100" w:bottom="1160" w:left="1660" w:right="0"/>
          <w:cols w:num="2" w:equalWidth="0">
            <w:col w:w="1643" w:space="5861"/>
            <w:col w:w="2746"/>
          </w:cols>
        </w:sectPr>
      </w:pPr>
    </w:p>
    <w:p>
      <w:pPr>
        <w:spacing w:line="240" w:lineRule="auto" w:before="4"/>
        <w:rPr>
          <w:rFonts w:ascii="宋体" w:hAnsi="宋体" w:cs="宋体" w:eastAsia="宋体"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3188"/>
        <w:gridCol w:w="3192"/>
        <w:gridCol w:w="3190"/>
      </w:tblGrid>
      <w:tr>
        <w:trPr>
          <w:trHeight w:val="36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6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待抵扣税金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18"/>
                <w:szCs w:val="18"/>
              </w:rPr>
            </w:pPr>
            <w:r>
              <w:rPr>
                <w:rFonts w:ascii="Times New Roman"/>
                <w:spacing w:val="-1"/>
                <w:sz w:val="18"/>
              </w:rPr>
              <w:t>35,878,040.17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23,255,952.58</w:t>
            </w:r>
          </w:p>
        </w:tc>
      </w:tr>
      <w:tr>
        <w:trPr>
          <w:trHeight w:val="36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18"/>
                <w:szCs w:val="18"/>
              </w:rPr>
            </w:pPr>
            <w:r>
              <w:rPr>
                <w:rFonts w:ascii="Times New Roman"/>
                <w:spacing w:val="-1"/>
                <w:sz w:val="18"/>
              </w:rPr>
              <w:t>1,570,929,605.39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2,372,100,000.00</w:t>
            </w:r>
          </w:p>
        </w:tc>
      </w:tr>
      <w:tr>
        <w:trPr>
          <w:trHeight w:val="36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待摊房租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18"/>
                <w:szCs w:val="18"/>
              </w:rPr>
            </w:pPr>
            <w:r>
              <w:rPr>
                <w:rFonts w:ascii="Times New Roman"/>
                <w:spacing w:val="-1"/>
                <w:sz w:val="18"/>
              </w:rPr>
              <w:t>2,209,005.14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4,162,606.79</w:t>
            </w:r>
          </w:p>
        </w:tc>
      </w:tr>
      <w:tr>
        <w:trPr>
          <w:trHeight w:val="36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股票交易预存金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18"/>
                <w:szCs w:val="18"/>
              </w:rPr>
            </w:pPr>
            <w:r>
              <w:rPr>
                <w:rFonts w:ascii="Times New Roman"/>
                <w:spacing w:val="-1"/>
                <w:sz w:val="18"/>
              </w:rPr>
              <w:t>40,170,897.25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8,079,847.63</w:t>
            </w:r>
          </w:p>
        </w:tc>
      </w:tr>
      <w:tr>
        <w:trPr>
          <w:trHeight w:val="36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18"/>
                <w:szCs w:val="18"/>
              </w:rPr>
            </w:pPr>
            <w:r>
              <w:rPr>
                <w:rFonts w:ascii="Times New Roman"/>
                <w:spacing w:val="-1"/>
                <w:sz w:val="18"/>
              </w:rPr>
              <w:t>1,649,187,547.95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18"/>
                <w:szCs w:val="18"/>
              </w:rPr>
            </w:pPr>
            <w:r>
              <w:rPr>
                <w:rFonts w:ascii="Times New Roman"/>
                <w:spacing w:val="-1"/>
                <w:sz w:val="18"/>
              </w:rPr>
              <w:t>2,407,598,407.00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160" w:left="1660" w:right="0"/>
        </w:sectPr>
      </w:pPr>
    </w:p>
    <w:p>
      <w:pPr>
        <w:pStyle w:val="Heading4"/>
        <w:spacing w:line="245" w:lineRule="exact"/>
        <w:ind w:left="138" w:right="0"/>
        <w:jc w:val="left"/>
        <w:rPr>
          <w:b w:val="0"/>
          <w:bCs w:val="0"/>
        </w:rPr>
      </w:pPr>
      <w:r>
        <w:rPr>
          <w:rFonts w:ascii="Times New Roman" w:hAnsi="Times New Roman" w:cs="Times New Roman" w:eastAsia="Times New Roman" w:hint="default"/>
        </w:rPr>
        <w:t>8</w:t>
      </w:r>
      <w:r>
        <w:rPr/>
        <w:t>、可供出售金融资产</w:t>
      </w:r>
      <w:r>
        <w:rPr>
          <w:b w:val="0"/>
          <w:bCs w:val="0"/>
        </w:rPr>
      </w:r>
    </w:p>
    <w:p>
      <w:pPr>
        <w:pStyle w:val="Heading4"/>
        <w:spacing w:line="240" w:lineRule="auto" w:before="112"/>
        <w:ind w:left="138" w:right="0"/>
        <w:jc w:val="left"/>
        <w:rPr>
          <w:b w:val="0"/>
          <w:bCs w:val="0"/>
        </w:rPr>
      </w:pPr>
      <w:r>
        <w:rPr>
          <w:w w:val="95"/>
        </w:rPr>
        <w:t>（</w:t>
      </w:r>
      <w:r>
        <w:rPr>
          <w:rFonts w:ascii="Times New Roman" w:hAnsi="Times New Roman" w:cs="Times New Roman" w:eastAsia="Times New Roman" w:hint="default"/>
          <w:w w:val="95"/>
        </w:rPr>
        <w:t>1</w:t>
      </w:r>
      <w:r>
        <w:rPr>
          <w:w w:val="95"/>
        </w:rPr>
        <w:t>）可供出售金融资产情况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12"/>
        <w:rPr>
          <w:rFonts w:ascii="宋体" w:hAnsi="宋体" w:cs="宋体" w:eastAsia="宋体" w:hint="default"/>
          <w:b/>
          <w:bCs/>
          <w:sz w:val="20"/>
          <w:szCs w:val="20"/>
        </w:rPr>
      </w:pPr>
    </w:p>
    <w:p>
      <w:pPr>
        <w:pStyle w:val="BodyText"/>
        <w:spacing w:line="240" w:lineRule="auto"/>
        <w:ind w:left="138" w:right="0"/>
        <w:jc w:val="left"/>
      </w:pPr>
      <w:r>
        <w:rPr/>
        <w:t>单位：</w:t>
      </w:r>
      <w:r>
        <w:rPr>
          <w:spacing w:val="1"/>
        </w:rPr>
        <w:t> </w:t>
      </w:r>
      <w:r>
        <w:rPr/>
        <w:t>元</w:t>
      </w:r>
    </w:p>
    <w:p>
      <w:pPr>
        <w:spacing w:after="0" w:line="240" w:lineRule="auto"/>
        <w:jc w:val="left"/>
        <w:sectPr>
          <w:type w:val="continuous"/>
          <w:pgSz w:w="11910" w:h="16840"/>
          <w:pgMar w:top="1100" w:bottom="1160" w:left="1660" w:right="0"/>
          <w:cols w:num="2" w:equalWidth="0">
            <w:col w:w="2645" w:space="4859"/>
            <w:col w:w="2746"/>
          </w:cols>
        </w:sectPr>
      </w:pPr>
    </w:p>
    <w:p>
      <w:pPr>
        <w:spacing w:line="240" w:lineRule="auto" w:before="4"/>
        <w:rPr>
          <w:rFonts w:ascii="宋体" w:hAnsi="宋体" w:cs="宋体" w:eastAsia="宋体" w:hint="default"/>
          <w:sz w:val="11"/>
          <w:szCs w:val="11"/>
        </w:rPr>
      </w:pPr>
    </w:p>
    <w:tbl>
      <w:tblPr>
        <w:tblW w:w="0" w:type="auto"/>
        <w:jc w:val="left"/>
        <w:tblInd w:w="144" w:type="dxa"/>
        <w:tblLayout w:type="fixed"/>
        <w:tblCellMar>
          <w:top w:w="0" w:type="dxa"/>
          <w:left w:w="0" w:type="dxa"/>
          <w:bottom w:w="0" w:type="dxa"/>
          <w:right w:w="0" w:type="dxa"/>
        </w:tblCellMar>
        <w:tblLook w:val="01E0"/>
      </w:tblPr>
      <w:tblGrid>
        <w:gridCol w:w="1976"/>
        <w:gridCol w:w="1275"/>
        <w:gridCol w:w="850"/>
        <w:gridCol w:w="1277"/>
        <w:gridCol w:w="1447"/>
        <w:gridCol w:w="1369"/>
        <w:gridCol w:w="1366"/>
      </w:tblGrid>
      <w:tr>
        <w:trPr>
          <w:trHeight w:val="185" w:hRule="exact"/>
        </w:trPr>
        <w:tc>
          <w:tcPr>
            <w:tcW w:w="1976" w:type="dxa"/>
            <w:tcBorders>
              <w:top w:val="single" w:sz="4" w:space="0" w:color="000000"/>
              <w:left w:val="single" w:sz="4" w:space="0" w:color="000000"/>
              <w:bottom w:val="nil" w:sz="6" w:space="0" w:color="auto"/>
              <w:right w:val="single" w:sz="4" w:space="0" w:color="000000"/>
            </w:tcBorders>
            <w:shd w:val="clear" w:color="auto" w:fill="D2D2D2"/>
          </w:tcPr>
          <w:p>
            <w:pPr/>
          </w:p>
        </w:tc>
        <w:tc>
          <w:tcPr>
            <w:tcW w:w="34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03" w:lineRule="exact"/>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70" w:hRule="exact"/>
        </w:trPr>
        <w:tc>
          <w:tcPr>
            <w:tcW w:w="1976" w:type="dxa"/>
            <w:vMerge w:val="restart"/>
            <w:tcBorders>
              <w:top w:val="nil" w:sz="6" w:space="0" w:color="auto"/>
              <w:left w:val="single" w:sz="4" w:space="0" w:color="000000"/>
              <w:right w:val="single" w:sz="4" w:space="0" w:color="000000"/>
            </w:tcBorders>
            <w:shd w:val="clear" w:color="auto" w:fill="D2D2D2"/>
          </w:tcPr>
          <w:p>
            <w:pPr>
              <w:pStyle w:val="TableParagraph"/>
              <w:spacing w:line="203"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02" w:type="dxa"/>
            <w:gridSpan w:val="3"/>
            <w:vMerge/>
            <w:tcBorders>
              <w:left w:val="single" w:sz="4" w:space="0" w:color="000000"/>
              <w:bottom w:val="single" w:sz="4" w:space="0" w:color="000000"/>
              <w:right w:val="single" w:sz="4" w:space="0" w:color="000000"/>
            </w:tcBorders>
            <w:shd w:val="clear" w:color="auto" w:fill="D2D2D2"/>
          </w:tcPr>
          <w:p>
            <w:pPr/>
          </w:p>
        </w:tc>
        <w:tc>
          <w:tcPr>
            <w:tcW w:w="4181" w:type="dxa"/>
            <w:gridSpan w:val="3"/>
            <w:vMerge/>
            <w:tcBorders>
              <w:left w:val="single" w:sz="4" w:space="0" w:color="000000"/>
              <w:bottom w:val="single" w:sz="4" w:space="0" w:color="000000"/>
              <w:right w:val="single" w:sz="4" w:space="0" w:color="000000"/>
            </w:tcBorders>
            <w:shd w:val="clear" w:color="auto" w:fill="D2D2D2"/>
          </w:tcPr>
          <w:p>
            <w:pPr/>
          </w:p>
        </w:tc>
      </w:tr>
      <w:tr>
        <w:trPr>
          <w:trHeight w:val="180" w:hRule="exact"/>
        </w:trPr>
        <w:tc>
          <w:tcPr>
            <w:tcW w:w="1976" w:type="dxa"/>
            <w:vMerge/>
            <w:tcBorders>
              <w:left w:val="single" w:sz="4" w:space="0" w:color="000000"/>
              <w:bottom w:val="nil" w:sz="6" w:space="0" w:color="auto"/>
              <w:right w:val="single" w:sz="4" w:space="0" w:color="000000"/>
            </w:tcBorders>
            <w:shd w:val="clear" w:color="auto" w:fill="D2D2D2"/>
          </w:tcPr>
          <w:p>
            <w:pP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08" w:lineRule="exact"/>
              <w:ind w:left="27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08" w:lineRule="exact"/>
              <w:ind w:left="5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08" w:lineRule="exact"/>
              <w:ind w:left="27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47" w:type="dxa"/>
            <w:vMerge w:val="restart"/>
            <w:tcBorders>
              <w:top w:val="single" w:sz="4" w:space="0" w:color="000000"/>
              <w:left w:val="single" w:sz="4" w:space="0" w:color="000000"/>
              <w:right w:val="single" w:sz="4" w:space="0" w:color="000000"/>
            </w:tcBorders>
            <w:shd w:val="clear" w:color="auto" w:fill="D2D2D2"/>
          </w:tcPr>
          <w:p>
            <w:pPr>
              <w:pStyle w:val="TableParagraph"/>
              <w:spacing w:line="208" w:lineRule="exact"/>
              <w:ind w:left="3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08" w:lineRule="exact"/>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08" w:lineRule="exact"/>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85" w:hRule="exact"/>
        </w:trPr>
        <w:tc>
          <w:tcPr>
            <w:tcW w:w="19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4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360"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275"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906,570,668.31</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88" w:right="0"/>
              <w:jc w:val="center"/>
              <w:rPr>
                <w:rFonts w:ascii="Times New Roman" w:hAnsi="Times New Roman" w:cs="Times New Roman" w:eastAsia="Times New Roman" w:hint="default"/>
                <w:sz w:val="18"/>
                <w:szCs w:val="18"/>
              </w:rPr>
            </w:pPr>
            <w:r>
              <w:rPr>
                <w:rFonts w:ascii="Times New Roman"/>
                <w:sz w:val="18"/>
              </w:rPr>
              <w:t>906,570,668.31</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1,141,791,814.22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4"/>
              <w:jc w:val="right"/>
              <w:rPr>
                <w:rFonts w:ascii="Times New Roman" w:hAnsi="Times New Roman" w:cs="Times New Roman" w:eastAsia="Times New Roman" w:hint="default"/>
                <w:sz w:val="18"/>
                <w:szCs w:val="18"/>
              </w:rPr>
            </w:pPr>
            <w:r>
              <w:rPr>
                <w:rFonts w:ascii="Times New Roman"/>
                <w:spacing w:val="-1"/>
                <w:sz w:val="18"/>
              </w:rPr>
              <w:t>8,259,775.13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1,133,532,039.09</w:t>
            </w:r>
          </w:p>
        </w:tc>
      </w:tr>
      <w:tr>
        <w:trPr>
          <w:trHeight w:val="360"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370"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2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843,295,785.40</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88" w:right="0"/>
              <w:jc w:val="center"/>
              <w:rPr>
                <w:rFonts w:ascii="Times New Roman" w:hAnsi="Times New Roman" w:cs="Times New Roman" w:eastAsia="Times New Roman" w:hint="default"/>
                <w:sz w:val="18"/>
                <w:szCs w:val="18"/>
              </w:rPr>
            </w:pPr>
            <w:r>
              <w:rPr>
                <w:rFonts w:ascii="Times New Roman"/>
                <w:sz w:val="18"/>
              </w:rPr>
              <w:t>843,295,785.40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1,080,145,915.44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1,080,145,915.44</w:t>
            </w:r>
          </w:p>
        </w:tc>
      </w:tr>
      <w:tr>
        <w:trPr>
          <w:trHeight w:val="360"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370"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63,274,882.91</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79" w:right="0"/>
              <w:jc w:val="center"/>
              <w:rPr>
                <w:rFonts w:ascii="Times New Roman" w:hAnsi="Times New Roman" w:cs="Times New Roman" w:eastAsia="Times New Roman" w:hint="default"/>
                <w:sz w:val="18"/>
                <w:szCs w:val="18"/>
              </w:rPr>
            </w:pPr>
            <w:r>
              <w:rPr>
                <w:rFonts w:ascii="Times New Roman"/>
                <w:sz w:val="18"/>
              </w:rPr>
              <w:t>63,274,882.91</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61,645,898.78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18"/>
                <w:szCs w:val="18"/>
              </w:rPr>
            </w:pPr>
            <w:r>
              <w:rPr>
                <w:rFonts w:ascii="Times New Roman"/>
                <w:spacing w:val="-1"/>
                <w:sz w:val="18"/>
              </w:rPr>
              <w:t>8,259,775.13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53,386,123.65</w:t>
            </w:r>
          </w:p>
        </w:tc>
      </w:tr>
      <w:tr>
        <w:trPr>
          <w:trHeight w:val="360"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906,570,668.31</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88" w:right="0"/>
              <w:jc w:val="center"/>
              <w:rPr>
                <w:rFonts w:ascii="Times New Roman" w:hAnsi="Times New Roman" w:cs="Times New Roman" w:eastAsia="Times New Roman" w:hint="default"/>
                <w:sz w:val="18"/>
                <w:szCs w:val="18"/>
              </w:rPr>
            </w:pPr>
            <w:r>
              <w:rPr>
                <w:rFonts w:ascii="Times New Roman"/>
                <w:sz w:val="18"/>
              </w:rPr>
              <w:t>906,570,668.31</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1,141,791,814.22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18"/>
                <w:szCs w:val="18"/>
              </w:rPr>
            </w:pPr>
            <w:r>
              <w:rPr>
                <w:rFonts w:ascii="Times New Roman"/>
                <w:spacing w:val="-1"/>
                <w:sz w:val="18"/>
              </w:rPr>
              <w:t>8,259,775.13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1,133,532,039.09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160" w:left="1660" w:right="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33" w:footer="977" w:top="960" w:bottom="1160" w:left="1660" w:right="0"/>
        </w:sectPr>
      </w:pPr>
    </w:p>
    <w:p>
      <w:pPr>
        <w:pStyle w:val="Heading4"/>
        <w:spacing w:line="240" w:lineRule="auto" w:before="170"/>
        <w:ind w:left="138" w:right="0"/>
        <w:jc w:val="left"/>
        <w:rPr>
          <w:b w:val="0"/>
          <w:bCs w:val="0"/>
        </w:rPr>
      </w:pPr>
      <w:r>
        <w:rPr>
          <w:w w:val="95"/>
        </w:rPr>
        <w:t>（</w:t>
      </w:r>
      <w:r>
        <w:rPr>
          <w:rFonts w:ascii="Times New Roman" w:hAnsi="Times New Roman" w:cs="Times New Roman" w:eastAsia="Times New Roman" w:hint="default"/>
          <w:w w:val="95"/>
        </w:rPr>
        <w:t>2</w:t>
      </w:r>
      <w:r>
        <w:rPr>
          <w:w w:val="95"/>
        </w:rPr>
        <w:t>）期末按公允价值计量的可供出售金融资产</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24"/>
          <w:szCs w:val="24"/>
        </w:rPr>
      </w:pPr>
    </w:p>
    <w:p>
      <w:pPr>
        <w:pStyle w:val="BodyText"/>
        <w:spacing w:line="240" w:lineRule="auto"/>
        <w:ind w:left="138" w:right="0"/>
        <w:jc w:val="left"/>
      </w:pPr>
      <w:r>
        <w:rPr/>
        <w:t>单位：</w:t>
      </w:r>
      <w:r>
        <w:rPr>
          <w:spacing w:val="1"/>
        </w:rPr>
        <w:t> </w:t>
      </w:r>
      <w:r>
        <w:rPr/>
        <w:t>元</w:t>
      </w:r>
    </w:p>
    <w:p>
      <w:pPr>
        <w:spacing w:after="0" w:line="240" w:lineRule="auto"/>
        <w:jc w:val="left"/>
        <w:sectPr>
          <w:type w:val="continuous"/>
          <w:pgSz w:w="11910" w:h="16840"/>
          <w:pgMar w:top="1100" w:bottom="1160" w:left="1660" w:right="0"/>
          <w:cols w:num="2" w:equalWidth="0">
            <w:col w:w="4252" w:space="3252"/>
            <w:col w:w="2746"/>
          </w:cols>
        </w:sectPr>
      </w:pPr>
    </w:p>
    <w:p>
      <w:pPr>
        <w:spacing w:line="240" w:lineRule="auto" w:before="4"/>
        <w:rPr>
          <w:rFonts w:ascii="宋体" w:hAnsi="宋体" w:cs="宋体" w:eastAsia="宋体" w:hint="default"/>
          <w:sz w:val="11"/>
          <w:szCs w:val="11"/>
        </w:rPr>
      </w:pPr>
    </w:p>
    <w:tbl>
      <w:tblPr>
        <w:tblW w:w="0" w:type="auto"/>
        <w:jc w:val="left"/>
        <w:tblInd w:w="144" w:type="dxa"/>
        <w:tblLayout w:type="fixed"/>
        <w:tblCellMar>
          <w:top w:w="0" w:type="dxa"/>
          <w:left w:w="0" w:type="dxa"/>
          <w:bottom w:w="0" w:type="dxa"/>
          <w:right w:w="0" w:type="dxa"/>
        </w:tblCellMar>
        <w:tblLook w:val="01E0"/>
      </w:tblPr>
      <w:tblGrid>
        <w:gridCol w:w="4089"/>
        <w:gridCol w:w="2280"/>
        <w:gridCol w:w="3121"/>
      </w:tblGrid>
      <w:tr>
        <w:trPr>
          <w:trHeight w:val="360"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138"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420"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0" w:right="0"/>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债务工具的摊余成本</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1,273,178,654.06</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4"/>
              <w:jc w:val="right"/>
              <w:rPr>
                <w:rFonts w:ascii="Times New Roman" w:hAnsi="Times New Roman" w:cs="Times New Roman" w:eastAsia="Times New Roman" w:hint="default"/>
                <w:sz w:val="18"/>
                <w:szCs w:val="18"/>
              </w:rPr>
            </w:pPr>
            <w:r>
              <w:rPr>
                <w:rFonts w:ascii="Times New Roman"/>
                <w:spacing w:val="-1"/>
                <w:sz w:val="18"/>
              </w:rPr>
              <w:t>1,273,178,654.06</w:t>
            </w:r>
          </w:p>
        </w:tc>
      </w:tr>
      <w:tr>
        <w:trPr>
          <w:trHeight w:val="360"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843,295,785.40</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4"/>
              <w:jc w:val="right"/>
              <w:rPr>
                <w:rFonts w:ascii="Times New Roman" w:hAnsi="Times New Roman" w:cs="Times New Roman" w:eastAsia="Times New Roman" w:hint="default"/>
                <w:sz w:val="18"/>
                <w:szCs w:val="18"/>
              </w:rPr>
            </w:pPr>
            <w:r>
              <w:rPr>
                <w:rFonts w:ascii="Times New Roman"/>
                <w:spacing w:val="-1"/>
                <w:sz w:val="18"/>
              </w:rPr>
              <w:t>843,295,785.40</w:t>
            </w:r>
          </w:p>
        </w:tc>
      </w:tr>
      <w:tr>
        <w:trPr>
          <w:trHeight w:val="360"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累计计入其他综合收益的公允价值变动金额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-429,882,868.66</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4"/>
              <w:jc w:val="right"/>
              <w:rPr>
                <w:rFonts w:ascii="Times New Roman" w:hAnsi="Times New Roman" w:cs="Times New Roman" w:eastAsia="Times New Roman" w:hint="default"/>
                <w:sz w:val="18"/>
                <w:szCs w:val="18"/>
              </w:rPr>
            </w:pPr>
            <w:r>
              <w:rPr>
                <w:rFonts w:ascii="Times New Roman"/>
                <w:spacing w:val="-1"/>
                <w:sz w:val="18"/>
              </w:rPr>
              <w:t>-429,882,868.66</w:t>
            </w:r>
          </w:p>
        </w:tc>
      </w:tr>
      <w:tr>
        <w:trPr>
          <w:trHeight w:val="36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160" w:left="1660" w:right="0"/>
        </w:sectPr>
      </w:pPr>
    </w:p>
    <w:p>
      <w:pPr>
        <w:pStyle w:val="Heading4"/>
        <w:spacing w:line="245" w:lineRule="exact"/>
        <w:ind w:left="138" w:right="0"/>
        <w:jc w:val="left"/>
        <w:rPr>
          <w:b w:val="0"/>
          <w:bCs w:val="0"/>
        </w:rPr>
      </w:pPr>
      <w:r>
        <w:rPr>
          <w:w w:val="95"/>
        </w:rPr>
        <w:t>（</w:t>
      </w:r>
      <w:r>
        <w:rPr>
          <w:rFonts w:ascii="Times New Roman" w:hAnsi="Times New Roman" w:cs="Times New Roman" w:eastAsia="Times New Roman" w:hint="default"/>
          <w:w w:val="95"/>
        </w:rPr>
        <w:t>3</w:t>
      </w:r>
      <w:r>
        <w:rPr>
          <w:w w:val="95"/>
        </w:rPr>
        <w:t>）期末按成本计量的可供出售金融资产</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pStyle w:val="BodyText"/>
        <w:spacing w:line="240" w:lineRule="auto" w:before="123"/>
        <w:ind w:left="138" w:right="0"/>
        <w:jc w:val="left"/>
      </w:pPr>
      <w:r>
        <w:rPr/>
        <w:t>单位：</w:t>
      </w:r>
      <w:r>
        <w:rPr>
          <w:spacing w:val="1"/>
        </w:rPr>
        <w:t> </w:t>
      </w:r>
      <w:r>
        <w:rPr/>
        <w:t>元</w:t>
      </w:r>
    </w:p>
    <w:p>
      <w:pPr>
        <w:spacing w:after="0" w:line="240" w:lineRule="auto"/>
        <w:jc w:val="left"/>
        <w:sectPr>
          <w:type w:val="continuous"/>
          <w:pgSz w:w="11910" w:h="16840"/>
          <w:pgMar w:top="1100" w:bottom="1160" w:left="1660" w:right="0"/>
          <w:cols w:num="2" w:equalWidth="0">
            <w:col w:w="3851" w:space="3653"/>
            <w:col w:w="2746"/>
          </w:cols>
        </w:sectPr>
      </w:pPr>
    </w:p>
    <w:p>
      <w:pPr>
        <w:spacing w:line="240" w:lineRule="auto" w:before="1"/>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1702"/>
        <w:gridCol w:w="1133"/>
        <w:gridCol w:w="1135"/>
        <w:gridCol w:w="850"/>
        <w:gridCol w:w="1135"/>
        <w:gridCol w:w="708"/>
        <w:gridCol w:w="425"/>
        <w:gridCol w:w="569"/>
        <w:gridCol w:w="283"/>
        <w:gridCol w:w="850"/>
        <w:gridCol w:w="775"/>
      </w:tblGrid>
      <w:tr>
        <w:trPr>
          <w:trHeight w:val="242"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8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62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09" w:lineRule="exact"/>
              <w:ind w:left="57" w:right="0"/>
              <w:jc w:val="left"/>
              <w:rPr>
                <w:rFonts w:ascii="宋体" w:hAnsi="宋体" w:cs="宋体" w:eastAsia="宋体" w:hint="default"/>
                <w:sz w:val="18"/>
                <w:szCs w:val="18"/>
              </w:rPr>
            </w:pPr>
            <w:r>
              <w:rPr>
                <w:rFonts w:ascii="宋体" w:hAnsi="宋体" w:cs="宋体" w:eastAsia="宋体" w:hint="default"/>
                <w:sz w:val="18"/>
                <w:szCs w:val="18"/>
              </w:rPr>
              <w:t>在被投资</w:t>
            </w:r>
          </w:p>
          <w:p>
            <w:pPr>
              <w:pStyle w:val="TableParagraph"/>
              <w:spacing w:line="240" w:lineRule="auto"/>
              <w:ind w:left="237" w:right="60" w:hanging="180"/>
              <w:jc w:val="left"/>
              <w:rPr>
                <w:rFonts w:ascii="宋体" w:hAnsi="宋体" w:cs="宋体" w:eastAsia="宋体" w:hint="default"/>
                <w:sz w:val="18"/>
                <w:szCs w:val="18"/>
              </w:rPr>
            </w:pPr>
            <w:r>
              <w:rPr>
                <w:rFonts w:ascii="宋体" w:hAnsi="宋体" w:cs="宋体" w:eastAsia="宋体" w:hint="default"/>
                <w:sz w:val="18"/>
                <w:szCs w:val="18"/>
              </w:rPr>
              <w:t>单位持股 比例</w:t>
            </w:r>
          </w:p>
        </w:tc>
        <w:tc>
          <w:tcPr>
            <w:tcW w:w="775"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117"/>
              <w:ind w:left="110" w:right="113"/>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478"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2"/>
              <w:jc w:val="center"/>
              <w:rPr>
                <w:rFonts w:ascii="宋体" w:hAnsi="宋体" w:cs="宋体" w:eastAsia="宋体" w:hint="default"/>
                <w:sz w:val="18"/>
                <w:szCs w:val="18"/>
              </w:rPr>
            </w:pPr>
            <w:r>
              <w:rPr>
                <w:rFonts w:ascii="宋体" w:hAnsi="宋体" w:cs="宋体" w:eastAsia="宋体" w:hint="default"/>
                <w:sz w:val="18"/>
                <w:szCs w:val="18"/>
              </w:rPr>
              <w:t>期初</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5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67"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28" w:right="0"/>
              <w:jc w:val="left"/>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减少</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45" w:right="0"/>
              <w:jc w:val="left"/>
              <w:rPr>
                <w:rFonts w:ascii="宋体" w:hAnsi="宋体" w:cs="宋体" w:eastAsia="宋体" w:hint="default"/>
                <w:sz w:val="18"/>
                <w:szCs w:val="18"/>
              </w:rPr>
            </w:pPr>
            <w:r>
              <w:rPr>
                <w:rFonts w:ascii="宋体" w:hAnsi="宋体" w:cs="宋体" w:eastAsia="宋体" w:hint="default"/>
                <w:sz w:val="18"/>
                <w:szCs w:val="18"/>
              </w:rPr>
              <w:t>期</w:t>
            </w: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末</w:t>
            </w:r>
          </w:p>
        </w:tc>
        <w:tc>
          <w:tcPr>
            <w:tcW w:w="850" w:type="dxa"/>
            <w:vMerge/>
            <w:tcBorders>
              <w:left w:val="single" w:sz="4" w:space="0" w:color="000000"/>
              <w:bottom w:val="single" w:sz="4" w:space="0" w:color="000000"/>
              <w:right w:val="single" w:sz="4" w:space="0" w:color="000000"/>
            </w:tcBorders>
            <w:shd w:val="clear" w:color="auto" w:fill="D2D2D2"/>
          </w:tcPr>
          <w:p>
            <w:pPr/>
          </w:p>
        </w:tc>
        <w:tc>
          <w:tcPr>
            <w:tcW w:w="775" w:type="dxa"/>
            <w:vMerge/>
            <w:tcBorders>
              <w:left w:val="single" w:sz="4" w:space="0" w:color="000000"/>
              <w:bottom w:val="single" w:sz="4" w:space="0" w:color="000000"/>
              <w:right w:val="single" w:sz="4" w:space="0" w:color="000000"/>
            </w:tcBorders>
            <w:shd w:val="clear" w:color="auto" w:fill="D2D2D2"/>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珠海国信运通股权投</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资基金（有限合伙）</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30,030,800.00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30,030,800.00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z w:val="18"/>
              </w:rPr>
              <w:t>48.78%</w:t>
            </w: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广东安达金融保安押</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运有限公司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5.00%</w:t>
            </w: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48"/>
              <w:jc w:val="left"/>
              <w:rPr>
                <w:rFonts w:ascii="宋体" w:hAnsi="宋体" w:cs="宋体" w:eastAsia="宋体" w:hint="default"/>
                <w:sz w:val="18"/>
                <w:szCs w:val="18"/>
              </w:rPr>
            </w:pPr>
            <w:r>
              <w:rPr>
                <w:rFonts w:ascii="宋体" w:hAnsi="宋体" w:cs="宋体" w:eastAsia="宋体" w:hint="default"/>
                <w:sz w:val="18"/>
                <w:szCs w:val="18"/>
              </w:rPr>
              <w:t>资阳雁江农村合作银 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17,600,000.00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17,600,000.00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36"/>
              <w:ind w:left="108" w:right="0"/>
              <w:jc w:val="left"/>
              <w:rPr>
                <w:rFonts w:ascii="Times New Roman" w:hAnsi="Times New Roman" w:cs="Times New Roman" w:eastAsia="Times New Roman" w:hint="default"/>
                <w:sz w:val="18"/>
                <w:szCs w:val="18"/>
              </w:rPr>
            </w:pPr>
            <w:r>
              <w:rPr>
                <w:rFonts w:ascii="Times New Roman"/>
                <w:sz w:val="18"/>
              </w:rPr>
              <w:t>1,100,00</w:t>
            </w:r>
          </w:p>
          <w:p>
            <w:pPr>
              <w:pStyle w:val="TableParagraph"/>
              <w:spacing w:line="205" w:lineRule="exact"/>
              <w:ind w:left="424" w:right="0"/>
              <w:jc w:val="left"/>
              <w:rPr>
                <w:rFonts w:ascii="Times New Roman" w:hAnsi="Times New Roman" w:cs="Times New Roman" w:eastAsia="Times New Roman" w:hint="default"/>
                <w:sz w:val="18"/>
                <w:szCs w:val="18"/>
              </w:rPr>
            </w:pPr>
            <w:r>
              <w:rPr>
                <w:rFonts w:ascii="Times New Roman"/>
                <w:sz w:val="18"/>
              </w:rPr>
              <w:t>0.00</w:t>
            </w:r>
          </w:p>
        </w:tc>
      </w:tr>
      <w:tr>
        <w:trPr>
          <w:trHeight w:val="47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锡林浩特农村合作银</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行</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681,200.00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681,200.00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0.47%</w:t>
            </w: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浙江投融天下投资管</w:t>
            </w: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400,000.00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400,000.00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8.00%</w:t>
            </w: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江苏富深协通科技股</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pacing w:val="-1"/>
                <w:sz w:val="18"/>
              </w:rPr>
              <w:t>9,562,882.91</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pacing w:val="-1"/>
                <w:sz w:val="18"/>
              </w:rPr>
              <w:t>9,562,882.91</w:t>
            </w: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7.25%</w:t>
            </w: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1" w:right="323"/>
              <w:jc w:val="left"/>
              <w:rPr>
                <w:rFonts w:ascii="Times New Roman" w:hAnsi="Times New Roman" w:cs="Times New Roman" w:eastAsia="Times New Roman" w:hint="default"/>
                <w:sz w:val="18"/>
                <w:szCs w:val="18"/>
              </w:rPr>
            </w:pPr>
            <w:r>
              <w:rPr>
                <w:rFonts w:ascii="Times New Roman"/>
                <w:sz w:val="18"/>
              </w:rPr>
              <w:t>GRG</w:t>
            </w:r>
            <w:r>
              <w:rPr>
                <w:rFonts w:ascii="Times New Roman"/>
                <w:spacing w:val="-4"/>
                <w:sz w:val="18"/>
              </w:rPr>
              <w:t> </w:t>
            </w:r>
            <w:r>
              <w:rPr>
                <w:rFonts w:ascii="Times New Roman"/>
                <w:sz w:val="18"/>
              </w:rPr>
              <w:t>International</w:t>
            </w:r>
            <w:r>
              <w:rPr>
                <w:rFonts w:ascii="Times New Roman"/>
                <w:sz w:val="18"/>
              </w:rPr>
              <w:t> Limited</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8,615,098.78</w:t>
            </w: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8,615,098.</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78</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3" w:right="0"/>
              <w:jc w:val="left"/>
              <w:rPr>
                <w:rFonts w:ascii="Times New Roman" w:hAnsi="Times New Roman" w:cs="Times New Roman" w:eastAsia="Times New Roman" w:hint="default"/>
                <w:sz w:val="18"/>
                <w:szCs w:val="18"/>
              </w:rPr>
            </w:pPr>
            <w:r>
              <w:rPr>
                <w:rFonts w:ascii="Times New Roman"/>
                <w:sz w:val="18"/>
              </w:rPr>
              <w:t>8,259,77</w:t>
            </w:r>
          </w:p>
          <w:p>
            <w:pPr>
              <w:pStyle w:val="TableParagraph"/>
              <w:spacing w:line="207" w:lineRule="exact"/>
              <w:ind w:left="359" w:right="0"/>
              <w:jc w:val="left"/>
              <w:rPr>
                <w:rFonts w:ascii="Times New Roman" w:hAnsi="Times New Roman" w:cs="Times New Roman" w:eastAsia="Times New Roman" w:hint="default"/>
                <w:sz w:val="18"/>
                <w:szCs w:val="18"/>
              </w:rPr>
            </w:pPr>
            <w:r>
              <w:rPr>
                <w:rFonts w:ascii="Times New Roman"/>
                <w:sz w:val="18"/>
              </w:rPr>
              <w:t>5.13</w:t>
            </w:r>
          </w:p>
        </w:tc>
        <w:tc>
          <w:tcPr>
            <w:tcW w:w="42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84" w:right="0"/>
              <w:jc w:val="left"/>
              <w:rPr>
                <w:rFonts w:ascii="Times New Roman" w:hAnsi="Times New Roman" w:cs="Times New Roman" w:eastAsia="Times New Roman" w:hint="default"/>
                <w:sz w:val="18"/>
                <w:szCs w:val="18"/>
              </w:rPr>
            </w:pPr>
            <w:r>
              <w:rPr>
                <w:rFonts w:ascii="Times New Roman"/>
                <w:sz w:val="18"/>
              </w:rPr>
              <w:t>8,259,</w:t>
            </w:r>
          </w:p>
          <w:p>
            <w:pPr>
              <w:pStyle w:val="TableParagraph"/>
              <w:spacing w:line="207" w:lineRule="exact"/>
              <w:ind w:left="40" w:right="0"/>
              <w:jc w:val="left"/>
              <w:rPr>
                <w:rFonts w:ascii="Times New Roman" w:hAnsi="Times New Roman" w:cs="Times New Roman" w:eastAsia="Times New Roman" w:hint="default"/>
                <w:sz w:val="18"/>
                <w:szCs w:val="18"/>
              </w:rPr>
            </w:pPr>
            <w:r>
              <w:rPr>
                <w:rFonts w:ascii="Times New Roman"/>
                <w:sz w:val="18"/>
              </w:rPr>
              <w:t>775.13</w:t>
            </w:r>
          </w:p>
        </w:tc>
        <w:tc>
          <w:tcPr>
            <w:tcW w:w="28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61,645,898.78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10,244,082.91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1"/>
              <w:jc w:val="right"/>
              <w:rPr>
                <w:rFonts w:ascii="Times New Roman" w:hAnsi="Times New Roman" w:cs="Times New Roman" w:eastAsia="Times New Roman" w:hint="default"/>
                <w:sz w:val="18"/>
                <w:szCs w:val="18"/>
              </w:rPr>
            </w:pPr>
            <w:r>
              <w:rPr>
                <w:rFonts w:ascii="Times New Roman"/>
                <w:spacing w:val="-1"/>
                <w:sz w:val="18"/>
              </w:rPr>
              <w:t>8,615,098.</w:t>
            </w:r>
          </w:p>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z w:val="18"/>
              </w:rPr>
              <w:t>78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63,274,882.91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3" w:right="0"/>
              <w:jc w:val="left"/>
              <w:rPr>
                <w:rFonts w:ascii="Times New Roman" w:hAnsi="Times New Roman" w:cs="Times New Roman" w:eastAsia="Times New Roman" w:hint="default"/>
                <w:sz w:val="18"/>
                <w:szCs w:val="18"/>
              </w:rPr>
            </w:pPr>
            <w:r>
              <w:rPr>
                <w:rFonts w:ascii="Times New Roman"/>
                <w:sz w:val="18"/>
              </w:rPr>
              <w:t>8,259,77</w:t>
            </w:r>
          </w:p>
          <w:p>
            <w:pPr>
              <w:pStyle w:val="TableParagraph"/>
              <w:spacing w:line="240" w:lineRule="auto" w:before="2"/>
              <w:ind w:left="359" w:right="0"/>
              <w:jc w:val="left"/>
              <w:rPr>
                <w:rFonts w:ascii="Times New Roman" w:hAnsi="Times New Roman" w:cs="Times New Roman" w:eastAsia="Times New Roman" w:hint="default"/>
                <w:sz w:val="18"/>
                <w:szCs w:val="18"/>
              </w:rPr>
            </w:pPr>
            <w:r>
              <w:rPr>
                <w:rFonts w:ascii="Times New Roman"/>
                <w:sz w:val="18"/>
              </w:rPr>
              <w:t>5.13</w:t>
            </w:r>
          </w:p>
        </w:tc>
        <w:tc>
          <w:tcPr>
            <w:tcW w:w="42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84" w:right="0"/>
              <w:jc w:val="left"/>
              <w:rPr>
                <w:rFonts w:ascii="Times New Roman" w:hAnsi="Times New Roman" w:cs="Times New Roman" w:eastAsia="Times New Roman" w:hint="default"/>
                <w:sz w:val="18"/>
                <w:szCs w:val="18"/>
              </w:rPr>
            </w:pPr>
            <w:r>
              <w:rPr>
                <w:rFonts w:ascii="Times New Roman"/>
                <w:sz w:val="18"/>
              </w:rPr>
              <w:t>8,259,</w:t>
            </w:r>
          </w:p>
          <w:p>
            <w:pPr>
              <w:pStyle w:val="TableParagraph"/>
              <w:spacing w:line="240" w:lineRule="auto" w:before="2"/>
              <w:ind w:left="40" w:right="0"/>
              <w:jc w:val="left"/>
              <w:rPr>
                <w:rFonts w:ascii="Times New Roman" w:hAnsi="Times New Roman" w:cs="Times New Roman" w:eastAsia="Times New Roman" w:hint="default"/>
                <w:sz w:val="18"/>
                <w:szCs w:val="18"/>
              </w:rPr>
            </w:pPr>
            <w:r>
              <w:rPr>
                <w:rFonts w:ascii="Times New Roman"/>
                <w:sz w:val="18"/>
              </w:rPr>
              <w:t>775.13</w:t>
            </w:r>
          </w:p>
        </w:tc>
        <w:tc>
          <w:tcPr>
            <w:tcW w:w="28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36"/>
              <w:ind w:left="108" w:right="0"/>
              <w:jc w:val="left"/>
              <w:rPr>
                <w:rFonts w:ascii="Times New Roman" w:hAnsi="Times New Roman" w:cs="Times New Roman" w:eastAsia="Times New Roman" w:hint="default"/>
                <w:sz w:val="18"/>
                <w:szCs w:val="18"/>
              </w:rPr>
            </w:pPr>
            <w:r>
              <w:rPr>
                <w:rFonts w:ascii="Times New Roman"/>
                <w:sz w:val="18"/>
              </w:rPr>
              <w:t>1,100,00</w:t>
            </w:r>
          </w:p>
          <w:p>
            <w:pPr>
              <w:pStyle w:val="TableParagraph"/>
              <w:spacing w:line="205" w:lineRule="exact"/>
              <w:ind w:left="424"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05" w:lineRule="exact"/>
        <w:jc w:val="left"/>
        <w:rPr>
          <w:rFonts w:ascii="Times New Roman" w:hAnsi="Times New Roman" w:cs="Times New Roman" w:eastAsia="Times New Roman" w:hint="default"/>
          <w:sz w:val="18"/>
          <w:szCs w:val="18"/>
        </w:rPr>
        <w:sectPr>
          <w:type w:val="continuous"/>
          <w:pgSz w:w="11910" w:h="16840"/>
          <w:pgMar w:top="1100" w:bottom="1160" w:left="1660" w:right="0"/>
        </w:sectPr>
      </w:pPr>
    </w:p>
    <w:p>
      <w:pPr>
        <w:pStyle w:val="Heading4"/>
        <w:spacing w:line="245" w:lineRule="exact"/>
        <w:ind w:left="138" w:right="0"/>
        <w:jc w:val="left"/>
        <w:rPr>
          <w:b w:val="0"/>
          <w:bCs w:val="0"/>
        </w:rPr>
      </w:pPr>
      <w:r>
        <w:rPr>
          <w:w w:val="95"/>
        </w:rPr>
        <w:t>（</w:t>
      </w:r>
      <w:r>
        <w:rPr>
          <w:rFonts w:ascii="Times New Roman" w:hAnsi="Times New Roman" w:cs="Times New Roman" w:eastAsia="Times New Roman" w:hint="default"/>
          <w:w w:val="95"/>
        </w:rPr>
        <w:t>4</w:t>
      </w:r>
      <w:r>
        <w:rPr>
          <w:w w:val="95"/>
        </w:rPr>
        <w:t>）报告期内可供出售金融资产减值的变动情况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pStyle w:val="BodyText"/>
        <w:spacing w:line="240" w:lineRule="auto" w:before="120"/>
        <w:ind w:left="138" w:right="0"/>
        <w:jc w:val="left"/>
      </w:pPr>
      <w:r>
        <w:rPr/>
        <w:t>单位：</w:t>
      </w:r>
      <w:r>
        <w:rPr>
          <w:spacing w:val="1"/>
        </w:rPr>
        <w:t> </w:t>
      </w:r>
      <w:r>
        <w:rPr/>
        <w:t>元</w:t>
      </w:r>
    </w:p>
    <w:p>
      <w:pPr>
        <w:spacing w:after="0" w:line="240" w:lineRule="auto"/>
        <w:jc w:val="left"/>
        <w:sectPr>
          <w:type w:val="continuous"/>
          <w:pgSz w:w="11910" w:h="16840"/>
          <w:pgMar w:top="1100" w:bottom="1160" w:left="1660" w:right="0"/>
          <w:cols w:num="2" w:equalWidth="0">
            <w:col w:w="4453" w:space="3051"/>
            <w:col w:w="2746"/>
          </w:cols>
        </w:sectPr>
      </w:pPr>
    </w:p>
    <w:p>
      <w:pPr>
        <w:spacing w:line="240" w:lineRule="auto" w:before="4"/>
        <w:rPr>
          <w:rFonts w:ascii="宋体" w:hAnsi="宋体" w:cs="宋体" w:eastAsia="宋体" w:hint="default"/>
          <w:sz w:val="11"/>
          <w:szCs w:val="11"/>
        </w:rPr>
      </w:pPr>
    </w:p>
    <w:tbl>
      <w:tblPr>
        <w:tblW w:w="0" w:type="auto"/>
        <w:jc w:val="left"/>
        <w:tblInd w:w="144" w:type="dxa"/>
        <w:tblLayout w:type="fixed"/>
        <w:tblCellMar>
          <w:top w:w="0" w:type="dxa"/>
          <w:left w:w="0" w:type="dxa"/>
          <w:bottom w:w="0" w:type="dxa"/>
          <w:right w:w="0" w:type="dxa"/>
        </w:tblCellMar>
        <w:tblLook w:val="01E0"/>
      </w:tblPr>
      <w:tblGrid>
        <w:gridCol w:w="4797"/>
        <w:gridCol w:w="1997"/>
        <w:gridCol w:w="2127"/>
      </w:tblGrid>
      <w:tr>
        <w:trPr>
          <w:trHeight w:val="36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49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278"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9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8,259,775.13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8,259,775.13</w:t>
            </w:r>
          </w:p>
        </w:tc>
      </w:tr>
      <w:tr>
        <w:trPr>
          <w:trHeight w:val="361"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97" w:type="dxa"/>
            <w:tcBorders>
              <w:top w:val="single" w:sz="4" w:space="0" w:color="000000"/>
              <w:left w:val="single" w:sz="10" w:space="0" w:color="D2D2D2"/>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其中：从其他综合收益转入</w:t>
            </w:r>
          </w:p>
        </w:tc>
        <w:tc>
          <w:tcPr>
            <w:tcW w:w="1997" w:type="dxa"/>
            <w:tcBorders>
              <w:top w:val="single" w:sz="4" w:space="0" w:color="000000"/>
              <w:left w:val="single" w:sz="10" w:space="0" w:color="D2D2D2"/>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8,259,775.13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8,259,775.13</w:t>
            </w:r>
          </w:p>
        </w:tc>
      </w:tr>
      <w:tr>
        <w:trPr>
          <w:trHeight w:val="36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其中：期后公允价值回升转回</w:t>
            </w:r>
          </w:p>
        </w:tc>
        <w:tc>
          <w:tcPr>
            <w:tcW w:w="1997" w:type="dxa"/>
            <w:tcBorders>
              <w:top w:val="single" w:sz="4" w:space="0" w:color="000000"/>
              <w:left w:val="single" w:sz="10" w:space="0" w:color="D2D2D2"/>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97" w:type="dxa"/>
            <w:tcBorders>
              <w:top w:val="single" w:sz="4" w:space="0" w:color="000000"/>
              <w:left w:val="single" w:sz="10" w:space="0" w:color="D2D2D2"/>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160" w:left="1660" w:right="0"/>
        </w:sectPr>
      </w:pPr>
    </w:p>
    <w:p>
      <w:pPr>
        <w:pStyle w:val="Heading4"/>
        <w:spacing w:line="245" w:lineRule="exact"/>
        <w:ind w:left="138" w:right="0"/>
        <w:jc w:val="left"/>
        <w:rPr>
          <w:b w:val="0"/>
          <w:bCs w:val="0"/>
        </w:rPr>
      </w:pPr>
      <w:r>
        <w:rPr>
          <w:rFonts w:ascii="Times New Roman" w:hAnsi="Times New Roman" w:cs="Times New Roman" w:eastAsia="Times New Roman" w:hint="default"/>
          <w:w w:val="95"/>
        </w:rPr>
        <w:t>9</w:t>
      </w:r>
      <w:r>
        <w:rPr>
          <w:w w:val="95"/>
        </w:rPr>
        <w:t>、长期股权投资</w:t>
      </w:r>
      <w:r>
        <w:rPr>
          <w:b w:val="0"/>
          <w:bCs w:val="0"/>
        </w:rPr>
      </w:r>
    </w:p>
    <w:p>
      <w:pPr>
        <w:spacing w:line="240" w:lineRule="auto" w:before="7"/>
        <w:rPr>
          <w:rFonts w:ascii="宋体" w:hAnsi="宋体" w:cs="宋体" w:eastAsia="宋体" w:hint="default"/>
          <w:b/>
          <w:bCs/>
          <w:sz w:val="17"/>
          <w:szCs w:val="17"/>
        </w:rPr>
      </w:pPr>
      <w:r>
        <w:rPr/>
        <w:br w:type="column"/>
      </w:r>
      <w:r>
        <w:rPr>
          <w:rFonts w:ascii="宋体"/>
          <w:b/>
          <w:sz w:val="17"/>
        </w:rPr>
      </w:r>
    </w:p>
    <w:p>
      <w:pPr>
        <w:pStyle w:val="BodyText"/>
        <w:spacing w:line="240" w:lineRule="auto"/>
        <w:ind w:left="138" w:right="0"/>
        <w:jc w:val="left"/>
      </w:pPr>
      <w:r>
        <w:rPr/>
        <w:t>单位：</w:t>
      </w:r>
      <w:r>
        <w:rPr>
          <w:spacing w:val="1"/>
        </w:rPr>
        <w:t> </w:t>
      </w:r>
      <w:r>
        <w:rPr/>
        <w:t>元</w:t>
      </w:r>
    </w:p>
    <w:p>
      <w:pPr>
        <w:spacing w:after="0" w:line="240" w:lineRule="auto"/>
        <w:jc w:val="left"/>
        <w:sectPr>
          <w:type w:val="continuous"/>
          <w:pgSz w:w="11910" w:h="16840"/>
          <w:pgMar w:top="1100" w:bottom="1160" w:left="1660" w:right="0"/>
          <w:cols w:num="2" w:equalWidth="0">
            <w:col w:w="1643" w:space="5861"/>
            <w:col w:w="2746"/>
          </w:cols>
        </w:sectPr>
      </w:pP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1418"/>
        <w:gridCol w:w="992"/>
        <w:gridCol w:w="710"/>
        <w:gridCol w:w="566"/>
        <w:gridCol w:w="992"/>
        <w:gridCol w:w="566"/>
        <w:gridCol w:w="569"/>
        <w:gridCol w:w="850"/>
        <w:gridCol w:w="709"/>
        <w:gridCol w:w="710"/>
        <w:gridCol w:w="991"/>
        <w:gridCol w:w="499"/>
      </w:tblGrid>
      <w:tr>
        <w:trPr>
          <w:trHeight w:val="242" w:hRule="exact"/>
        </w:trPr>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67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499"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116"/>
              <w:ind w:left="62" w:right="65"/>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943"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259" w:right="79"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95" w:right="98"/>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89"/>
              <w:ind w:left="38" w:right="41"/>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98" w:right="0"/>
              <w:jc w:val="both"/>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32" w:lineRule="exact" w:before="24"/>
              <w:ind w:left="98" w:right="96"/>
              <w:jc w:val="both"/>
              <w:rPr>
                <w:rFonts w:ascii="宋体" w:hAnsi="宋体" w:cs="宋体" w:eastAsia="宋体" w:hint="default"/>
                <w:sz w:val="18"/>
                <w:szCs w:val="18"/>
              </w:rPr>
            </w:pPr>
            <w:r>
              <w:rPr>
                <w:rFonts w:ascii="宋体" w:hAnsi="宋体" w:cs="宋体" w:eastAsia="宋体" w:hint="default"/>
                <w:sz w:val="18"/>
                <w:szCs w:val="18"/>
              </w:rPr>
              <w:t>综合 收益 调整</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89"/>
              <w:ind w:left="98" w:right="98"/>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89"/>
              <w:ind w:left="57" w:right="60"/>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79" w:right="77"/>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1" w:type="dxa"/>
            <w:vMerge/>
            <w:tcBorders>
              <w:left w:val="single" w:sz="4" w:space="0" w:color="000000"/>
              <w:bottom w:val="single" w:sz="4" w:space="0" w:color="000000"/>
              <w:right w:val="single" w:sz="4" w:space="0" w:color="000000"/>
            </w:tcBorders>
            <w:shd w:val="clear" w:color="auto" w:fill="D2D2D2"/>
          </w:tcPr>
          <w:p>
            <w:pPr/>
          </w:p>
        </w:tc>
        <w:tc>
          <w:tcPr>
            <w:tcW w:w="499" w:type="dxa"/>
            <w:vMerge/>
            <w:tcBorders>
              <w:left w:val="single" w:sz="4" w:space="0" w:color="000000"/>
              <w:bottom w:val="single" w:sz="4" w:space="0" w:color="000000"/>
              <w:right w:val="single" w:sz="4" w:space="0" w:color="000000"/>
            </w:tcBorders>
            <w:shd w:val="clear" w:color="auto" w:fill="D2D2D2"/>
          </w:tcPr>
          <w:p>
            <w:pPr/>
          </w:p>
        </w:tc>
      </w:tr>
      <w:tr>
        <w:trPr>
          <w:trHeight w:val="245"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一、联营企业</w:t>
            </w:r>
          </w:p>
        </w:tc>
      </w:tr>
      <w:tr>
        <w:trPr>
          <w:trHeight w:val="47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重庆中余锦通科</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22"/>
              <w:jc w:val="right"/>
              <w:rPr>
                <w:rFonts w:ascii="Times New Roman" w:hAnsi="Times New Roman" w:cs="Times New Roman" w:eastAsia="Times New Roman" w:hint="default"/>
                <w:sz w:val="18"/>
                <w:szCs w:val="18"/>
              </w:rPr>
            </w:pPr>
            <w:r>
              <w:rPr>
                <w:rFonts w:ascii="Times New Roman"/>
                <w:spacing w:val="-1"/>
                <w:sz w:val="18"/>
              </w:rPr>
              <w:t>1,181,128.9</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8</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77" w:right="0"/>
              <w:jc w:val="left"/>
              <w:rPr>
                <w:rFonts w:ascii="Times New Roman" w:hAnsi="Times New Roman" w:cs="Times New Roman" w:eastAsia="Times New Roman" w:hint="default"/>
                <w:sz w:val="18"/>
                <w:szCs w:val="18"/>
              </w:rPr>
            </w:pPr>
            <w:r>
              <w:rPr>
                <w:rFonts w:ascii="Times New Roman"/>
                <w:sz w:val="18"/>
              </w:rPr>
              <w:t>-75,680.77</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21"/>
              <w:jc w:val="right"/>
              <w:rPr>
                <w:rFonts w:ascii="Times New Roman" w:hAnsi="Times New Roman" w:cs="Times New Roman" w:eastAsia="Times New Roman" w:hint="default"/>
                <w:sz w:val="18"/>
                <w:szCs w:val="18"/>
              </w:rPr>
            </w:pPr>
            <w:r>
              <w:rPr>
                <w:rFonts w:ascii="Times New Roman"/>
                <w:spacing w:val="-1"/>
                <w:sz w:val="18"/>
              </w:rPr>
              <w:t>1,105,448.2</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1</w:t>
            </w:r>
          </w:p>
        </w:tc>
        <w:tc>
          <w:tcPr>
            <w:tcW w:w="49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160" w:left="166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1418"/>
        <w:gridCol w:w="992"/>
        <w:gridCol w:w="710"/>
        <w:gridCol w:w="566"/>
        <w:gridCol w:w="992"/>
        <w:gridCol w:w="566"/>
        <w:gridCol w:w="569"/>
        <w:gridCol w:w="850"/>
        <w:gridCol w:w="709"/>
        <w:gridCol w:w="710"/>
        <w:gridCol w:w="991"/>
        <w:gridCol w:w="499"/>
      </w:tblGrid>
      <w:tr>
        <w:trPr>
          <w:trHeight w:val="47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广州市广百小额</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贷款有限公司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2"/>
              <w:ind w:right="21"/>
              <w:jc w:val="right"/>
              <w:rPr>
                <w:rFonts w:ascii="Times New Roman" w:hAnsi="Times New Roman" w:cs="Times New Roman" w:eastAsia="Times New Roman" w:hint="default"/>
                <w:sz w:val="18"/>
                <w:szCs w:val="18"/>
              </w:rPr>
            </w:pPr>
            <w:r>
              <w:rPr>
                <w:rFonts w:ascii="Times New Roman"/>
                <w:spacing w:val="-1"/>
                <w:sz w:val="18"/>
              </w:rPr>
              <w:t>62,729,356.</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53</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2"/>
              <w:ind w:right="22"/>
              <w:jc w:val="right"/>
              <w:rPr>
                <w:rFonts w:ascii="Times New Roman" w:hAnsi="Times New Roman" w:cs="Times New Roman" w:eastAsia="Times New Roman" w:hint="default"/>
                <w:sz w:val="18"/>
                <w:szCs w:val="18"/>
              </w:rPr>
            </w:pPr>
            <w:r>
              <w:rPr>
                <w:rFonts w:ascii="Times New Roman"/>
                <w:spacing w:val="-1"/>
                <w:sz w:val="18"/>
              </w:rPr>
              <w:t>-5,696,105.1</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7</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2"/>
              <w:ind w:right="21"/>
              <w:jc w:val="right"/>
              <w:rPr>
                <w:rFonts w:ascii="Times New Roman" w:hAnsi="Times New Roman" w:cs="Times New Roman" w:eastAsia="Times New Roman" w:hint="default"/>
                <w:sz w:val="18"/>
                <w:szCs w:val="18"/>
              </w:rPr>
            </w:pPr>
            <w:r>
              <w:rPr>
                <w:rFonts w:ascii="Times New Roman"/>
                <w:spacing w:val="-1"/>
                <w:sz w:val="18"/>
              </w:rPr>
              <w:t>57,033,251.</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36</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广州广电计量检</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测股份有限公司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22"/>
              <w:jc w:val="right"/>
              <w:rPr>
                <w:rFonts w:ascii="Times New Roman" w:hAnsi="Times New Roman" w:cs="Times New Roman" w:eastAsia="Times New Roman" w:hint="default"/>
                <w:sz w:val="18"/>
                <w:szCs w:val="18"/>
              </w:rPr>
            </w:pPr>
            <w:r>
              <w:rPr>
                <w:rFonts w:ascii="Times New Roman"/>
                <w:spacing w:val="-1"/>
                <w:sz w:val="18"/>
              </w:rPr>
              <w:t>484,566,073</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.37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45" w:right="0"/>
              <w:jc w:val="left"/>
              <w:rPr>
                <w:rFonts w:ascii="Times New Roman" w:hAnsi="Times New Roman" w:cs="Times New Roman" w:eastAsia="Times New Roman" w:hint="default"/>
                <w:sz w:val="18"/>
                <w:szCs w:val="18"/>
              </w:rPr>
            </w:pPr>
            <w:r>
              <w:rPr>
                <w:rFonts w:ascii="Times New Roman"/>
                <w:sz w:val="18"/>
              </w:rPr>
              <w:t>9,619,92</w:t>
            </w:r>
          </w:p>
          <w:p>
            <w:pPr>
              <w:pStyle w:val="TableParagraph"/>
              <w:spacing w:line="207" w:lineRule="exact"/>
              <w:ind w:left="362" w:right="0"/>
              <w:jc w:val="left"/>
              <w:rPr>
                <w:rFonts w:ascii="Times New Roman" w:hAnsi="Times New Roman" w:cs="Times New Roman" w:eastAsia="Times New Roman" w:hint="default"/>
                <w:sz w:val="18"/>
                <w:szCs w:val="18"/>
              </w:rPr>
            </w:pPr>
            <w:r>
              <w:rPr>
                <w:rFonts w:ascii="Times New Roman"/>
                <w:sz w:val="18"/>
              </w:rPr>
              <w:t>9.90</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21"/>
              <w:jc w:val="right"/>
              <w:rPr>
                <w:rFonts w:ascii="Times New Roman" w:hAnsi="Times New Roman" w:cs="Times New Roman" w:eastAsia="Times New Roman" w:hint="default"/>
                <w:sz w:val="18"/>
                <w:szCs w:val="18"/>
              </w:rPr>
            </w:pPr>
            <w:r>
              <w:rPr>
                <w:rFonts w:ascii="Times New Roman"/>
                <w:spacing w:val="-1"/>
                <w:sz w:val="18"/>
              </w:rPr>
              <w:t>16,260,270.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88</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21"/>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21"/>
              <w:jc w:val="right"/>
              <w:rPr>
                <w:rFonts w:ascii="Times New Roman" w:hAnsi="Times New Roman" w:cs="Times New Roman" w:eastAsia="Times New Roman" w:hint="default"/>
                <w:sz w:val="18"/>
                <w:szCs w:val="18"/>
              </w:rPr>
            </w:pPr>
            <w:r>
              <w:rPr>
                <w:rFonts w:ascii="Times New Roman"/>
                <w:spacing w:val="-1"/>
                <w:sz w:val="18"/>
              </w:rPr>
              <w:t>505,946,274</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.15</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广东美电贝尔科</w:t>
            </w:r>
          </w:p>
          <w:p>
            <w:pPr>
              <w:pStyle w:val="TableParagraph"/>
              <w:spacing w:line="232" w:lineRule="exact" w:before="23"/>
              <w:ind w:left="21" w:right="125"/>
              <w:jc w:val="left"/>
              <w:rPr>
                <w:rFonts w:ascii="宋体" w:hAnsi="宋体" w:cs="宋体" w:eastAsia="宋体" w:hint="default"/>
                <w:sz w:val="18"/>
                <w:szCs w:val="18"/>
              </w:rPr>
            </w:pPr>
            <w:r>
              <w:rPr>
                <w:rFonts w:ascii="宋体" w:hAnsi="宋体" w:cs="宋体" w:eastAsia="宋体" w:hint="default"/>
                <w:sz w:val="18"/>
                <w:szCs w:val="18"/>
              </w:rPr>
              <w:t>技集团股份有限 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21"/>
              <w:jc w:val="right"/>
              <w:rPr>
                <w:rFonts w:ascii="Times New Roman" w:hAnsi="Times New Roman" w:cs="Times New Roman" w:eastAsia="Times New Roman" w:hint="default"/>
                <w:sz w:val="18"/>
                <w:szCs w:val="18"/>
              </w:rPr>
            </w:pPr>
            <w:r>
              <w:rPr>
                <w:rFonts w:ascii="Times New Roman"/>
                <w:spacing w:val="-1"/>
                <w:sz w:val="18"/>
              </w:rPr>
              <w:t>70,327,879.</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95</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22"/>
              <w:jc w:val="right"/>
              <w:rPr>
                <w:rFonts w:ascii="Times New Roman" w:hAnsi="Times New Roman" w:cs="Times New Roman" w:eastAsia="Times New Roman" w:hint="default"/>
                <w:sz w:val="18"/>
                <w:szCs w:val="18"/>
              </w:rPr>
            </w:pPr>
            <w:r>
              <w:rPr>
                <w:rFonts w:ascii="Times New Roman"/>
                <w:spacing w:val="-1"/>
                <w:sz w:val="18"/>
              </w:rPr>
              <w:t>4,318,441.3</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2</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54" w:right="0"/>
              <w:jc w:val="center"/>
              <w:rPr>
                <w:rFonts w:ascii="Times New Roman" w:hAnsi="Times New Roman" w:cs="Times New Roman" w:eastAsia="Times New Roman" w:hint="default"/>
                <w:sz w:val="18"/>
                <w:szCs w:val="18"/>
              </w:rPr>
            </w:pPr>
            <w:r>
              <w:rPr>
                <w:rFonts w:ascii="Times New Roman"/>
                <w:sz w:val="18"/>
              </w:rPr>
              <w:t>-59,717,</w:t>
            </w:r>
          </w:p>
          <w:p>
            <w:pPr>
              <w:pStyle w:val="TableParagraph"/>
              <w:spacing w:line="207" w:lineRule="exact"/>
              <w:ind w:left="159" w:right="0"/>
              <w:jc w:val="center"/>
              <w:rPr>
                <w:rFonts w:ascii="Times New Roman" w:hAnsi="Times New Roman" w:cs="Times New Roman" w:eastAsia="Times New Roman" w:hint="default"/>
                <w:sz w:val="18"/>
                <w:szCs w:val="18"/>
              </w:rPr>
            </w:pPr>
            <w:r>
              <w:rPr>
                <w:rFonts w:ascii="Times New Roman"/>
                <w:sz w:val="18"/>
              </w:rPr>
              <w:t>057.02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21"/>
              <w:jc w:val="right"/>
              <w:rPr>
                <w:rFonts w:ascii="Times New Roman" w:hAnsi="Times New Roman" w:cs="Times New Roman" w:eastAsia="Times New Roman" w:hint="default"/>
                <w:sz w:val="18"/>
                <w:szCs w:val="18"/>
              </w:rPr>
            </w:pPr>
            <w:r>
              <w:rPr>
                <w:rFonts w:ascii="Times New Roman"/>
                <w:spacing w:val="-1"/>
                <w:sz w:val="18"/>
              </w:rPr>
              <w:t>14,929,264.</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25</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广州市力沛企业</w:t>
            </w:r>
          </w:p>
          <w:p>
            <w:pPr>
              <w:pStyle w:val="TableParagraph"/>
              <w:spacing w:line="232" w:lineRule="exact" w:before="23"/>
              <w:ind w:left="21" w:right="125"/>
              <w:jc w:val="left"/>
              <w:rPr>
                <w:rFonts w:ascii="宋体" w:hAnsi="宋体" w:cs="宋体" w:eastAsia="宋体" w:hint="default"/>
                <w:sz w:val="18"/>
                <w:szCs w:val="18"/>
              </w:rPr>
            </w:pPr>
            <w:r>
              <w:rPr>
                <w:rFonts w:ascii="宋体" w:hAnsi="宋体" w:cs="宋体" w:eastAsia="宋体" w:hint="default"/>
                <w:sz w:val="18"/>
                <w:szCs w:val="18"/>
              </w:rPr>
              <w:t>管理咨询有限公 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802,166.60</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32.25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802,198.85</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广州运通链达金</w:t>
            </w: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服科技有限公司</w:t>
            </w: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45" w:right="0"/>
              <w:jc w:val="left"/>
              <w:rPr>
                <w:rFonts w:ascii="Times New Roman" w:hAnsi="Times New Roman" w:cs="Times New Roman" w:eastAsia="Times New Roman" w:hint="default"/>
                <w:sz w:val="18"/>
                <w:szCs w:val="18"/>
              </w:rPr>
            </w:pPr>
            <w:r>
              <w:rPr>
                <w:rFonts w:ascii="Times New Roman"/>
                <w:sz w:val="18"/>
              </w:rPr>
              <w:t>4,500,00</w:t>
            </w:r>
          </w:p>
          <w:p>
            <w:pPr>
              <w:pStyle w:val="TableParagraph"/>
              <w:spacing w:line="207" w:lineRule="exact"/>
              <w:ind w:left="362" w:right="0"/>
              <w:jc w:val="lef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-776,735.14</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right="21"/>
              <w:jc w:val="right"/>
              <w:rPr>
                <w:rFonts w:ascii="Times New Roman" w:hAnsi="Times New Roman" w:cs="Times New Roman" w:eastAsia="Times New Roman" w:hint="default"/>
                <w:sz w:val="18"/>
                <w:szCs w:val="18"/>
              </w:rPr>
            </w:pPr>
            <w:r>
              <w:rPr>
                <w:rFonts w:ascii="Times New Roman"/>
                <w:spacing w:val="-1"/>
                <w:sz w:val="18"/>
              </w:rPr>
              <w:t>3,723,264.8</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6</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广州辉远电子技</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22"/>
              <w:jc w:val="right"/>
              <w:rPr>
                <w:rFonts w:ascii="Times New Roman" w:hAnsi="Times New Roman" w:cs="Times New Roman" w:eastAsia="Times New Roman" w:hint="default"/>
                <w:sz w:val="18"/>
                <w:szCs w:val="18"/>
              </w:rPr>
            </w:pPr>
            <w:r>
              <w:rPr>
                <w:rFonts w:ascii="Times New Roman"/>
                <w:spacing w:val="-1"/>
                <w:sz w:val="18"/>
              </w:rPr>
              <w:t>1,422,989.7</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7</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-108,163.25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21"/>
              <w:jc w:val="right"/>
              <w:rPr>
                <w:rFonts w:ascii="Times New Roman" w:hAnsi="Times New Roman" w:cs="Times New Roman" w:eastAsia="Times New Roman" w:hint="default"/>
                <w:sz w:val="18"/>
                <w:szCs w:val="18"/>
              </w:rPr>
            </w:pPr>
            <w:r>
              <w:rPr>
                <w:rFonts w:ascii="Times New Roman"/>
                <w:spacing w:val="-1"/>
                <w:sz w:val="18"/>
              </w:rPr>
              <w:t>1,314,826.5</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2</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深圳市国信运通</w:t>
            </w:r>
          </w:p>
          <w:p>
            <w:pPr>
              <w:pStyle w:val="TableParagraph"/>
              <w:spacing w:line="232" w:lineRule="exact" w:before="23"/>
              <w:ind w:left="21" w:right="125"/>
              <w:jc w:val="left"/>
              <w:rPr>
                <w:rFonts w:ascii="宋体" w:hAnsi="宋体" w:cs="宋体" w:eastAsia="宋体" w:hint="default"/>
                <w:sz w:val="18"/>
                <w:szCs w:val="18"/>
              </w:rPr>
            </w:pPr>
            <w:r>
              <w:rPr>
                <w:rFonts w:ascii="宋体" w:hAnsi="宋体" w:cs="宋体" w:eastAsia="宋体" w:hint="default"/>
                <w:sz w:val="18"/>
                <w:szCs w:val="18"/>
              </w:rPr>
              <w:t>基金管理有限公 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22"/>
              <w:jc w:val="right"/>
              <w:rPr>
                <w:rFonts w:ascii="Times New Roman" w:hAnsi="Times New Roman" w:cs="Times New Roman" w:eastAsia="Times New Roman" w:hint="default"/>
                <w:sz w:val="18"/>
                <w:szCs w:val="18"/>
              </w:rPr>
            </w:pPr>
            <w:r>
              <w:rPr>
                <w:rFonts w:ascii="Times New Roman"/>
                <w:spacing w:val="-1"/>
                <w:sz w:val="18"/>
              </w:rPr>
              <w:t>2,554,078.8</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7</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357,133.54</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21"/>
              <w:jc w:val="right"/>
              <w:rPr>
                <w:rFonts w:ascii="Times New Roman" w:hAnsi="Times New Roman" w:cs="Times New Roman" w:eastAsia="Times New Roman" w:hint="default"/>
                <w:sz w:val="18"/>
                <w:szCs w:val="18"/>
              </w:rPr>
            </w:pPr>
            <w:r>
              <w:rPr>
                <w:rFonts w:ascii="Times New Roman"/>
                <w:spacing w:val="-1"/>
                <w:sz w:val="18"/>
              </w:rPr>
              <w:t>2,911,212.4</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1</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中山市保安服务</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21"/>
              <w:jc w:val="right"/>
              <w:rPr>
                <w:rFonts w:ascii="Times New Roman" w:hAnsi="Times New Roman" w:cs="Times New Roman" w:eastAsia="Times New Roman" w:hint="default"/>
                <w:sz w:val="18"/>
                <w:szCs w:val="18"/>
              </w:rPr>
            </w:pPr>
            <w:r>
              <w:rPr>
                <w:rFonts w:ascii="Times New Roman"/>
                <w:spacing w:val="-1"/>
                <w:sz w:val="18"/>
              </w:rPr>
              <w:t>36,385,373.</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77</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475,299.24</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21"/>
              <w:jc w:val="right"/>
              <w:rPr>
                <w:rFonts w:ascii="Times New Roman" w:hAnsi="Times New Roman" w:cs="Times New Roman" w:eastAsia="Times New Roman" w:hint="default"/>
                <w:sz w:val="18"/>
                <w:szCs w:val="18"/>
              </w:rPr>
            </w:pPr>
            <w:r>
              <w:rPr>
                <w:rFonts w:ascii="Times New Roman"/>
                <w:spacing w:val="-1"/>
                <w:sz w:val="18"/>
              </w:rPr>
              <w:t>36,860,673.</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01</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湖北融信押运保</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安服务有限公司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right="21"/>
              <w:jc w:val="right"/>
              <w:rPr>
                <w:rFonts w:ascii="Times New Roman" w:hAnsi="Times New Roman" w:cs="Times New Roman" w:eastAsia="Times New Roman" w:hint="default"/>
                <w:sz w:val="18"/>
                <w:szCs w:val="18"/>
              </w:rPr>
            </w:pPr>
            <w:r>
              <w:rPr>
                <w:rFonts w:ascii="Times New Roman"/>
                <w:spacing w:val="-1"/>
                <w:sz w:val="18"/>
              </w:rPr>
              <w:t>24,814,663.</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63</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-376,299.84</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54" w:right="0"/>
              <w:jc w:val="center"/>
              <w:rPr>
                <w:rFonts w:ascii="Times New Roman" w:hAnsi="Times New Roman" w:cs="Times New Roman" w:eastAsia="Times New Roman" w:hint="default"/>
                <w:sz w:val="18"/>
                <w:szCs w:val="18"/>
              </w:rPr>
            </w:pPr>
            <w:r>
              <w:rPr>
                <w:rFonts w:ascii="Times New Roman"/>
                <w:sz w:val="18"/>
              </w:rPr>
              <w:t>-24,438,</w:t>
            </w:r>
          </w:p>
          <w:p>
            <w:pPr>
              <w:pStyle w:val="TableParagraph"/>
              <w:spacing w:line="207" w:lineRule="exact"/>
              <w:ind w:left="159" w:right="0"/>
              <w:jc w:val="center"/>
              <w:rPr>
                <w:rFonts w:ascii="Times New Roman" w:hAnsi="Times New Roman" w:cs="Times New Roman" w:eastAsia="Times New Roman" w:hint="default"/>
                <w:sz w:val="18"/>
                <w:szCs w:val="18"/>
              </w:rPr>
            </w:pPr>
            <w:r>
              <w:rPr>
                <w:rFonts w:ascii="Times New Roman"/>
                <w:sz w:val="18"/>
              </w:rPr>
              <w:t>363.79</w:t>
            </w:r>
          </w:p>
        </w:tc>
        <w:tc>
          <w:tcPr>
            <w:tcW w:w="991"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江苏宝易通信息</w:t>
            </w: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1,986,328.3</w:t>
            </w:r>
          </w:p>
          <w:p>
            <w:pPr>
              <w:pStyle w:val="TableParagraph"/>
              <w:spacing w:line="240" w:lineRule="auto" w:before="2"/>
              <w:ind w:right="23"/>
              <w:jc w:val="right"/>
              <w:rPr>
                <w:rFonts w:ascii="Times New Roman" w:hAnsi="Times New Roman" w:cs="Times New Roman" w:eastAsia="Times New Roman" w:hint="default"/>
                <w:sz w:val="18"/>
                <w:szCs w:val="18"/>
              </w:rPr>
            </w:pPr>
            <w:r>
              <w:rPr>
                <w:rFonts w:ascii="Times New Roman"/>
                <w:sz w:val="18"/>
              </w:rPr>
              <w:t>7</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-148,120.25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pacing w:val="-1"/>
                <w:sz w:val="18"/>
              </w:rPr>
              <w:t>1,838,208.1</w:t>
            </w:r>
          </w:p>
          <w:p>
            <w:pPr>
              <w:pStyle w:val="TableParagraph"/>
              <w:spacing w:line="240" w:lineRule="auto" w:before="2"/>
              <w:ind w:right="23"/>
              <w:jc w:val="right"/>
              <w:rPr>
                <w:rFonts w:ascii="Times New Roman" w:hAnsi="Times New Roman" w:cs="Times New Roman" w:eastAsia="Times New Roman" w:hint="default"/>
                <w:sz w:val="18"/>
                <w:szCs w:val="18"/>
              </w:rPr>
            </w:pPr>
            <w:r>
              <w:rPr>
                <w:rFonts w:ascii="Times New Roman"/>
                <w:sz w:val="18"/>
              </w:rPr>
              <w:t>2</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686,770,039</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.84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5" w:right="0"/>
              <w:jc w:val="left"/>
              <w:rPr>
                <w:rFonts w:ascii="Times New Roman" w:hAnsi="Times New Roman" w:cs="Times New Roman" w:eastAsia="Times New Roman" w:hint="default"/>
                <w:sz w:val="18"/>
                <w:szCs w:val="18"/>
              </w:rPr>
            </w:pPr>
            <w:r>
              <w:rPr>
                <w:rFonts w:ascii="Times New Roman"/>
                <w:sz w:val="18"/>
              </w:rPr>
              <w:t>14,119,9</w:t>
            </w:r>
          </w:p>
          <w:p>
            <w:pPr>
              <w:pStyle w:val="TableParagraph"/>
              <w:spacing w:line="207" w:lineRule="exact"/>
              <w:ind w:left="271" w:right="0"/>
              <w:jc w:val="left"/>
              <w:rPr>
                <w:rFonts w:ascii="Times New Roman" w:hAnsi="Times New Roman" w:cs="Times New Roman" w:eastAsia="Times New Roman" w:hint="default"/>
                <w:sz w:val="18"/>
                <w:szCs w:val="18"/>
              </w:rPr>
            </w:pPr>
            <w:r>
              <w:rPr>
                <w:rFonts w:ascii="Times New Roman"/>
                <w:sz w:val="18"/>
              </w:rPr>
              <w:t>29.90</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14,230,072.</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81</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54" w:right="0"/>
              <w:jc w:val="center"/>
              <w:rPr>
                <w:rFonts w:ascii="Times New Roman" w:hAnsi="Times New Roman" w:cs="Times New Roman" w:eastAsia="Times New Roman" w:hint="default"/>
                <w:sz w:val="18"/>
                <w:szCs w:val="18"/>
              </w:rPr>
            </w:pPr>
            <w:r>
              <w:rPr>
                <w:rFonts w:ascii="Times New Roman"/>
                <w:sz w:val="18"/>
              </w:rPr>
              <w:t>-84,155,</w:t>
            </w:r>
          </w:p>
          <w:p>
            <w:pPr>
              <w:pStyle w:val="TableParagraph"/>
              <w:spacing w:line="207" w:lineRule="exact"/>
              <w:ind w:left="159" w:right="0"/>
              <w:jc w:val="center"/>
              <w:rPr>
                <w:rFonts w:ascii="Times New Roman" w:hAnsi="Times New Roman" w:cs="Times New Roman" w:eastAsia="Times New Roman" w:hint="default"/>
                <w:sz w:val="18"/>
                <w:szCs w:val="18"/>
              </w:rPr>
            </w:pPr>
            <w:r>
              <w:rPr>
                <w:rFonts w:ascii="Times New Roman"/>
                <w:sz w:val="18"/>
              </w:rPr>
              <w:t>420.81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626,464,621</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.74</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2"/>
              <w:jc w:val="right"/>
              <w:rPr>
                <w:rFonts w:ascii="Times New Roman" w:hAnsi="Times New Roman" w:cs="Times New Roman" w:eastAsia="Times New Roman" w:hint="default"/>
                <w:sz w:val="18"/>
                <w:szCs w:val="18"/>
              </w:rPr>
            </w:pPr>
            <w:r>
              <w:rPr>
                <w:rFonts w:ascii="Times New Roman"/>
                <w:spacing w:val="-1"/>
                <w:sz w:val="18"/>
              </w:rPr>
              <w:t>686,770,039</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.84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5" w:right="0"/>
              <w:jc w:val="left"/>
              <w:rPr>
                <w:rFonts w:ascii="Times New Roman" w:hAnsi="Times New Roman" w:cs="Times New Roman" w:eastAsia="Times New Roman" w:hint="default"/>
                <w:sz w:val="18"/>
                <w:szCs w:val="18"/>
              </w:rPr>
            </w:pPr>
            <w:r>
              <w:rPr>
                <w:rFonts w:ascii="Times New Roman"/>
                <w:sz w:val="18"/>
              </w:rPr>
              <w:t>14,119,9</w:t>
            </w:r>
          </w:p>
          <w:p>
            <w:pPr>
              <w:pStyle w:val="TableParagraph"/>
              <w:spacing w:line="207" w:lineRule="exact"/>
              <w:ind w:left="271" w:right="0"/>
              <w:jc w:val="left"/>
              <w:rPr>
                <w:rFonts w:ascii="Times New Roman" w:hAnsi="Times New Roman" w:cs="Times New Roman" w:eastAsia="Times New Roman" w:hint="default"/>
                <w:sz w:val="18"/>
                <w:szCs w:val="18"/>
              </w:rPr>
            </w:pPr>
            <w:r>
              <w:rPr>
                <w:rFonts w:ascii="Times New Roman"/>
                <w:sz w:val="18"/>
              </w:rPr>
              <w:t>29.90</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1"/>
              <w:jc w:val="right"/>
              <w:rPr>
                <w:rFonts w:ascii="Times New Roman" w:hAnsi="Times New Roman" w:cs="Times New Roman" w:eastAsia="Times New Roman" w:hint="default"/>
                <w:sz w:val="18"/>
                <w:szCs w:val="18"/>
              </w:rPr>
            </w:pPr>
            <w:r>
              <w:rPr>
                <w:rFonts w:ascii="Times New Roman"/>
                <w:spacing w:val="-1"/>
                <w:sz w:val="18"/>
              </w:rPr>
              <w:t>14,230,072.</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81</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1"/>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4" w:right="0"/>
              <w:jc w:val="center"/>
              <w:rPr>
                <w:rFonts w:ascii="Times New Roman" w:hAnsi="Times New Roman" w:cs="Times New Roman" w:eastAsia="Times New Roman" w:hint="default"/>
                <w:sz w:val="18"/>
                <w:szCs w:val="18"/>
              </w:rPr>
            </w:pPr>
            <w:r>
              <w:rPr>
                <w:rFonts w:ascii="Times New Roman"/>
                <w:sz w:val="18"/>
              </w:rPr>
              <w:t>-84,155,</w:t>
            </w:r>
          </w:p>
          <w:p>
            <w:pPr>
              <w:pStyle w:val="TableParagraph"/>
              <w:spacing w:line="207" w:lineRule="exact"/>
              <w:ind w:left="159" w:right="0"/>
              <w:jc w:val="center"/>
              <w:rPr>
                <w:rFonts w:ascii="Times New Roman" w:hAnsi="Times New Roman" w:cs="Times New Roman" w:eastAsia="Times New Roman" w:hint="default"/>
                <w:sz w:val="18"/>
                <w:szCs w:val="18"/>
              </w:rPr>
            </w:pPr>
            <w:r>
              <w:rPr>
                <w:rFonts w:ascii="Times New Roman"/>
                <w:sz w:val="18"/>
              </w:rPr>
              <w:t>420.81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1"/>
              <w:jc w:val="right"/>
              <w:rPr>
                <w:rFonts w:ascii="Times New Roman" w:hAnsi="Times New Roman" w:cs="Times New Roman" w:eastAsia="Times New Roman" w:hint="default"/>
                <w:sz w:val="18"/>
                <w:szCs w:val="18"/>
              </w:rPr>
            </w:pPr>
            <w:r>
              <w:rPr>
                <w:rFonts w:ascii="Times New Roman"/>
                <w:spacing w:val="-1"/>
                <w:sz w:val="18"/>
              </w:rPr>
              <w:t>626,464,621</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.74</w:t>
            </w:r>
          </w:p>
        </w:tc>
        <w:tc>
          <w:tcPr>
            <w:tcW w:w="4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33" w:footer="977" w:top="960" w:bottom="1160" w:left="1660" w:right="0"/>
        </w:sectPr>
      </w:pPr>
    </w:p>
    <w:p>
      <w:pPr>
        <w:pStyle w:val="Heading4"/>
        <w:spacing w:line="245" w:lineRule="exact"/>
        <w:ind w:left="138" w:right="0"/>
        <w:jc w:val="left"/>
        <w:rPr>
          <w:b w:val="0"/>
          <w:bCs w:val="0"/>
        </w:rPr>
      </w:pPr>
      <w:r>
        <w:rPr>
          <w:rFonts w:ascii="Times New Roman" w:hAnsi="Times New Roman" w:cs="Times New Roman" w:eastAsia="Times New Roman" w:hint="default"/>
        </w:rPr>
        <w:t>10</w:t>
      </w:r>
      <w:r>
        <w:rPr/>
        <w:t>、投资性房地产</w:t>
      </w:r>
      <w:r>
        <w:rPr>
          <w:b w:val="0"/>
          <w:bCs w:val="0"/>
        </w:rPr>
      </w:r>
    </w:p>
    <w:p>
      <w:pPr>
        <w:pStyle w:val="Heading4"/>
        <w:spacing w:line="240" w:lineRule="auto" w:before="112"/>
        <w:ind w:left="138" w:right="0"/>
        <w:jc w:val="left"/>
        <w:rPr>
          <w:b w:val="0"/>
          <w:bCs w:val="0"/>
        </w:rPr>
      </w:pPr>
      <w:r>
        <w:rPr>
          <w:w w:val="95"/>
        </w:rPr>
        <w:t>（</w:t>
      </w:r>
      <w:r>
        <w:rPr>
          <w:rFonts w:ascii="Times New Roman" w:hAnsi="Times New Roman" w:cs="Times New Roman" w:eastAsia="Times New Roman" w:hint="default"/>
          <w:w w:val="95"/>
        </w:rPr>
        <w:t>1</w:t>
      </w:r>
      <w:r>
        <w:rPr>
          <w:w w:val="95"/>
        </w:rPr>
        <w:t>）采用成本计量模式的投资性房地产</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21"/>
          <w:szCs w:val="21"/>
        </w:rPr>
      </w:pPr>
    </w:p>
    <w:p>
      <w:pPr>
        <w:pStyle w:val="BodyText"/>
        <w:spacing w:line="240" w:lineRule="auto"/>
        <w:ind w:left="138" w:right="0"/>
        <w:jc w:val="left"/>
      </w:pPr>
      <w:r>
        <w:rPr/>
        <w:t>单位：</w:t>
      </w:r>
      <w:r>
        <w:rPr>
          <w:spacing w:val="1"/>
        </w:rPr>
        <w:t> </w:t>
      </w:r>
      <w:r>
        <w:rPr/>
        <w:t>元</w:t>
      </w:r>
    </w:p>
    <w:p>
      <w:pPr>
        <w:spacing w:after="0" w:line="240" w:lineRule="auto"/>
        <w:jc w:val="left"/>
        <w:sectPr>
          <w:type w:val="continuous"/>
          <w:pgSz w:w="11910" w:h="16840"/>
          <w:pgMar w:top="1100" w:bottom="1160" w:left="1660" w:right="0"/>
          <w:cols w:num="2" w:equalWidth="0">
            <w:col w:w="3650" w:space="3854"/>
            <w:col w:w="2746"/>
          </w:cols>
        </w:sectPr>
      </w:pPr>
    </w:p>
    <w:p>
      <w:pPr>
        <w:spacing w:line="240" w:lineRule="auto" w:before="4"/>
        <w:rPr>
          <w:rFonts w:ascii="宋体" w:hAnsi="宋体" w:cs="宋体" w:eastAsia="宋体" w:hint="default"/>
          <w:sz w:val="2"/>
          <w:szCs w:val="2"/>
        </w:rPr>
      </w:pPr>
    </w:p>
    <w:tbl>
      <w:tblPr>
        <w:tblW w:w="0" w:type="auto"/>
        <w:jc w:val="left"/>
        <w:tblInd w:w="144" w:type="dxa"/>
        <w:tblLayout w:type="fixed"/>
        <w:tblCellMar>
          <w:top w:w="0" w:type="dxa"/>
          <w:left w:w="0" w:type="dxa"/>
          <w:bottom w:w="0" w:type="dxa"/>
          <w:right w:w="0" w:type="dxa"/>
        </w:tblCellMar>
        <w:tblLook w:val="01E0"/>
      </w:tblPr>
      <w:tblGrid>
        <w:gridCol w:w="3098"/>
        <w:gridCol w:w="1712"/>
        <w:gridCol w:w="1418"/>
        <w:gridCol w:w="1419"/>
        <w:gridCol w:w="1915"/>
      </w:tblGrid>
      <w:tr>
        <w:trPr>
          <w:trHeight w:val="242" w:hRule="exact"/>
        </w:trPr>
        <w:tc>
          <w:tcPr>
            <w:tcW w:w="3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1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4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45" w:hRule="exact"/>
        </w:trPr>
        <w:tc>
          <w:tcPr>
            <w:tcW w:w="3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3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18"/>
                <w:szCs w:val="18"/>
              </w:rPr>
            </w:pPr>
            <w:r>
              <w:rPr>
                <w:rFonts w:ascii="Times New Roman"/>
                <w:spacing w:val="-1"/>
                <w:sz w:val="18"/>
              </w:rPr>
              <w:t>56,554,903.64</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18"/>
                <w:szCs w:val="18"/>
              </w:rPr>
            </w:pPr>
            <w:r>
              <w:rPr>
                <w:rFonts w:ascii="Times New Roman"/>
                <w:spacing w:val="-1"/>
                <w:sz w:val="18"/>
              </w:rPr>
              <w:t>56,554,903.64</w:t>
            </w:r>
          </w:p>
        </w:tc>
      </w:tr>
      <w:tr>
        <w:trPr>
          <w:trHeight w:val="242" w:hRule="exact"/>
        </w:trPr>
        <w:tc>
          <w:tcPr>
            <w:tcW w:w="3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3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19,774,328.11</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19,774,328.11</w:t>
            </w:r>
          </w:p>
        </w:tc>
      </w:tr>
      <w:tr>
        <w:trPr>
          <w:trHeight w:val="245" w:hRule="exact"/>
        </w:trPr>
        <w:tc>
          <w:tcPr>
            <w:tcW w:w="3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1" w:lineRule="exact"/>
              <w:ind w:left="37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36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19,774,328.11</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19,774,328.11</w:t>
            </w:r>
          </w:p>
        </w:tc>
      </w:tr>
      <w:tr>
        <w:trPr>
          <w:trHeight w:val="245" w:hRule="exact"/>
        </w:trPr>
        <w:tc>
          <w:tcPr>
            <w:tcW w:w="3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37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3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18"/>
                <w:szCs w:val="18"/>
              </w:rPr>
            </w:pPr>
            <w:r>
              <w:rPr>
                <w:rFonts w:ascii="Times New Roman"/>
                <w:spacing w:val="-1"/>
                <w:sz w:val="18"/>
              </w:rPr>
              <w:t>17,192,379.17</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18"/>
                <w:szCs w:val="18"/>
              </w:rPr>
            </w:pPr>
            <w:r>
              <w:rPr>
                <w:rFonts w:ascii="Times New Roman"/>
                <w:spacing w:val="-1"/>
                <w:sz w:val="18"/>
              </w:rPr>
              <w:t>17,192,379.17</w:t>
            </w:r>
          </w:p>
        </w:tc>
      </w:tr>
      <w:tr>
        <w:trPr>
          <w:trHeight w:val="245" w:hRule="exact"/>
        </w:trPr>
        <w:tc>
          <w:tcPr>
            <w:tcW w:w="3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37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37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18"/>
                <w:szCs w:val="18"/>
              </w:rPr>
            </w:pPr>
            <w:r>
              <w:rPr>
                <w:rFonts w:ascii="Times New Roman"/>
                <w:spacing w:val="-1"/>
                <w:sz w:val="18"/>
              </w:rPr>
              <w:t>17,192,379.17</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18"/>
                <w:szCs w:val="18"/>
              </w:rPr>
            </w:pPr>
            <w:r>
              <w:rPr>
                <w:rFonts w:ascii="Times New Roman"/>
                <w:spacing w:val="-1"/>
                <w:sz w:val="18"/>
              </w:rPr>
              <w:t>17,192,379.17</w:t>
            </w:r>
          </w:p>
        </w:tc>
      </w:tr>
      <w:tr>
        <w:trPr>
          <w:trHeight w:val="243" w:hRule="exact"/>
        </w:trPr>
        <w:tc>
          <w:tcPr>
            <w:tcW w:w="3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3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18"/>
                <w:szCs w:val="18"/>
              </w:rPr>
            </w:pPr>
            <w:r>
              <w:rPr>
                <w:rFonts w:ascii="Times New Roman"/>
                <w:spacing w:val="-1"/>
                <w:sz w:val="18"/>
              </w:rPr>
              <w:t>59,136,852.58</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18"/>
                <w:szCs w:val="18"/>
              </w:rPr>
            </w:pPr>
            <w:r>
              <w:rPr>
                <w:rFonts w:ascii="Times New Roman"/>
                <w:spacing w:val="-1"/>
                <w:sz w:val="18"/>
              </w:rPr>
              <w:t>59,136,852.58</w:t>
            </w:r>
          </w:p>
        </w:tc>
      </w:tr>
      <w:tr>
        <w:trPr>
          <w:trHeight w:val="245" w:hRule="exact"/>
        </w:trPr>
        <w:tc>
          <w:tcPr>
            <w:tcW w:w="3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10"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3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5,575,363.62</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5,575,363.62</w:t>
            </w:r>
          </w:p>
        </w:tc>
      </w:tr>
      <w:tr>
        <w:trPr>
          <w:trHeight w:val="245" w:hRule="exact"/>
        </w:trPr>
        <w:tc>
          <w:tcPr>
            <w:tcW w:w="3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1" w:lineRule="exact"/>
              <w:ind w:left="3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2,422,481.21</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2,422,481.21</w:t>
            </w:r>
          </w:p>
        </w:tc>
      </w:tr>
      <w:tr>
        <w:trPr>
          <w:trHeight w:val="242" w:hRule="exact"/>
        </w:trPr>
        <w:tc>
          <w:tcPr>
            <w:tcW w:w="3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37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18"/>
                <w:szCs w:val="18"/>
              </w:rPr>
            </w:pPr>
            <w:r>
              <w:rPr>
                <w:rFonts w:ascii="Times New Roman"/>
                <w:spacing w:val="-1"/>
                <w:sz w:val="18"/>
              </w:rPr>
              <w:t>2,422,481.21</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18"/>
                <w:szCs w:val="18"/>
              </w:rPr>
            </w:pPr>
            <w:r>
              <w:rPr>
                <w:rFonts w:ascii="Times New Roman"/>
                <w:spacing w:val="-1"/>
                <w:sz w:val="18"/>
              </w:rPr>
              <w:t>2,422,481.21</w:t>
            </w:r>
          </w:p>
        </w:tc>
      </w:tr>
      <w:tr>
        <w:trPr>
          <w:trHeight w:val="245" w:hRule="exact"/>
        </w:trPr>
        <w:tc>
          <w:tcPr>
            <w:tcW w:w="3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3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1,753,212.59</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1,753,212.59</w:t>
            </w:r>
          </w:p>
        </w:tc>
      </w:tr>
      <w:tr>
        <w:trPr>
          <w:trHeight w:val="242" w:hRule="exact"/>
        </w:trPr>
        <w:tc>
          <w:tcPr>
            <w:tcW w:w="3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37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37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1,753,212.59</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1,753,212.59</w:t>
            </w:r>
          </w:p>
        </w:tc>
      </w:tr>
      <w:tr>
        <w:trPr>
          <w:trHeight w:val="242" w:hRule="exact"/>
        </w:trPr>
        <w:tc>
          <w:tcPr>
            <w:tcW w:w="3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3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18"/>
                <w:szCs w:val="18"/>
              </w:rPr>
            </w:pPr>
            <w:r>
              <w:rPr>
                <w:rFonts w:ascii="Times New Roman"/>
                <w:spacing w:val="-1"/>
                <w:sz w:val="18"/>
              </w:rPr>
              <w:t>6,244,632.24</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18"/>
                <w:szCs w:val="18"/>
              </w:rPr>
            </w:pPr>
            <w:r>
              <w:rPr>
                <w:rFonts w:ascii="Times New Roman"/>
                <w:spacing w:val="-1"/>
                <w:sz w:val="18"/>
              </w:rPr>
              <w:t>6,244,632.24</w:t>
            </w:r>
          </w:p>
        </w:tc>
      </w:tr>
      <w:tr>
        <w:trPr>
          <w:trHeight w:val="242" w:hRule="exact"/>
        </w:trPr>
        <w:tc>
          <w:tcPr>
            <w:tcW w:w="3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1" w:lineRule="exact"/>
              <w:ind w:left="3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3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37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3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37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37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3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160" w:left="166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tbl>
      <w:tblPr>
        <w:tblW w:w="0" w:type="auto"/>
        <w:jc w:val="left"/>
        <w:tblInd w:w="144" w:type="dxa"/>
        <w:tblLayout w:type="fixed"/>
        <w:tblCellMar>
          <w:top w:w="0" w:type="dxa"/>
          <w:left w:w="0" w:type="dxa"/>
          <w:bottom w:w="0" w:type="dxa"/>
          <w:right w:w="0" w:type="dxa"/>
        </w:tblCellMar>
        <w:tblLook w:val="01E0"/>
      </w:tblPr>
      <w:tblGrid>
        <w:gridCol w:w="3098"/>
        <w:gridCol w:w="1712"/>
        <w:gridCol w:w="1418"/>
        <w:gridCol w:w="1419"/>
        <w:gridCol w:w="1915"/>
      </w:tblGrid>
      <w:tr>
        <w:trPr>
          <w:trHeight w:val="243" w:hRule="exact"/>
        </w:trPr>
        <w:tc>
          <w:tcPr>
            <w:tcW w:w="3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10"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1" w:lineRule="exact"/>
              <w:ind w:right="1498"/>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52,892,220.34</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52,892,220.34</w:t>
            </w:r>
          </w:p>
        </w:tc>
      </w:tr>
      <w:tr>
        <w:trPr>
          <w:trHeight w:val="242" w:hRule="exact"/>
        </w:trPr>
        <w:tc>
          <w:tcPr>
            <w:tcW w:w="3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right="1498"/>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50,979,540.02</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50,979,540.02</w:t>
            </w:r>
          </w:p>
        </w:tc>
      </w:tr>
    </w:tbl>
    <w:p>
      <w:pPr>
        <w:spacing w:after="0" w:line="240" w:lineRule="auto"/>
        <w:jc w:val="right"/>
        <w:rPr>
          <w:rFonts w:ascii="Times New Roman" w:hAnsi="Times New Roman" w:cs="Times New Roman" w:eastAsia="Times New Roman" w:hint="default"/>
          <w:sz w:val="18"/>
          <w:szCs w:val="18"/>
        </w:rPr>
        <w:sectPr>
          <w:pgSz w:w="11910" w:h="16840"/>
          <w:pgMar w:header="733" w:footer="977" w:top="960" w:bottom="1160" w:left="1660" w:right="0"/>
        </w:sectPr>
      </w:pPr>
    </w:p>
    <w:p>
      <w:pPr>
        <w:pStyle w:val="Heading4"/>
        <w:spacing w:line="245" w:lineRule="exact"/>
        <w:ind w:left="138" w:right="-20"/>
        <w:jc w:val="left"/>
        <w:rPr>
          <w:b w:val="0"/>
          <w:bCs w:val="0"/>
        </w:rPr>
      </w:pPr>
      <w:r>
        <w:rPr/>
        <w:t>（</w:t>
      </w:r>
      <w:r>
        <w:rPr>
          <w:rFonts w:ascii="Times New Roman" w:hAnsi="Times New Roman" w:cs="Times New Roman" w:eastAsia="Times New Roman" w:hint="default"/>
        </w:rPr>
        <w:t>2</w:t>
      </w:r>
      <w:r>
        <w:rPr/>
        <w:t>）未办妥产权证书的投资性房地产情况</w:t>
      </w:r>
      <w:r>
        <w:rPr>
          <w:b w:val="0"/>
          <w:bCs w:val="0"/>
        </w:rPr>
      </w:r>
    </w:p>
    <w:p>
      <w:pPr>
        <w:pStyle w:val="BodyText"/>
        <w:spacing w:line="240" w:lineRule="auto" w:before="113"/>
        <w:ind w:left="558" w:right="-20"/>
        <w:jc w:val="left"/>
      </w:pPr>
      <w:r>
        <w:rPr/>
        <w:t>期末没有未办妥产权证书的投资性房地产。</w:t>
      </w:r>
    </w:p>
    <w:p>
      <w:pPr>
        <w:pStyle w:val="Heading4"/>
        <w:spacing w:line="240" w:lineRule="auto" w:before="113"/>
        <w:ind w:left="138" w:right="-20"/>
        <w:jc w:val="left"/>
        <w:rPr>
          <w:b w:val="0"/>
          <w:bCs w:val="0"/>
        </w:rPr>
      </w:pPr>
      <w:r>
        <w:rPr>
          <w:rFonts w:ascii="Times New Roman" w:hAnsi="Times New Roman" w:cs="Times New Roman" w:eastAsia="Times New Roman" w:hint="default"/>
        </w:rPr>
        <w:t>11</w:t>
      </w:r>
      <w:r>
        <w:rPr/>
        <w:t>、固定资产</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BodyText"/>
        <w:spacing w:line="240" w:lineRule="auto" w:before="155"/>
        <w:ind w:left="138" w:right="0"/>
        <w:jc w:val="left"/>
      </w:pPr>
      <w:r>
        <w:rPr/>
        <w:t>单位：</w:t>
      </w:r>
      <w:r>
        <w:rPr>
          <w:spacing w:val="1"/>
        </w:rPr>
        <w:t> </w:t>
      </w:r>
      <w:r>
        <w:rPr/>
        <w:t>元</w:t>
      </w:r>
    </w:p>
    <w:p>
      <w:pPr>
        <w:spacing w:after="0" w:line="240" w:lineRule="auto"/>
        <w:jc w:val="left"/>
        <w:sectPr>
          <w:type w:val="continuous"/>
          <w:pgSz w:w="11910" w:h="16840"/>
          <w:pgMar w:top="1100" w:bottom="1160" w:left="1660" w:right="0"/>
          <w:cols w:num="2" w:equalWidth="0">
            <w:col w:w="3979" w:space="3525"/>
            <w:col w:w="2746"/>
          </w:cols>
        </w:sectPr>
      </w:pPr>
    </w:p>
    <w:p>
      <w:pPr>
        <w:spacing w:line="240" w:lineRule="auto" w:before="1"/>
        <w:rPr>
          <w:rFonts w:ascii="宋体" w:hAnsi="宋体" w:cs="宋体" w:eastAsia="宋体" w:hint="default"/>
          <w:sz w:val="11"/>
          <w:szCs w:val="11"/>
        </w:rPr>
      </w:pPr>
    </w:p>
    <w:tbl>
      <w:tblPr>
        <w:tblW w:w="0" w:type="auto"/>
        <w:jc w:val="left"/>
        <w:tblInd w:w="144" w:type="dxa"/>
        <w:tblLayout w:type="fixed"/>
        <w:tblCellMar>
          <w:top w:w="0" w:type="dxa"/>
          <w:left w:w="0" w:type="dxa"/>
          <w:bottom w:w="0" w:type="dxa"/>
          <w:right w:w="0" w:type="dxa"/>
        </w:tblCellMar>
        <w:tblLook w:val="01E0"/>
      </w:tblPr>
      <w:tblGrid>
        <w:gridCol w:w="3172"/>
        <w:gridCol w:w="3200"/>
        <w:gridCol w:w="3188"/>
      </w:tblGrid>
      <w:tr>
        <w:trPr>
          <w:trHeight w:val="362"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60"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1,089,049,675.78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966,316,457.46</w:t>
            </w:r>
          </w:p>
        </w:tc>
      </w:tr>
      <w:tr>
        <w:trPr>
          <w:trHeight w:val="360"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200" w:type="dxa"/>
            <w:tcBorders>
              <w:top w:val="single" w:sz="4" w:space="0" w:color="000000"/>
              <w:left w:val="single" w:sz="10" w:space="0" w:color="D2D2D2"/>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18"/>
                <w:szCs w:val="18"/>
              </w:rPr>
            </w:pPr>
            <w:r>
              <w:rPr>
                <w:rFonts w:ascii="Times New Roman"/>
                <w:spacing w:val="-1"/>
                <w:sz w:val="18"/>
              </w:rPr>
              <w:t>1,089,049,675.78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18"/>
                <w:szCs w:val="18"/>
              </w:rPr>
            </w:pPr>
            <w:r>
              <w:rPr>
                <w:rFonts w:ascii="Times New Roman"/>
                <w:spacing w:val="-1"/>
                <w:sz w:val="18"/>
              </w:rPr>
              <w:t>966,316,457.46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160" w:left="1660" w:right="0"/>
        </w:sectPr>
      </w:pPr>
    </w:p>
    <w:p>
      <w:pPr>
        <w:pStyle w:val="Heading4"/>
        <w:spacing w:line="245" w:lineRule="exact"/>
        <w:ind w:left="138" w:right="0"/>
        <w:jc w:val="left"/>
        <w:rPr>
          <w:b w:val="0"/>
          <w:bCs w:val="0"/>
        </w:rPr>
      </w:pPr>
      <w:r>
        <w:rPr>
          <w:w w:val="95"/>
        </w:rPr>
        <w:t>（</w:t>
      </w:r>
      <w:r>
        <w:rPr>
          <w:rFonts w:ascii="Times New Roman" w:hAnsi="Times New Roman" w:cs="Times New Roman" w:eastAsia="Times New Roman" w:hint="default"/>
          <w:w w:val="95"/>
        </w:rPr>
        <w:t>1</w:t>
      </w:r>
      <w:r>
        <w:rPr>
          <w:w w:val="95"/>
        </w:rPr>
        <w:t>）固定资产情况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pStyle w:val="BodyText"/>
        <w:spacing w:line="240" w:lineRule="auto" w:before="123"/>
        <w:ind w:left="138" w:right="0"/>
        <w:jc w:val="left"/>
      </w:pPr>
      <w:r>
        <w:rPr/>
        <w:t>单位：</w:t>
      </w:r>
      <w:r>
        <w:rPr>
          <w:spacing w:val="1"/>
        </w:rPr>
        <w:t> </w:t>
      </w:r>
      <w:r>
        <w:rPr/>
        <w:t>元</w:t>
      </w:r>
    </w:p>
    <w:p>
      <w:pPr>
        <w:spacing w:after="0" w:line="240" w:lineRule="auto"/>
        <w:jc w:val="left"/>
        <w:sectPr>
          <w:type w:val="continuous"/>
          <w:pgSz w:w="11910" w:h="16840"/>
          <w:pgMar w:top="1100" w:bottom="1160" w:left="1660" w:right="0"/>
          <w:cols w:num="2" w:equalWidth="0">
            <w:col w:w="1844" w:space="5660"/>
            <w:col w:w="2746"/>
          </w:cols>
        </w:sectPr>
      </w:pPr>
    </w:p>
    <w:p>
      <w:pPr>
        <w:spacing w:line="240" w:lineRule="auto" w:before="1"/>
        <w:rPr>
          <w:rFonts w:ascii="宋体" w:hAnsi="宋体" w:cs="宋体" w:eastAsia="宋体" w:hint="default"/>
          <w:sz w:val="2"/>
          <w:szCs w:val="2"/>
        </w:rPr>
      </w:pPr>
    </w:p>
    <w:tbl>
      <w:tblPr>
        <w:tblW w:w="0" w:type="auto"/>
        <w:jc w:val="left"/>
        <w:tblInd w:w="144" w:type="dxa"/>
        <w:tblLayout w:type="fixed"/>
        <w:tblCellMar>
          <w:top w:w="0" w:type="dxa"/>
          <w:left w:w="0" w:type="dxa"/>
          <w:bottom w:w="0" w:type="dxa"/>
          <w:right w:w="0" w:type="dxa"/>
        </w:tblCellMar>
        <w:tblLook w:val="01E0"/>
      </w:tblPr>
      <w:tblGrid>
        <w:gridCol w:w="858"/>
        <w:gridCol w:w="869"/>
        <w:gridCol w:w="869"/>
        <w:gridCol w:w="869"/>
        <w:gridCol w:w="869"/>
        <w:gridCol w:w="872"/>
        <w:gridCol w:w="869"/>
        <w:gridCol w:w="869"/>
        <w:gridCol w:w="869"/>
        <w:gridCol w:w="869"/>
        <w:gridCol w:w="869"/>
      </w:tblGrid>
      <w:tr>
        <w:trPr>
          <w:trHeight w:val="478" w:hRule="exact"/>
        </w:trPr>
        <w:tc>
          <w:tcPr>
            <w:tcW w:w="8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3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房屋及建</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筑物</w:t>
            </w: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6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69"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6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8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69"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right="71"/>
              <w:jc w:val="right"/>
              <w:rPr>
                <w:rFonts w:ascii="宋体" w:hAnsi="宋体" w:cs="宋体" w:eastAsia="宋体" w:hint="default"/>
                <w:sz w:val="18"/>
                <w:szCs w:val="18"/>
              </w:rPr>
            </w:pPr>
            <w:r>
              <w:rPr>
                <w:rFonts w:ascii="宋体" w:hAnsi="宋体" w:cs="宋体" w:eastAsia="宋体" w:hint="default"/>
                <w:sz w:val="18"/>
                <w:szCs w:val="18"/>
              </w:rPr>
              <w:t>仪器仪表</w:t>
            </w: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培训设备</w:t>
            </w: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right="70"/>
              <w:jc w:val="right"/>
              <w:rPr>
                <w:rFonts w:ascii="宋体" w:hAnsi="宋体" w:cs="宋体" w:eastAsia="宋体" w:hint="default"/>
                <w:sz w:val="18"/>
                <w:szCs w:val="18"/>
              </w:rPr>
            </w:pPr>
            <w:r>
              <w:rPr>
                <w:rFonts w:ascii="宋体" w:hAnsi="宋体" w:cs="宋体" w:eastAsia="宋体" w:hint="default"/>
                <w:sz w:val="18"/>
                <w:szCs w:val="18"/>
              </w:rPr>
              <w:t>其他设备</w:t>
            </w: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115" w:right="0" w:hanging="48"/>
              <w:jc w:val="left"/>
              <w:rPr>
                <w:rFonts w:ascii="宋体" w:hAnsi="宋体" w:cs="宋体" w:eastAsia="宋体" w:hint="default"/>
                <w:sz w:val="18"/>
                <w:szCs w:val="18"/>
              </w:rPr>
            </w:pPr>
            <w:r>
              <w:rPr>
                <w:rFonts w:ascii="宋体" w:hAnsi="宋体" w:cs="宋体" w:eastAsia="宋体" w:hint="default"/>
                <w:sz w:val="18"/>
                <w:szCs w:val="18"/>
              </w:rPr>
              <w:t>营运业务</w:t>
            </w:r>
          </w:p>
          <w:p>
            <w:pPr>
              <w:pStyle w:val="TableParagraph"/>
              <w:spacing w:line="240" w:lineRule="auto"/>
              <w:ind w:left="1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ATM</w:t>
            </w: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4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78"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10"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87"/>
                <w:sz w:val="18"/>
                <w:szCs w:val="18"/>
              </w:rPr>
              <w:t>、</w:t>
            </w:r>
            <w:r>
              <w:rPr>
                <w:rFonts w:ascii="宋体" w:hAnsi="宋体" w:cs="宋体" w:eastAsia="宋体" w:hint="default"/>
                <w:sz w:val="18"/>
                <w:szCs w:val="18"/>
              </w:rPr>
              <w:t>账面原</w:t>
            </w:r>
          </w:p>
          <w:p>
            <w:pPr>
              <w:pStyle w:val="TableParagraph"/>
              <w:spacing w:line="234" w:lineRule="exact"/>
              <w:ind w:left="10" w:right="0"/>
              <w:jc w:val="left"/>
              <w:rPr>
                <w:rFonts w:ascii="宋体" w:hAnsi="宋体" w:cs="宋体" w:eastAsia="宋体" w:hint="default"/>
                <w:sz w:val="18"/>
                <w:szCs w:val="18"/>
              </w:rPr>
            </w:pPr>
            <w:r>
              <w:rPr>
                <w:rFonts w:ascii="宋体" w:hAnsi="宋体" w:cs="宋体" w:eastAsia="宋体" w:hint="default"/>
                <w:sz w:val="18"/>
                <w:szCs w:val="18"/>
              </w:rPr>
              <w:t>值：</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1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w:t>
            </w:r>
          </w:p>
          <w:p>
            <w:pPr>
              <w:pStyle w:val="TableParagraph"/>
              <w:spacing w:line="227" w:lineRule="exact"/>
              <w:ind w:left="10"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24" w:right="0"/>
              <w:jc w:val="left"/>
              <w:rPr>
                <w:rFonts w:ascii="Times New Roman" w:hAnsi="Times New Roman" w:cs="Times New Roman" w:eastAsia="Times New Roman" w:hint="default"/>
                <w:sz w:val="18"/>
                <w:szCs w:val="18"/>
              </w:rPr>
            </w:pPr>
            <w:r>
              <w:rPr>
                <w:rFonts w:ascii="Times New Roman"/>
                <w:sz w:val="18"/>
              </w:rPr>
              <w:t>729,916,98</w:t>
            </w:r>
          </w:p>
          <w:p>
            <w:pPr>
              <w:pStyle w:val="TableParagraph"/>
              <w:spacing w:line="207" w:lineRule="exact"/>
              <w:ind w:left="520" w:right="0"/>
              <w:jc w:val="left"/>
              <w:rPr>
                <w:rFonts w:ascii="Times New Roman" w:hAnsi="Times New Roman" w:cs="Times New Roman" w:eastAsia="Times New Roman" w:hint="default"/>
                <w:sz w:val="18"/>
                <w:szCs w:val="18"/>
              </w:rPr>
            </w:pPr>
            <w:r>
              <w:rPr>
                <w:rFonts w:ascii="Times New Roman"/>
                <w:sz w:val="18"/>
              </w:rPr>
              <w:t>3.90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26" w:right="0"/>
              <w:jc w:val="left"/>
              <w:rPr>
                <w:rFonts w:ascii="Times New Roman" w:hAnsi="Times New Roman" w:cs="Times New Roman" w:eastAsia="Times New Roman" w:hint="default"/>
                <w:sz w:val="18"/>
                <w:szCs w:val="18"/>
              </w:rPr>
            </w:pPr>
            <w:r>
              <w:rPr>
                <w:rFonts w:ascii="Times New Roman"/>
                <w:sz w:val="18"/>
              </w:rPr>
              <w:t>365,773,77</w:t>
            </w:r>
          </w:p>
          <w:p>
            <w:pPr>
              <w:pStyle w:val="TableParagraph"/>
              <w:spacing w:line="207" w:lineRule="exact"/>
              <w:ind w:left="523" w:right="0"/>
              <w:jc w:val="left"/>
              <w:rPr>
                <w:rFonts w:ascii="Times New Roman" w:hAnsi="Times New Roman" w:cs="Times New Roman" w:eastAsia="Times New Roman" w:hint="default"/>
                <w:sz w:val="18"/>
                <w:szCs w:val="18"/>
              </w:rPr>
            </w:pPr>
            <w:r>
              <w:rPr>
                <w:rFonts w:ascii="Times New Roman"/>
                <w:sz w:val="18"/>
              </w:rPr>
              <w:t>7.57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26" w:right="0"/>
              <w:jc w:val="left"/>
              <w:rPr>
                <w:rFonts w:ascii="Times New Roman" w:hAnsi="Times New Roman" w:cs="Times New Roman" w:eastAsia="Times New Roman" w:hint="default"/>
                <w:sz w:val="18"/>
                <w:szCs w:val="18"/>
              </w:rPr>
            </w:pPr>
            <w:r>
              <w:rPr>
                <w:rFonts w:ascii="Times New Roman"/>
                <w:sz w:val="18"/>
              </w:rPr>
              <w:t>159,891,11</w:t>
            </w:r>
          </w:p>
          <w:p>
            <w:pPr>
              <w:pStyle w:val="TableParagraph"/>
              <w:spacing w:line="207" w:lineRule="exact"/>
              <w:ind w:left="523" w:right="0"/>
              <w:jc w:val="left"/>
              <w:rPr>
                <w:rFonts w:ascii="Times New Roman" w:hAnsi="Times New Roman" w:cs="Times New Roman" w:eastAsia="Times New Roman" w:hint="default"/>
                <w:sz w:val="18"/>
                <w:szCs w:val="18"/>
              </w:rPr>
            </w:pPr>
            <w:r>
              <w:rPr>
                <w:rFonts w:ascii="Times New Roman"/>
                <w:sz w:val="18"/>
              </w:rPr>
              <w:t>6.37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26" w:right="0"/>
              <w:jc w:val="left"/>
              <w:rPr>
                <w:rFonts w:ascii="Times New Roman" w:hAnsi="Times New Roman" w:cs="Times New Roman" w:eastAsia="Times New Roman" w:hint="default"/>
                <w:sz w:val="18"/>
                <w:szCs w:val="18"/>
              </w:rPr>
            </w:pPr>
            <w:r>
              <w:rPr>
                <w:rFonts w:ascii="Times New Roman"/>
                <w:sz w:val="18"/>
              </w:rPr>
              <w:t>102,020,85</w:t>
            </w:r>
          </w:p>
          <w:p>
            <w:pPr>
              <w:pStyle w:val="TableParagraph"/>
              <w:spacing w:line="207" w:lineRule="exact"/>
              <w:ind w:left="523" w:right="0"/>
              <w:jc w:val="left"/>
              <w:rPr>
                <w:rFonts w:ascii="Times New Roman" w:hAnsi="Times New Roman" w:cs="Times New Roman" w:eastAsia="Times New Roman" w:hint="default"/>
                <w:sz w:val="18"/>
                <w:szCs w:val="18"/>
              </w:rPr>
            </w:pPr>
            <w:r>
              <w:rPr>
                <w:rFonts w:ascii="Times New Roman"/>
                <w:sz w:val="18"/>
              </w:rPr>
              <w:t>8.66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22"/>
              <w:jc w:val="right"/>
              <w:rPr>
                <w:rFonts w:ascii="Times New Roman" w:hAnsi="Times New Roman" w:cs="Times New Roman" w:eastAsia="Times New Roman" w:hint="default"/>
                <w:sz w:val="18"/>
                <w:szCs w:val="18"/>
              </w:rPr>
            </w:pPr>
            <w:r>
              <w:rPr>
                <w:rFonts w:ascii="Times New Roman"/>
                <w:spacing w:val="-1"/>
                <w:sz w:val="18"/>
              </w:rPr>
              <w:t>40,646,654</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21"/>
              <w:jc w:val="right"/>
              <w:rPr>
                <w:rFonts w:ascii="Times New Roman" w:hAnsi="Times New Roman" w:cs="Times New Roman" w:eastAsia="Times New Roman" w:hint="default"/>
                <w:sz w:val="18"/>
                <w:szCs w:val="18"/>
              </w:rPr>
            </w:pPr>
            <w:r>
              <w:rPr>
                <w:rFonts w:ascii="Times New Roman"/>
                <w:spacing w:val="-1"/>
                <w:sz w:val="18"/>
              </w:rPr>
              <w:t>28,328,528</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21"/>
              <w:jc w:val="right"/>
              <w:rPr>
                <w:rFonts w:ascii="Times New Roman" w:hAnsi="Times New Roman" w:cs="Times New Roman" w:eastAsia="Times New Roman" w:hint="default"/>
                <w:sz w:val="18"/>
                <w:szCs w:val="18"/>
              </w:rPr>
            </w:pPr>
            <w:r>
              <w:rPr>
                <w:rFonts w:ascii="Times New Roman"/>
                <w:spacing w:val="-1"/>
                <w:sz w:val="18"/>
              </w:rPr>
              <w:t>1,215,445.</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09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21"/>
              <w:jc w:val="right"/>
              <w:rPr>
                <w:rFonts w:ascii="Times New Roman" w:hAnsi="Times New Roman" w:cs="Times New Roman" w:eastAsia="Times New Roman" w:hint="default"/>
                <w:sz w:val="18"/>
                <w:szCs w:val="18"/>
              </w:rPr>
            </w:pPr>
            <w:r>
              <w:rPr>
                <w:rFonts w:ascii="Times New Roman"/>
                <w:spacing w:val="-1"/>
                <w:sz w:val="18"/>
              </w:rPr>
              <w:t>9,824,857.</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23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24" w:right="0"/>
              <w:jc w:val="left"/>
              <w:rPr>
                <w:rFonts w:ascii="Times New Roman" w:hAnsi="Times New Roman" w:cs="Times New Roman" w:eastAsia="Times New Roman" w:hint="default"/>
                <w:sz w:val="18"/>
                <w:szCs w:val="18"/>
              </w:rPr>
            </w:pPr>
            <w:r>
              <w:rPr>
                <w:rFonts w:ascii="Times New Roman"/>
                <w:sz w:val="18"/>
              </w:rPr>
              <w:t>120,400,87</w:t>
            </w:r>
          </w:p>
          <w:p>
            <w:pPr>
              <w:pStyle w:val="TableParagraph"/>
              <w:spacing w:line="207" w:lineRule="exact"/>
              <w:ind w:left="520" w:right="0"/>
              <w:jc w:val="left"/>
              <w:rPr>
                <w:rFonts w:ascii="Times New Roman" w:hAnsi="Times New Roman" w:cs="Times New Roman" w:eastAsia="Times New Roman" w:hint="default"/>
                <w:sz w:val="18"/>
                <w:szCs w:val="18"/>
              </w:rPr>
            </w:pPr>
            <w:r>
              <w:rPr>
                <w:rFonts w:ascii="Times New Roman"/>
                <w:sz w:val="18"/>
              </w:rPr>
              <w:t>9.86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69" w:right="0"/>
              <w:jc w:val="left"/>
              <w:rPr>
                <w:rFonts w:ascii="Times New Roman" w:hAnsi="Times New Roman" w:cs="Times New Roman" w:eastAsia="Times New Roman" w:hint="default"/>
                <w:sz w:val="18"/>
                <w:szCs w:val="18"/>
              </w:rPr>
            </w:pPr>
            <w:r>
              <w:rPr>
                <w:rFonts w:ascii="Times New Roman"/>
                <w:sz w:val="18"/>
              </w:rPr>
              <w:t>1,558,019,</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101.96</w:t>
            </w:r>
          </w:p>
        </w:tc>
      </w:tr>
      <w:tr>
        <w:trPr>
          <w:trHeight w:val="478"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10" w:right="0" w:firstLine="17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w:t>
            </w:r>
          </w:p>
          <w:p>
            <w:pPr>
              <w:pStyle w:val="TableParagraph"/>
              <w:spacing w:line="227" w:lineRule="exact"/>
              <w:ind w:left="10" w:right="0"/>
              <w:jc w:val="left"/>
              <w:rPr>
                <w:rFonts w:ascii="宋体" w:hAnsi="宋体" w:cs="宋体" w:eastAsia="宋体" w:hint="default"/>
                <w:sz w:val="18"/>
                <w:szCs w:val="18"/>
              </w:rPr>
            </w:pPr>
            <w:r>
              <w:rPr>
                <w:rFonts w:ascii="宋体" w:hAnsi="宋体" w:cs="宋体" w:eastAsia="宋体" w:hint="default"/>
                <w:sz w:val="18"/>
                <w:szCs w:val="18"/>
              </w:rPr>
              <w:t>增加金额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24" w:right="0"/>
              <w:jc w:val="left"/>
              <w:rPr>
                <w:rFonts w:ascii="Times New Roman" w:hAnsi="Times New Roman" w:cs="Times New Roman" w:eastAsia="Times New Roman" w:hint="default"/>
                <w:sz w:val="18"/>
                <w:szCs w:val="18"/>
              </w:rPr>
            </w:pPr>
            <w:r>
              <w:rPr>
                <w:rFonts w:ascii="Times New Roman"/>
                <w:sz w:val="18"/>
              </w:rPr>
              <w:t>101,210,53</w:t>
            </w:r>
          </w:p>
          <w:p>
            <w:pPr>
              <w:pStyle w:val="TableParagraph"/>
              <w:spacing w:line="207" w:lineRule="exact"/>
              <w:ind w:left="520" w:right="0"/>
              <w:jc w:val="left"/>
              <w:rPr>
                <w:rFonts w:ascii="Times New Roman" w:hAnsi="Times New Roman" w:cs="Times New Roman" w:eastAsia="Times New Roman" w:hint="default"/>
                <w:sz w:val="18"/>
                <w:szCs w:val="18"/>
              </w:rPr>
            </w:pPr>
            <w:r>
              <w:rPr>
                <w:rFonts w:ascii="Times New Roman"/>
                <w:sz w:val="18"/>
              </w:rPr>
              <w:t>4.67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right="19"/>
              <w:jc w:val="right"/>
              <w:rPr>
                <w:rFonts w:ascii="Times New Roman" w:hAnsi="Times New Roman" w:cs="Times New Roman" w:eastAsia="Times New Roman" w:hint="default"/>
                <w:sz w:val="18"/>
                <w:szCs w:val="18"/>
              </w:rPr>
            </w:pPr>
            <w:r>
              <w:rPr>
                <w:rFonts w:ascii="Times New Roman"/>
                <w:spacing w:val="-1"/>
                <w:sz w:val="18"/>
              </w:rPr>
              <w:t>76,662,395</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.68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right="19"/>
              <w:jc w:val="right"/>
              <w:rPr>
                <w:rFonts w:ascii="Times New Roman" w:hAnsi="Times New Roman" w:cs="Times New Roman" w:eastAsia="Times New Roman" w:hint="default"/>
                <w:sz w:val="18"/>
                <w:szCs w:val="18"/>
              </w:rPr>
            </w:pPr>
            <w:r>
              <w:rPr>
                <w:rFonts w:ascii="Times New Roman"/>
                <w:spacing w:val="-1"/>
                <w:sz w:val="18"/>
              </w:rPr>
              <w:t>46,667,562</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.81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right="19"/>
              <w:jc w:val="right"/>
              <w:rPr>
                <w:rFonts w:ascii="Times New Roman" w:hAnsi="Times New Roman" w:cs="Times New Roman" w:eastAsia="Times New Roman" w:hint="default"/>
                <w:sz w:val="18"/>
                <w:szCs w:val="18"/>
              </w:rPr>
            </w:pPr>
            <w:r>
              <w:rPr>
                <w:rFonts w:ascii="Times New Roman"/>
                <w:spacing w:val="-1"/>
                <w:sz w:val="18"/>
              </w:rPr>
              <w:t>35,311,098</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.43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6" w:right="0"/>
              <w:jc w:val="left"/>
              <w:rPr>
                <w:rFonts w:ascii="Times New Roman" w:hAnsi="Times New Roman" w:cs="Times New Roman" w:eastAsia="Times New Roman" w:hint="default"/>
                <w:sz w:val="18"/>
                <w:szCs w:val="18"/>
              </w:rPr>
            </w:pPr>
            <w:r>
              <w:rPr>
                <w:rFonts w:ascii="Times New Roman"/>
                <w:sz w:val="18"/>
              </w:rPr>
              <w:t>515,503.91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784,178.23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right="21"/>
              <w:jc w:val="right"/>
              <w:rPr>
                <w:rFonts w:ascii="Times New Roman" w:hAnsi="Times New Roman" w:cs="Times New Roman" w:eastAsia="Times New Roman" w:hint="default"/>
                <w:sz w:val="18"/>
                <w:szCs w:val="18"/>
              </w:rPr>
            </w:pPr>
            <w:r>
              <w:rPr>
                <w:rFonts w:ascii="Times New Roman"/>
                <w:spacing w:val="-1"/>
                <w:sz w:val="18"/>
              </w:rPr>
              <w:t>2,457,336.</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right="21"/>
              <w:jc w:val="right"/>
              <w:rPr>
                <w:rFonts w:ascii="Times New Roman" w:hAnsi="Times New Roman" w:cs="Times New Roman" w:eastAsia="Times New Roman" w:hint="default"/>
                <w:sz w:val="18"/>
                <w:szCs w:val="18"/>
              </w:rPr>
            </w:pPr>
            <w:r>
              <w:rPr>
                <w:rFonts w:ascii="Times New Roman"/>
                <w:spacing w:val="-1"/>
                <w:sz w:val="18"/>
              </w:rPr>
              <w:t>2,544,222.</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04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right="21"/>
              <w:jc w:val="right"/>
              <w:rPr>
                <w:rFonts w:ascii="Times New Roman" w:hAnsi="Times New Roman" w:cs="Times New Roman" w:eastAsia="Times New Roman" w:hint="default"/>
                <w:sz w:val="18"/>
                <w:szCs w:val="18"/>
              </w:rPr>
            </w:pPr>
            <w:r>
              <w:rPr>
                <w:rFonts w:ascii="Times New Roman"/>
                <w:spacing w:val="-1"/>
                <w:sz w:val="18"/>
              </w:rPr>
              <w:t>56,863,866</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23" w:right="0"/>
              <w:jc w:val="left"/>
              <w:rPr>
                <w:rFonts w:ascii="Times New Roman" w:hAnsi="Times New Roman" w:cs="Times New Roman" w:eastAsia="Times New Roman" w:hint="default"/>
                <w:sz w:val="18"/>
                <w:szCs w:val="18"/>
              </w:rPr>
            </w:pPr>
            <w:r>
              <w:rPr>
                <w:rFonts w:ascii="Times New Roman"/>
                <w:sz w:val="18"/>
              </w:rPr>
              <w:t>323,016,69</w:t>
            </w:r>
          </w:p>
          <w:p>
            <w:pPr>
              <w:pStyle w:val="TableParagraph"/>
              <w:spacing w:line="207" w:lineRule="exact"/>
              <w:ind w:left="520" w:right="0"/>
              <w:jc w:val="left"/>
              <w:rPr>
                <w:rFonts w:ascii="Times New Roman" w:hAnsi="Times New Roman" w:cs="Times New Roman" w:eastAsia="Times New Roman" w:hint="default"/>
                <w:sz w:val="18"/>
                <w:szCs w:val="18"/>
              </w:rPr>
            </w:pPr>
            <w:r>
              <w:rPr>
                <w:rFonts w:ascii="Times New Roman"/>
                <w:sz w:val="18"/>
              </w:rPr>
              <w:t>8.37</w:t>
            </w:r>
          </w:p>
        </w:tc>
      </w:tr>
      <w:tr>
        <w:trPr>
          <w:trHeight w:val="478"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2" w:lineRule="exact"/>
              <w:ind w:left="37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29" w:lineRule="exact"/>
              <w:ind w:left="10"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pacing w:val="-1"/>
                <w:sz w:val="18"/>
              </w:rPr>
              <w:t>26,546,482</w:t>
            </w:r>
          </w:p>
          <w:p>
            <w:pPr>
              <w:pStyle w:val="TableParagraph"/>
              <w:spacing w:line="240" w:lineRule="auto" w:before="2"/>
              <w:ind w:right="21"/>
              <w:jc w:val="right"/>
              <w:rPr>
                <w:rFonts w:ascii="Times New Roman" w:hAnsi="Times New Roman" w:cs="Times New Roman" w:eastAsia="Times New Roman" w:hint="default"/>
                <w:sz w:val="18"/>
                <w:szCs w:val="18"/>
              </w:rPr>
            </w:pPr>
            <w:r>
              <w:rPr>
                <w:rFonts w:ascii="Times New Roman"/>
                <w:sz w:val="18"/>
              </w:rPr>
              <w:t>.97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Times New Roman" w:hAnsi="Times New Roman" w:cs="Times New Roman" w:eastAsia="Times New Roman" w:hint="default"/>
                <w:sz w:val="18"/>
                <w:szCs w:val="18"/>
              </w:rPr>
            </w:pPr>
            <w:r>
              <w:rPr>
                <w:rFonts w:ascii="Times New Roman"/>
                <w:spacing w:val="-1"/>
                <w:sz w:val="18"/>
              </w:rPr>
              <w:t>41,909,644</w:t>
            </w:r>
          </w:p>
          <w:p>
            <w:pPr>
              <w:pStyle w:val="TableParagraph"/>
              <w:spacing w:line="240" w:lineRule="auto" w:before="2"/>
              <w:ind w:right="18"/>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Times New Roman" w:hAnsi="Times New Roman" w:cs="Times New Roman" w:eastAsia="Times New Roman" w:hint="default"/>
                <w:sz w:val="18"/>
                <w:szCs w:val="18"/>
              </w:rPr>
            </w:pPr>
            <w:r>
              <w:rPr>
                <w:rFonts w:ascii="Times New Roman"/>
                <w:spacing w:val="-1"/>
                <w:sz w:val="18"/>
              </w:rPr>
              <w:t>17,532,625</w:t>
            </w:r>
          </w:p>
          <w:p>
            <w:pPr>
              <w:pStyle w:val="TableParagraph"/>
              <w:spacing w:line="240" w:lineRule="auto" w:before="2"/>
              <w:ind w:right="18"/>
              <w:jc w:val="right"/>
              <w:rPr>
                <w:rFonts w:ascii="Times New Roman" w:hAnsi="Times New Roman" w:cs="Times New Roman" w:eastAsia="Times New Roman" w:hint="default"/>
                <w:sz w:val="18"/>
                <w:szCs w:val="18"/>
              </w:rPr>
            </w:pPr>
            <w:r>
              <w:rPr>
                <w:rFonts w:ascii="Times New Roman"/>
                <w:sz w:val="18"/>
              </w:rPr>
              <w:t>.59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Times New Roman" w:hAnsi="Times New Roman" w:cs="Times New Roman" w:eastAsia="Times New Roman" w:hint="default"/>
                <w:sz w:val="18"/>
                <w:szCs w:val="18"/>
              </w:rPr>
            </w:pPr>
            <w:r>
              <w:rPr>
                <w:rFonts w:ascii="Times New Roman"/>
                <w:spacing w:val="-1"/>
                <w:sz w:val="18"/>
              </w:rPr>
              <w:t>27,156,904</w:t>
            </w:r>
          </w:p>
          <w:p>
            <w:pPr>
              <w:pStyle w:val="TableParagraph"/>
              <w:spacing w:line="240" w:lineRule="auto" w:before="2"/>
              <w:ind w:right="18"/>
              <w:jc w:val="right"/>
              <w:rPr>
                <w:rFonts w:ascii="Times New Roman" w:hAnsi="Times New Roman" w:cs="Times New Roman" w:eastAsia="Times New Roman" w:hint="default"/>
                <w:sz w:val="18"/>
                <w:szCs w:val="18"/>
              </w:rPr>
            </w:pPr>
            <w:r>
              <w:rPr>
                <w:rFonts w:ascii="Times New Roman"/>
                <w:sz w:val="18"/>
              </w:rPr>
              <w:t>.87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-199,883.9</w:t>
            </w:r>
          </w:p>
          <w:p>
            <w:pPr>
              <w:pStyle w:val="TableParagraph"/>
              <w:spacing w:line="240" w:lineRule="auto" w:before="2"/>
              <w:ind w:right="23"/>
              <w:jc w:val="right"/>
              <w:rPr>
                <w:rFonts w:ascii="Times New Roman" w:hAnsi="Times New Roman" w:cs="Times New Roman" w:eastAsia="Times New Roman" w:hint="default"/>
                <w:sz w:val="18"/>
                <w:szCs w:val="18"/>
              </w:rPr>
            </w:pPr>
            <w:r>
              <w:rPr>
                <w:rFonts w:ascii="Times New Roman"/>
                <w:sz w:val="18"/>
              </w:rPr>
              <w:t>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784,178.23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pacing w:val="-1"/>
                <w:sz w:val="18"/>
              </w:rPr>
              <w:t>2,457,336.</w:t>
            </w:r>
          </w:p>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z w:val="18"/>
              </w:rPr>
              <w:t>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735,116.67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pacing w:val="-1"/>
                <w:sz w:val="18"/>
              </w:rPr>
              <w:t>37,732,995</w:t>
            </w:r>
          </w:p>
          <w:p>
            <w:pPr>
              <w:pStyle w:val="TableParagraph"/>
              <w:spacing w:line="240" w:lineRule="auto" w:before="2"/>
              <w:ind w:right="21"/>
              <w:jc w:val="right"/>
              <w:rPr>
                <w:rFonts w:ascii="Times New Roman" w:hAnsi="Times New Roman" w:cs="Times New Roman" w:eastAsia="Times New Roman" w:hint="default"/>
                <w:sz w:val="18"/>
                <w:szCs w:val="18"/>
              </w:rPr>
            </w:pPr>
            <w:r>
              <w:rPr>
                <w:rFonts w:ascii="Times New Roman"/>
                <w:sz w:val="18"/>
              </w:rPr>
              <w:t>.42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Times New Roman" w:hAnsi="Times New Roman" w:cs="Times New Roman" w:eastAsia="Times New Roman" w:hint="default"/>
                <w:sz w:val="18"/>
                <w:szCs w:val="18"/>
              </w:rPr>
            </w:pPr>
            <w:r>
              <w:rPr>
                <w:rFonts w:ascii="Times New Roman"/>
                <w:sz w:val="18"/>
              </w:rPr>
              <w:t>154,655,40</w:t>
            </w:r>
          </w:p>
          <w:p>
            <w:pPr>
              <w:pStyle w:val="TableParagraph"/>
              <w:spacing w:line="240" w:lineRule="auto" w:before="2"/>
              <w:ind w:left="520" w:right="0"/>
              <w:jc w:val="left"/>
              <w:rPr>
                <w:rFonts w:ascii="Times New Roman" w:hAnsi="Times New Roman" w:cs="Times New Roman" w:eastAsia="Times New Roman" w:hint="default"/>
                <w:sz w:val="18"/>
                <w:szCs w:val="18"/>
              </w:rPr>
            </w:pPr>
            <w:r>
              <w:rPr>
                <w:rFonts w:ascii="Times New Roman"/>
                <w:sz w:val="18"/>
              </w:rPr>
              <w:t>0.21</w:t>
            </w:r>
          </w:p>
        </w:tc>
      </w:tr>
      <w:tr>
        <w:trPr>
          <w:trHeight w:val="711"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37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pStyle w:val="TableParagraph"/>
              <w:spacing w:line="232" w:lineRule="exact" w:before="16"/>
              <w:ind w:left="10" w:right="115"/>
              <w:jc w:val="left"/>
              <w:rPr>
                <w:rFonts w:ascii="宋体" w:hAnsi="宋体" w:cs="宋体" w:eastAsia="宋体" w:hint="default"/>
                <w:sz w:val="18"/>
                <w:szCs w:val="18"/>
              </w:rPr>
            </w:pPr>
            <w:r>
              <w:rPr>
                <w:rFonts w:ascii="宋体" w:hAnsi="宋体" w:cs="宋体" w:eastAsia="宋体" w:hint="default"/>
                <w:sz w:val="18"/>
                <w:szCs w:val="18"/>
              </w:rPr>
              <w:t>在建工程 转入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21"/>
              <w:jc w:val="right"/>
              <w:rPr>
                <w:rFonts w:ascii="Times New Roman" w:hAnsi="Times New Roman" w:cs="Times New Roman" w:eastAsia="Times New Roman" w:hint="default"/>
                <w:sz w:val="18"/>
                <w:szCs w:val="18"/>
              </w:rPr>
            </w:pPr>
            <w:r>
              <w:rPr>
                <w:rFonts w:ascii="Times New Roman"/>
                <w:spacing w:val="-1"/>
                <w:sz w:val="18"/>
              </w:rPr>
              <w:t>28,512,111</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.21</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19"/>
              <w:jc w:val="right"/>
              <w:rPr>
                <w:rFonts w:ascii="Times New Roman" w:hAnsi="Times New Roman" w:cs="Times New Roman" w:eastAsia="Times New Roman" w:hint="default"/>
                <w:sz w:val="18"/>
                <w:szCs w:val="18"/>
              </w:rPr>
            </w:pPr>
            <w:r>
              <w:rPr>
                <w:rFonts w:ascii="Times New Roman"/>
                <w:spacing w:val="-1"/>
                <w:sz w:val="18"/>
              </w:rPr>
              <w:t>23,456,591</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502,782.91</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21"/>
              <w:jc w:val="right"/>
              <w:rPr>
                <w:rFonts w:ascii="Times New Roman" w:hAnsi="Times New Roman" w:cs="Times New Roman" w:eastAsia="Times New Roman" w:hint="default"/>
                <w:sz w:val="18"/>
                <w:szCs w:val="18"/>
              </w:rPr>
            </w:pPr>
            <w:r>
              <w:rPr>
                <w:rFonts w:ascii="Times New Roman"/>
                <w:spacing w:val="-1"/>
                <w:sz w:val="18"/>
              </w:rPr>
              <w:t>19,130,871</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.16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21"/>
              <w:jc w:val="right"/>
              <w:rPr>
                <w:rFonts w:ascii="Times New Roman" w:hAnsi="Times New Roman" w:cs="Times New Roman" w:eastAsia="Times New Roman" w:hint="default"/>
                <w:sz w:val="18"/>
                <w:szCs w:val="18"/>
              </w:rPr>
            </w:pPr>
            <w:r>
              <w:rPr>
                <w:rFonts w:ascii="Times New Roman"/>
                <w:spacing w:val="-1"/>
                <w:sz w:val="18"/>
              </w:rPr>
              <w:t>71,602,356</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.31</w:t>
            </w:r>
          </w:p>
        </w:tc>
      </w:tr>
      <w:tr>
        <w:trPr>
          <w:trHeight w:val="710"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37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32" w:lineRule="exact" w:before="16"/>
              <w:ind w:left="10" w:right="115"/>
              <w:jc w:val="left"/>
              <w:rPr>
                <w:rFonts w:ascii="宋体" w:hAnsi="宋体" w:cs="宋体" w:eastAsia="宋体" w:hint="default"/>
                <w:sz w:val="18"/>
                <w:szCs w:val="18"/>
              </w:rPr>
            </w:pPr>
            <w:r>
              <w:rPr>
                <w:rFonts w:ascii="宋体" w:hAnsi="宋体" w:cs="宋体" w:eastAsia="宋体" w:hint="default"/>
                <w:sz w:val="18"/>
                <w:szCs w:val="18"/>
              </w:rPr>
              <w:t>企业合并 增加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21"/>
              <w:jc w:val="right"/>
              <w:rPr>
                <w:rFonts w:ascii="Times New Roman" w:hAnsi="Times New Roman" w:cs="Times New Roman" w:eastAsia="Times New Roman" w:hint="default"/>
                <w:sz w:val="18"/>
                <w:szCs w:val="18"/>
              </w:rPr>
            </w:pPr>
            <w:r>
              <w:rPr>
                <w:rFonts w:ascii="Times New Roman"/>
                <w:spacing w:val="-1"/>
                <w:sz w:val="18"/>
              </w:rPr>
              <w:t>46,151,940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19"/>
              <w:jc w:val="right"/>
              <w:rPr>
                <w:rFonts w:ascii="Times New Roman" w:hAnsi="Times New Roman" w:cs="Times New Roman" w:eastAsia="Times New Roman" w:hint="default"/>
                <w:sz w:val="18"/>
                <w:szCs w:val="18"/>
              </w:rPr>
            </w:pPr>
            <w:r>
              <w:rPr>
                <w:rFonts w:ascii="Times New Roman"/>
                <w:spacing w:val="-1"/>
                <w:sz w:val="18"/>
              </w:rPr>
              <w:t>34,752,751</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.25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18"/>
              <w:jc w:val="right"/>
              <w:rPr>
                <w:rFonts w:ascii="Times New Roman" w:hAnsi="Times New Roman" w:cs="Times New Roman" w:eastAsia="Times New Roman" w:hint="default"/>
                <w:sz w:val="18"/>
                <w:szCs w:val="18"/>
              </w:rPr>
            </w:pPr>
            <w:r>
              <w:rPr>
                <w:rFonts w:ascii="Times New Roman"/>
                <w:spacing w:val="-1"/>
                <w:sz w:val="18"/>
              </w:rPr>
              <w:t>5,678,346.</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19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18"/>
              <w:jc w:val="right"/>
              <w:rPr>
                <w:rFonts w:ascii="Times New Roman" w:hAnsi="Times New Roman" w:cs="Times New Roman" w:eastAsia="Times New Roman" w:hint="default"/>
                <w:sz w:val="18"/>
                <w:szCs w:val="18"/>
              </w:rPr>
            </w:pPr>
            <w:r>
              <w:rPr>
                <w:rFonts w:ascii="Times New Roman"/>
                <w:spacing w:val="-1"/>
                <w:sz w:val="18"/>
              </w:rPr>
              <w:t>7,651,410.</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65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715,387.90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21"/>
              <w:jc w:val="right"/>
              <w:rPr>
                <w:rFonts w:ascii="Times New Roman" w:hAnsi="Times New Roman" w:cs="Times New Roman" w:eastAsia="Times New Roman" w:hint="default"/>
                <w:sz w:val="18"/>
                <w:szCs w:val="18"/>
              </w:rPr>
            </w:pPr>
            <w:r>
              <w:rPr>
                <w:rFonts w:ascii="Times New Roman"/>
                <w:spacing w:val="-1"/>
                <w:sz w:val="18"/>
              </w:rPr>
              <w:t>1,809,105.</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37</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21"/>
              <w:jc w:val="right"/>
              <w:rPr>
                <w:rFonts w:ascii="Times New Roman" w:hAnsi="Times New Roman" w:cs="Times New Roman" w:eastAsia="Times New Roman" w:hint="default"/>
                <w:sz w:val="18"/>
                <w:szCs w:val="18"/>
              </w:rPr>
            </w:pPr>
            <w:r>
              <w:rPr>
                <w:rFonts w:ascii="Times New Roman"/>
                <w:spacing w:val="-1"/>
                <w:sz w:val="18"/>
              </w:rPr>
              <w:t>96,758,941</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.85</w:t>
            </w:r>
          </w:p>
        </w:tc>
      </w:tr>
      <w:tr>
        <w:trPr>
          <w:trHeight w:val="475"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10" w:right="0" w:firstLine="17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w:t>
            </w:r>
          </w:p>
          <w:p>
            <w:pPr>
              <w:pStyle w:val="TableParagraph"/>
              <w:spacing w:line="227" w:lineRule="exact"/>
              <w:ind w:left="10" w:right="0"/>
              <w:jc w:val="left"/>
              <w:rPr>
                <w:rFonts w:ascii="宋体" w:hAnsi="宋体" w:cs="宋体" w:eastAsia="宋体" w:hint="default"/>
                <w:sz w:val="18"/>
                <w:szCs w:val="18"/>
              </w:rPr>
            </w:pPr>
            <w:r>
              <w:rPr>
                <w:rFonts w:ascii="宋体" w:hAnsi="宋体" w:cs="宋体" w:eastAsia="宋体" w:hint="default"/>
                <w:sz w:val="18"/>
                <w:szCs w:val="18"/>
              </w:rPr>
              <w:t>减少金额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21"/>
              <w:jc w:val="right"/>
              <w:rPr>
                <w:rFonts w:ascii="Times New Roman" w:hAnsi="Times New Roman" w:cs="Times New Roman" w:eastAsia="Times New Roman" w:hint="default"/>
                <w:sz w:val="18"/>
                <w:szCs w:val="18"/>
              </w:rPr>
            </w:pPr>
            <w:r>
              <w:rPr>
                <w:rFonts w:ascii="Times New Roman"/>
                <w:spacing w:val="-1"/>
                <w:sz w:val="18"/>
              </w:rPr>
              <w:t>11,856,427</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19"/>
              <w:jc w:val="right"/>
              <w:rPr>
                <w:rFonts w:ascii="Times New Roman" w:hAnsi="Times New Roman" w:cs="Times New Roman" w:eastAsia="Times New Roman" w:hint="default"/>
                <w:sz w:val="18"/>
                <w:szCs w:val="18"/>
              </w:rPr>
            </w:pPr>
            <w:r>
              <w:rPr>
                <w:rFonts w:ascii="Times New Roman"/>
                <w:spacing w:val="-1"/>
                <w:sz w:val="18"/>
              </w:rPr>
              <w:t>27,934,493</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.27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18"/>
              <w:jc w:val="right"/>
              <w:rPr>
                <w:rFonts w:ascii="Times New Roman" w:hAnsi="Times New Roman" w:cs="Times New Roman" w:eastAsia="Times New Roman" w:hint="default"/>
                <w:sz w:val="18"/>
                <w:szCs w:val="18"/>
              </w:rPr>
            </w:pPr>
            <w:r>
              <w:rPr>
                <w:rFonts w:ascii="Times New Roman"/>
                <w:spacing w:val="-1"/>
                <w:sz w:val="18"/>
              </w:rPr>
              <w:t>8,624,061.</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92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19"/>
              <w:jc w:val="right"/>
              <w:rPr>
                <w:rFonts w:ascii="Times New Roman" w:hAnsi="Times New Roman" w:cs="Times New Roman" w:eastAsia="Times New Roman" w:hint="default"/>
                <w:sz w:val="18"/>
                <w:szCs w:val="18"/>
              </w:rPr>
            </w:pPr>
            <w:r>
              <w:rPr>
                <w:rFonts w:ascii="Times New Roman"/>
                <w:spacing w:val="-1"/>
                <w:sz w:val="18"/>
              </w:rPr>
              <w:t>14,066,298</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.90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6" w:right="0"/>
              <w:jc w:val="left"/>
              <w:rPr>
                <w:rFonts w:ascii="Times New Roman" w:hAnsi="Times New Roman" w:cs="Times New Roman" w:eastAsia="Times New Roman" w:hint="default"/>
                <w:sz w:val="18"/>
                <w:szCs w:val="18"/>
              </w:rPr>
            </w:pPr>
            <w:r>
              <w:rPr>
                <w:rFonts w:ascii="Times New Roman"/>
                <w:sz w:val="18"/>
              </w:rPr>
              <w:t>510,205.44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w w:val="95"/>
                <w:sz w:val="18"/>
              </w:rPr>
              <w:t>7,606.84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367,708.18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w w:val="95"/>
                <w:sz w:val="18"/>
              </w:rPr>
              <w:t>1,560.00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21"/>
              <w:jc w:val="right"/>
              <w:rPr>
                <w:rFonts w:ascii="Times New Roman" w:hAnsi="Times New Roman" w:cs="Times New Roman" w:eastAsia="Times New Roman" w:hint="default"/>
                <w:sz w:val="18"/>
                <w:szCs w:val="18"/>
              </w:rPr>
            </w:pPr>
            <w:r>
              <w:rPr>
                <w:rFonts w:ascii="Times New Roman"/>
                <w:spacing w:val="-1"/>
                <w:sz w:val="18"/>
              </w:rPr>
              <w:t>17,108,067</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.69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21"/>
              <w:jc w:val="right"/>
              <w:rPr>
                <w:rFonts w:ascii="Times New Roman" w:hAnsi="Times New Roman" w:cs="Times New Roman" w:eastAsia="Times New Roman" w:hint="default"/>
                <w:sz w:val="18"/>
                <w:szCs w:val="18"/>
              </w:rPr>
            </w:pPr>
            <w:r>
              <w:rPr>
                <w:rFonts w:ascii="Times New Roman"/>
                <w:spacing w:val="-1"/>
                <w:sz w:val="18"/>
              </w:rPr>
              <w:t>80,476,429</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.41</w:t>
            </w:r>
          </w:p>
        </w:tc>
      </w:tr>
      <w:tr>
        <w:trPr>
          <w:trHeight w:val="710"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37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32" w:lineRule="exact" w:before="16"/>
              <w:ind w:left="10" w:right="115"/>
              <w:jc w:val="left"/>
              <w:rPr>
                <w:rFonts w:ascii="宋体" w:hAnsi="宋体" w:cs="宋体" w:eastAsia="宋体" w:hint="default"/>
                <w:sz w:val="18"/>
                <w:szCs w:val="18"/>
              </w:rPr>
            </w:pPr>
            <w:r>
              <w:rPr>
                <w:rFonts w:ascii="宋体" w:hAnsi="宋体" w:cs="宋体" w:eastAsia="宋体" w:hint="default"/>
                <w:sz w:val="18"/>
                <w:szCs w:val="18"/>
              </w:rPr>
              <w:t>处置或报 废</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21"/>
              <w:jc w:val="right"/>
              <w:rPr>
                <w:rFonts w:ascii="Times New Roman" w:hAnsi="Times New Roman" w:cs="Times New Roman" w:eastAsia="Times New Roman" w:hint="default"/>
                <w:sz w:val="18"/>
                <w:szCs w:val="18"/>
              </w:rPr>
            </w:pPr>
            <w:r>
              <w:rPr>
                <w:rFonts w:ascii="Times New Roman"/>
                <w:spacing w:val="-1"/>
                <w:sz w:val="18"/>
              </w:rPr>
              <w:t>11,856,427</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19"/>
              <w:jc w:val="right"/>
              <w:rPr>
                <w:rFonts w:ascii="Times New Roman" w:hAnsi="Times New Roman" w:cs="Times New Roman" w:eastAsia="Times New Roman" w:hint="default"/>
                <w:sz w:val="18"/>
                <w:szCs w:val="18"/>
              </w:rPr>
            </w:pPr>
            <w:r>
              <w:rPr>
                <w:rFonts w:ascii="Times New Roman"/>
                <w:spacing w:val="-1"/>
                <w:sz w:val="18"/>
              </w:rPr>
              <w:t>27,934,493</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.27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18"/>
              <w:jc w:val="right"/>
              <w:rPr>
                <w:rFonts w:ascii="Times New Roman" w:hAnsi="Times New Roman" w:cs="Times New Roman" w:eastAsia="Times New Roman" w:hint="default"/>
                <w:sz w:val="18"/>
                <w:szCs w:val="18"/>
              </w:rPr>
            </w:pPr>
            <w:r>
              <w:rPr>
                <w:rFonts w:ascii="Times New Roman"/>
                <w:spacing w:val="-1"/>
                <w:sz w:val="18"/>
              </w:rPr>
              <w:t>8,624,061.</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92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19"/>
              <w:jc w:val="right"/>
              <w:rPr>
                <w:rFonts w:ascii="Times New Roman" w:hAnsi="Times New Roman" w:cs="Times New Roman" w:eastAsia="Times New Roman" w:hint="default"/>
                <w:sz w:val="18"/>
                <w:szCs w:val="18"/>
              </w:rPr>
            </w:pPr>
            <w:r>
              <w:rPr>
                <w:rFonts w:ascii="Times New Roman"/>
                <w:spacing w:val="-1"/>
                <w:sz w:val="18"/>
              </w:rPr>
              <w:t>14,066,298</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.90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510,205.44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7,606.84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367,708.18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1,560.00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21"/>
              <w:jc w:val="right"/>
              <w:rPr>
                <w:rFonts w:ascii="Times New Roman" w:hAnsi="Times New Roman" w:cs="Times New Roman" w:eastAsia="Times New Roman" w:hint="default"/>
                <w:sz w:val="18"/>
                <w:szCs w:val="18"/>
              </w:rPr>
            </w:pPr>
            <w:r>
              <w:rPr>
                <w:rFonts w:ascii="Times New Roman"/>
                <w:spacing w:val="-1"/>
                <w:sz w:val="18"/>
              </w:rPr>
              <w:t>17,108,067</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.69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21"/>
              <w:jc w:val="right"/>
              <w:rPr>
                <w:rFonts w:ascii="Times New Roman" w:hAnsi="Times New Roman" w:cs="Times New Roman" w:eastAsia="Times New Roman" w:hint="default"/>
                <w:sz w:val="18"/>
                <w:szCs w:val="18"/>
              </w:rPr>
            </w:pPr>
            <w:r>
              <w:rPr>
                <w:rFonts w:ascii="Times New Roman"/>
                <w:spacing w:val="-1"/>
                <w:sz w:val="18"/>
              </w:rPr>
              <w:t>80,476,429</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.41</w:t>
            </w:r>
          </w:p>
        </w:tc>
      </w:tr>
      <w:tr>
        <w:trPr>
          <w:trHeight w:val="478"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1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w:t>
            </w:r>
          </w:p>
          <w:p>
            <w:pPr>
              <w:pStyle w:val="TableParagraph"/>
              <w:spacing w:line="227" w:lineRule="exact"/>
              <w:ind w:left="10"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24" w:right="0"/>
              <w:jc w:val="left"/>
              <w:rPr>
                <w:rFonts w:ascii="Times New Roman" w:hAnsi="Times New Roman" w:cs="Times New Roman" w:eastAsia="Times New Roman" w:hint="default"/>
                <w:sz w:val="18"/>
                <w:szCs w:val="18"/>
              </w:rPr>
            </w:pPr>
            <w:r>
              <w:rPr>
                <w:rFonts w:ascii="Times New Roman"/>
                <w:sz w:val="18"/>
              </w:rPr>
              <w:t>819,271,09</w:t>
            </w:r>
          </w:p>
          <w:p>
            <w:pPr>
              <w:pStyle w:val="TableParagraph"/>
              <w:spacing w:line="207" w:lineRule="exact"/>
              <w:ind w:left="520" w:right="0"/>
              <w:jc w:val="left"/>
              <w:rPr>
                <w:rFonts w:ascii="Times New Roman" w:hAnsi="Times New Roman" w:cs="Times New Roman" w:eastAsia="Times New Roman" w:hint="default"/>
                <w:sz w:val="18"/>
                <w:szCs w:val="18"/>
              </w:rPr>
            </w:pPr>
            <w:r>
              <w:rPr>
                <w:rFonts w:ascii="Times New Roman"/>
                <w:sz w:val="18"/>
              </w:rPr>
              <w:t>1.40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26" w:right="0"/>
              <w:jc w:val="left"/>
              <w:rPr>
                <w:rFonts w:ascii="Times New Roman" w:hAnsi="Times New Roman" w:cs="Times New Roman" w:eastAsia="Times New Roman" w:hint="default"/>
                <w:sz w:val="18"/>
                <w:szCs w:val="18"/>
              </w:rPr>
            </w:pPr>
            <w:r>
              <w:rPr>
                <w:rFonts w:ascii="Times New Roman"/>
                <w:sz w:val="18"/>
              </w:rPr>
              <w:t>414,501,67</w:t>
            </w:r>
          </w:p>
          <w:p>
            <w:pPr>
              <w:pStyle w:val="TableParagraph"/>
              <w:spacing w:line="207" w:lineRule="exact"/>
              <w:ind w:left="523" w:right="0"/>
              <w:jc w:val="left"/>
              <w:rPr>
                <w:rFonts w:ascii="Times New Roman" w:hAnsi="Times New Roman" w:cs="Times New Roman" w:eastAsia="Times New Roman" w:hint="default"/>
                <w:sz w:val="18"/>
                <w:szCs w:val="18"/>
              </w:rPr>
            </w:pPr>
            <w:r>
              <w:rPr>
                <w:rFonts w:ascii="Times New Roman"/>
                <w:sz w:val="18"/>
              </w:rPr>
              <w:t>9.98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26" w:right="0"/>
              <w:jc w:val="left"/>
              <w:rPr>
                <w:rFonts w:ascii="Times New Roman" w:hAnsi="Times New Roman" w:cs="Times New Roman" w:eastAsia="Times New Roman" w:hint="default"/>
                <w:sz w:val="18"/>
                <w:szCs w:val="18"/>
              </w:rPr>
            </w:pPr>
            <w:r>
              <w:rPr>
                <w:rFonts w:ascii="Times New Roman"/>
                <w:sz w:val="18"/>
              </w:rPr>
              <w:t>197,934,61</w:t>
            </w:r>
          </w:p>
          <w:p>
            <w:pPr>
              <w:pStyle w:val="TableParagraph"/>
              <w:spacing w:line="207" w:lineRule="exact"/>
              <w:ind w:left="523" w:right="0"/>
              <w:jc w:val="left"/>
              <w:rPr>
                <w:rFonts w:ascii="Times New Roman" w:hAnsi="Times New Roman" w:cs="Times New Roman" w:eastAsia="Times New Roman" w:hint="default"/>
                <w:sz w:val="18"/>
                <w:szCs w:val="18"/>
              </w:rPr>
            </w:pPr>
            <w:r>
              <w:rPr>
                <w:rFonts w:ascii="Times New Roman"/>
                <w:sz w:val="18"/>
              </w:rPr>
              <w:t>7.26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26" w:right="0"/>
              <w:jc w:val="left"/>
              <w:rPr>
                <w:rFonts w:ascii="Times New Roman" w:hAnsi="Times New Roman" w:cs="Times New Roman" w:eastAsia="Times New Roman" w:hint="default"/>
                <w:sz w:val="18"/>
                <w:szCs w:val="18"/>
              </w:rPr>
            </w:pPr>
            <w:r>
              <w:rPr>
                <w:rFonts w:ascii="Times New Roman"/>
                <w:sz w:val="18"/>
              </w:rPr>
              <w:t>123,265,65</w:t>
            </w:r>
          </w:p>
          <w:p>
            <w:pPr>
              <w:pStyle w:val="TableParagraph"/>
              <w:spacing w:line="207" w:lineRule="exact"/>
              <w:ind w:left="523" w:right="0"/>
              <w:jc w:val="left"/>
              <w:rPr>
                <w:rFonts w:ascii="Times New Roman" w:hAnsi="Times New Roman" w:cs="Times New Roman" w:eastAsia="Times New Roman" w:hint="default"/>
                <w:sz w:val="18"/>
                <w:szCs w:val="18"/>
              </w:rPr>
            </w:pPr>
            <w:r>
              <w:rPr>
                <w:rFonts w:ascii="Times New Roman"/>
                <w:sz w:val="18"/>
              </w:rPr>
              <w:t>8.19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right="22"/>
              <w:jc w:val="right"/>
              <w:rPr>
                <w:rFonts w:ascii="Times New Roman" w:hAnsi="Times New Roman" w:cs="Times New Roman" w:eastAsia="Times New Roman" w:hint="default"/>
                <w:sz w:val="18"/>
                <w:szCs w:val="18"/>
              </w:rPr>
            </w:pPr>
            <w:r>
              <w:rPr>
                <w:rFonts w:ascii="Times New Roman"/>
                <w:spacing w:val="-1"/>
                <w:sz w:val="18"/>
              </w:rPr>
              <w:t>40,651,953</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right="21"/>
              <w:jc w:val="right"/>
              <w:rPr>
                <w:rFonts w:ascii="Times New Roman" w:hAnsi="Times New Roman" w:cs="Times New Roman" w:eastAsia="Times New Roman" w:hint="default"/>
                <w:sz w:val="18"/>
                <w:szCs w:val="18"/>
              </w:rPr>
            </w:pPr>
            <w:r>
              <w:rPr>
                <w:rFonts w:ascii="Times New Roman"/>
                <w:spacing w:val="-1"/>
                <w:sz w:val="18"/>
              </w:rPr>
              <w:t>29,105,099</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.78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right="21"/>
              <w:jc w:val="right"/>
              <w:rPr>
                <w:rFonts w:ascii="Times New Roman" w:hAnsi="Times New Roman" w:cs="Times New Roman" w:eastAsia="Times New Roman" w:hint="default"/>
                <w:sz w:val="18"/>
                <w:szCs w:val="18"/>
              </w:rPr>
            </w:pPr>
            <w:r>
              <w:rPr>
                <w:rFonts w:ascii="Times New Roman"/>
                <w:spacing w:val="-1"/>
                <w:sz w:val="18"/>
              </w:rPr>
              <w:t>3,305,072.</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93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right="22"/>
              <w:jc w:val="right"/>
              <w:rPr>
                <w:rFonts w:ascii="Times New Roman" w:hAnsi="Times New Roman" w:cs="Times New Roman" w:eastAsia="Times New Roman" w:hint="default"/>
                <w:sz w:val="18"/>
                <w:szCs w:val="18"/>
              </w:rPr>
            </w:pPr>
            <w:r>
              <w:rPr>
                <w:rFonts w:ascii="Times New Roman"/>
                <w:spacing w:val="-1"/>
                <w:sz w:val="18"/>
              </w:rPr>
              <w:t>12,367,519</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.27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24" w:right="0"/>
              <w:jc w:val="left"/>
              <w:rPr>
                <w:rFonts w:ascii="Times New Roman" w:hAnsi="Times New Roman" w:cs="Times New Roman" w:eastAsia="Times New Roman" w:hint="default"/>
                <w:sz w:val="18"/>
                <w:szCs w:val="18"/>
              </w:rPr>
            </w:pPr>
            <w:r>
              <w:rPr>
                <w:rFonts w:ascii="Times New Roman"/>
                <w:sz w:val="18"/>
              </w:rPr>
              <w:t>160,156,67</w:t>
            </w:r>
          </w:p>
          <w:p>
            <w:pPr>
              <w:pStyle w:val="TableParagraph"/>
              <w:spacing w:line="207" w:lineRule="exact"/>
              <w:ind w:left="520" w:right="0"/>
              <w:jc w:val="left"/>
              <w:rPr>
                <w:rFonts w:ascii="Times New Roman" w:hAnsi="Times New Roman" w:cs="Times New Roman" w:eastAsia="Times New Roman" w:hint="default"/>
                <w:sz w:val="18"/>
                <w:szCs w:val="18"/>
              </w:rPr>
            </w:pPr>
            <w:r>
              <w:rPr>
                <w:rFonts w:ascii="Times New Roman"/>
                <w:sz w:val="18"/>
              </w:rPr>
              <w:t>8.75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69" w:right="0"/>
              <w:jc w:val="left"/>
              <w:rPr>
                <w:rFonts w:ascii="Times New Roman" w:hAnsi="Times New Roman" w:cs="Times New Roman" w:eastAsia="Times New Roman" w:hint="default"/>
                <w:sz w:val="18"/>
                <w:szCs w:val="18"/>
              </w:rPr>
            </w:pPr>
            <w:r>
              <w:rPr>
                <w:rFonts w:ascii="Times New Roman"/>
                <w:sz w:val="18"/>
              </w:rPr>
              <w:t>1,800,559,</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370.92</w:t>
            </w:r>
          </w:p>
        </w:tc>
      </w:tr>
      <w:tr>
        <w:trPr>
          <w:trHeight w:val="478"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10"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7"/>
                <w:sz w:val="18"/>
                <w:szCs w:val="18"/>
              </w:rPr>
              <w:t>、</w:t>
            </w:r>
            <w:r>
              <w:rPr>
                <w:rFonts w:ascii="宋体" w:hAnsi="宋体" w:cs="宋体" w:eastAsia="宋体" w:hint="default"/>
                <w:sz w:val="18"/>
                <w:szCs w:val="18"/>
              </w:rPr>
              <w:t>累计折</w:t>
            </w:r>
          </w:p>
          <w:p>
            <w:pPr>
              <w:pStyle w:val="TableParagraph"/>
              <w:spacing w:line="234" w:lineRule="exact"/>
              <w:ind w:left="10" w:right="0"/>
              <w:jc w:val="left"/>
              <w:rPr>
                <w:rFonts w:ascii="宋体" w:hAnsi="宋体" w:cs="宋体" w:eastAsia="宋体" w:hint="default"/>
                <w:sz w:val="18"/>
                <w:szCs w:val="18"/>
              </w:rPr>
            </w:pPr>
            <w:r>
              <w:rPr>
                <w:rFonts w:ascii="宋体" w:hAnsi="宋体" w:cs="宋体" w:eastAsia="宋体" w:hint="default"/>
                <w:sz w:val="18"/>
                <w:szCs w:val="18"/>
              </w:rPr>
              <w:t>旧</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1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w:t>
            </w:r>
          </w:p>
          <w:p>
            <w:pPr>
              <w:pStyle w:val="TableParagraph"/>
              <w:spacing w:line="227" w:lineRule="exact"/>
              <w:ind w:left="10"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21"/>
              <w:jc w:val="right"/>
              <w:rPr>
                <w:rFonts w:ascii="Times New Roman" w:hAnsi="Times New Roman" w:cs="Times New Roman" w:eastAsia="Times New Roman" w:hint="default"/>
                <w:sz w:val="18"/>
                <w:szCs w:val="18"/>
              </w:rPr>
            </w:pPr>
            <w:r>
              <w:rPr>
                <w:rFonts w:ascii="Times New Roman"/>
                <w:spacing w:val="-1"/>
                <w:sz w:val="18"/>
              </w:rPr>
              <w:t>94,558,304</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26" w:right="0"/>
              <w:jc w:val="left"/>
              <w:rPr>
                <w:rFonts w:ascii="Times New Roman" w:hAnsi="Times New Roman" w:cs="Times New Roman" w:eastAsia="Times New Roman" w:hint="default"/>
                <w:sz w:val="18"/>
                <w:szCs w:val="18"/>
              </w:rPr>
            </w:pPr>
            <w:r>
              <w:rPr>
                <w:rFonts w:ascii="Times New Roman"/>
                <w:sz w:val="18"/>
              </w:rPr>
              <w:t>231,032,29</w:t>
            </w:r>
          </w:p>
          <w:p>
            <w:pPr>
              <w:pStyle w:val="TableParagraph"/>
              <w:spacing w:line="207" w:lineRule="exact"/>
              <w:ind w:left="523" w:right="0"/>
              <w:jc w:val="left"/>
              <w:rPr>
                <w:rFonts w:ascii="Times New Roman" w:hAnsi="Times New Roman" w:cs="Times New Roman" w:eastAsia="Times New Roman" w:hint="default"/>
                <w:sz w:val="18"/>
                <w:szCs w:val="18"/>
              </w:rPr>
            </w:pPr>
            <w:r>
              <w:rPr>
                <w:rFonts w:ascii="Times New Roman"/>
                <w:sz w:val="18"/>
              </w:rPr>
              <w:t>7.92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19"/>
              <w:jc w:val="right"/>
              <w:rPr>
                <w:rFonts w:ascii="Times New Roman" w:hAnsi="Times New Roman" w:cs="Times New Roman" w:eastAsia="Times New Roman" w:hint="default"/>
                <w:sz w:val="18"/>
                <w:szCs w:val="18"/>
              </w:rPr>
            </w:pPr>
            <w:r>
              <w:rPr>
                <w:rFonts w:ascii="Times New Roman"/>
                <w:spacing w:val="-1"/>
                <w:sz w:val="18"/>
              </w:rPr>
              <w:t>86,741,367</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.72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19"/>
              <w:jc w:val="right"/>
              <w:rPr>
                <w:rFonts w:ascii="Times New Roman" w:hAnsi="Times New Roman" w:cs="Times New Roman" w:eastAsia="Times New Roman" w:hint="default"/>
                <w:sz w:val="18"/>
                <w:szCs w:val="18"/>
              </w:rPr>
            </w:pPr>
            <w:r>
              <w:rPr>
                <w:rFonts w:ascii="Times New Roman"/>
                <w:spacing w:val="-1"/>
                <w:sz w:val="18"/>
              </w:rPr>
              <w:t>67,937,405</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.04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22"/>
              <w:jc w:val="right"/>
              <w:rPr>
                <w:rFonts w:ascii="Times New Roman" w:hAnsi="Times New Roman" w:cs="Times New Roman" w:eastAsia="Times New Roman" w:hint="default"/>
                <w:sz w:val="18"/>
                <w:szCs w:val="18"/>
              </w:rPr>
            </w:pPr>
            <w:r>
              <w:rPr>
                <w:rFonts w:ascii="Times New Roman"/>
                <w:spacing w:val="-1"/>
                <w:sz w:val="18"/>
              </w:rPr>
              <w:t>19,182,521</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21"/>
              <w:jc w:val="right"/>
              <w:rPr>
                <w:rFonts w:ascii="Times New Roman" w:hAnsi="Times New Roman" w:cs="Times New Roman" w:eastAsia="Times New Roman" w:hint="default"/>
                <w:sz w:val="18"/>
                <w:szCs w:val="18"/>
              </w:rPr>
            </w:pPr>
            <w:r>
              <w:rPr>
                <w:rFonts w:ascii="Times New Roman"/>
                <w:spacing w:val="-1"/>
                <w:sz w:val="18"/>
              </w:rPr>
              <w:t>21,242,543</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.73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21"/>
              <w:jc w:val="right"/>
              <w:rPr>
                <w:rFonts w:ascii="Times New Roman" w:hAnsi="Times New Roman" w:cs="Times New Roman" w:eastAsia="Times New Roman" w:hint="default"/>
                <w:sz w:val="18"/>
                <w:szCs w:val="18"/>
              </w:rPr>
            </w:pPr>
            <w:r>
              <w:rPr>
                <w:rFonts w:ascii="Times New Roman"/>
                <w:spacing w:val="-1"/>
                <w:sz w:val="18"/>
              </w:rPr>
              <w:t>1,215,445.</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09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21"/>
              <w:jc w:val="right"/>
              <w:rPr>
                <w:rFonts w:ascii="Times New Roman" w:hAnsi="Times New Roman" w:cs="Times New Roman" w:eastAsia="Times New Roman" w:hint="default"/>
                <w:sz w:val="18"/>
                <w:szCs w:val="18"/>
              </w:rPr>
            </w:pPr>
            <w:r>
              <w:rPr>
                <w:rFonts w:ascii="Times New Roman"/>
                <w:spacing w:val="-1"/>
                <w:sz w:val="18"/>
              </w:rPr>
              <w:t>5,555,350.</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21"/>
              <w:jc w:val="right"/>
              <w:rPr>
                <w:rFonts w:ascii="Times New Roman" w:hAnsi="Times New Roman" w:cs="Times New Roman" w:eastAsia="Times New Roman" w:hint="default"/>
                <w:sz w:val="18"/>
                <w:szCs w:val="18"/>
              </w:rPr>
            </w:pPr>
            <w:r>
              <w:rPr>
                <w:rFonts w:ascii="Times New Roman"/>
                <w:spacing w:val="-1"/>
                <w:sz w:val="18"/>
              </w:rPr>
              <w:t>59,237,455</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23" w:right="0"/>
              <w:jc w:val="left"/>
              <w:rPr>
                <w:rFonts w:ascii="Times New Roman" w:hAnsi="Times New Roman" w:cs="Times New Roman" w:eastAsia="Times New Roman" w:hint="default"/>
                <w:sz w:val="18"/>
                <w:szCs w:val="18"/>
              </w:rPr>
            </w:pPr>
            <w:r>
              <w:rPr>
                <w:rFonts w:ascii="Times New Roman"/>
                <w:sz w:val="18"/>
              </w:rPr>
              <w:t>586,702,69</w:t>
            </w:r>
          </w:p>
          <w:p>
            <w:pPr>
              <w:pStyle w:val="TableParagraph"/>
              <w:spacing w:line="207" w:lineRule="exact"/>
              <w:ind w:left="520" w:right="0"/>
              <w:jc w:val="left"/>
              <w:rPr>
                <w:rFonts w:ascii="Times New Roman" w:hAnsi="Times New Roman" w:cs="Times New Roman" w:eastAsia="Times New Roman" w:hint="default"/>
                <w:sz w:val="18"/>
                <w:szCs w:val="18"/>
              </w:rPr>
            </w:pPr>
            <w:r>
              <w:rPr>
                <w:rFonts w:ascii="Times New Roman"/>
                <w:sz w:val="18"/>
              </w:rPr>
              <w:t>1.62</w:t>
            </w:r>
          </w:p>
        </w:tc>
      </w:tr>
      <w:tr>
        <w:trPr>
          <w:trHeight w:val="478"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10" w:right="0" w:firstLine="17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w:t>
            </w:r>
          </w:p>
          <w:p>
            <w:pPr>
              <w:pStyle w:val="TableParagraph"/>
              <w:spacing w:line="227" w:lineRule="exact"/>
              <w:ind w:left="10" w:right="0"/>
              <w:jc w:val="left"/>
              <w:rPr>
                <w:rFonts w:ascii="宋体" w:hAnsi="宋体" w:cs="宋体" w:eastAsia="宋体" w:hint="default"/>
                <w:sz w:val="18"/>
                <w:szCs w:val="18"/>
              </w:rPr>
            </w:pPr>
            <w:r>
              <w:rPr>
                <w:rFonts w:ascii="宋体" w:hAnsi="宋体" w:cs="宋体" w:eastAsia="宋体" w:hint="default"/>
                <w:sz w:val="18"/>
                <w:szCs w:val="18"/>
              </w:rPr>
              <w:t>增加金额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right="21"/>
              <w:jc w:val="right"/>
              <w:rPr>
                <w:rFonts w:ascii="Times New Roman" w:hAnsi="Times New Roman" w:cs="Times New Roman" w:eastAsia="Times New Roman" w:hint="default"/>
                <w:sz w:val="18"/>
                <w:szCs w:val="18"/>
              </w:rPr>
            </w:pPr>
            <w:r>
              <w:rPr>
                <w:rFonts w:ascii="Times New Roman"/>
                <w:spacing w:val="-1"/>
                <w:sz w:val="18"/>
              </w:rPr>
              <w:t>27,294,034</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.81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right="19"/>
              <w:jc w:val="right"/>
              <w:rPr>
                <w:rFonts w:ascii="Times New Roman" w:hAnsi="Times New Roman" w:cs="Times New Roman" w:eastAsia="Times New Roman" w:hint="default"/>
                <w:sz w:val="18"/>
                <w:szCs w:val="18"/>
              </w:rPr>
            </w:pPr>
            <w:r>
              <w:rPr>
                <w:rFonts w:ascii="Times New Roman"/>
                <w:spacing w:val="-1"/>
                <w:sz w:val="18"/>
              </w:rPr>
              <w:t>54,088,992</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.97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right="19"/>
              <w:jc w:val="right"/>
              <w:rPr>
                <w:rFonts w:ascii="Times New Roman" w:hAnsi="Times New Roman" w:cs="Times New Roman" w:eastAsia="Times New Roman" w:hint="default"/>
                <w:sz w:val="18"/>
                <w:szCs w:val="18"/>
              </w:rPr>
            </w:pPr>
            <w:r>
              <w:rPr>
                <w:rFonts w:ascii="Times New Roman"/>
                <w:spacing w:val="-1"/>
                <w:sz w:val="18"/>
              </w:rPr>
              <w:t>36,681,834</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right="19"/>
              <w:jc w:val="right"/>
              <w:rPr>
                <w:rFonts w:ascii="Times New Roman" w:hAnsi="Times New Roman" w:cs="Times New Roman" w:eastAsia="Times New Roman" w:hint="default"/>
                <w:sz w:val="18"/>
                <w:szCs w:val="18"/>
              </w:rPr>
            </w:pPr>
            <w:r>
              <w:rPr>
                <w:rFonts w:ascii="Times New Roman"/>
                <w:spacing w:val="-1"/>
                <w:sz w:val="18"/>
              </w:rPr>
              <w:t>26,529,080</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.48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right="21"/>
              <w:jc w:val="right"/>
              <w:rPr>
                <w:rFonts w:ascii="Times New Roman" w:hAnsi="Times New Roman" w:cs="Times New Roman" w:eastAsia="Times New Roman" w:hint="default"/>
                <w:sz w:val="18"/>
                <w:szCs w:val="18"/>
              </w:rPr>
            </w:pPr>
            <w:r>
              <w:rPr>
                <w:rFonts w:ascii="Times New Roman"/>
                <w:spacing w:val="-1"/>
                <w:sz w:val="18"/>
              </w:rPr>
              <w:t>3,358,268.</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right="21"/>
              <w:jc w:val="right"/>
              <w:rPr>
                <w:rFonts w:ascii="Times New Roman" w:hAnsi="Times New Roman" w:cs="Times New Roman" w:eastAsia="Times New Roman" w:hint="default"/>
                <w:sz w:val="18"/>
                <w:szCs w:val="18"/>
              </w:rPr>
            </w:pPr>
            <w:r>
              <w:rPr>
                <w:rFonts w:ascii="Times New Roman"/>
                <w:spacing w:val="-1"/>
                <w:sz w:val="18"/>
              </w:rPr>
              <w:t>2,133,814.</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71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108,099.27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957,290.26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right="21"/>
              <w:jc w:val="right"/>
              <w:rPr>
                <w:rFonts w:ascii="Times New Roman" w:hAnsi="Times New Roman" w:cs="Times New Roman" w:eastAsia="Times New Roman" w:hint="default"/>
                <w:sz w:val="18"/>
                <w:szCs w:val="18"/>
              </w:rPr>
            </w:pPr>
            <w:r>
              <w:rPr>
                <w:rFonts w:ascii="Times New Roman"/>
                <w:spacing w:val="-1"/>
                <w:sz w:val="18"/>
              </w:rPr>
              <w:t>23,629,480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.78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23" w:right="0"/>
              <w:jc w:val="left"/>
              <w:rPr>
                <w:rFonts w:ascii="Times New Roman" w:hAnsi="Times New Roman" w:cs="Times New Roman" w:eastAsia="Times New Roman" w:hint="default"/>
                <w:sz w:val="18"/>
                <w:szCs w:val="18"/>
              </w:rPr>
            </w:pPr>
            <w:r>
              <w:rPr>
                <w:rFonts w:ascii="Times New Roman"/>
                <w:sz w:val="18"/>
              </w:rPr>
              <w:t>174,780,89</w:t>
            </w:r>
          </w:p>
          <w:p>
            <w:pPr>
              <w:pStyle w:val="TableParagraph"/>
              <w:spacing w:line="207" w:lineRule="exact"/>
              <w:ind w:left="520" w:right="0"/>
              <w:jc w:val="left"/>
              <w:rPr>
                <w:rFonts w:ascii="Times New Roman" w:hAnsi="Times New Roman" w:cs="Times New Roman" w:eastAsia="Times New Roman" w:hint="default"/>
                <w:sz w:val="18"/>
                <w:szCs w:val="18"/>
              </w:rPr>
            </w:pPr>
            <w:r>
              <w:rPr>
                <w:rFonts w:ascii="Times New Roman"/>
                <w:sz w:val="18"/>
              </w:rPr>
              <w:t>6.53</w:t>
            </w:r>
          </w:p>
        </w:tc>
      </w:tr>
      <w:tr>
        <w:trPr>
          <w:trHeight w:val="478"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2" w:lineRule="exact"/>
              <w:ind w:left="37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29" w:lineRule="exact"/>
              <w:ind w:left="10"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pacing w:val="-1"/>
                <w:sz w:val="18"/>
              </w:rPr>
              <w:t>21,590,132</w:t>
            </w:r>
          </w:p>
          <w:p>
            <w:pPr>
              <w:pStyle w:val="TableParagraph"/>
              <w:spacing w:line="240" w:lineRule="auto" w:before="2"/>
              <w:ind w:right="21"/>
              <w:jc w:val="right"/>
              <w:rPr>
                <w:rFonts w:ascii="Times New Roman" w:hAnsi="Times New Roman" w:cs="Times New Roman" w:eastAsia="Times New Roman" w:hint="default"/>
                <w:sz w:val="18"/>
                <w:szCs w:val="18"/>
              </w:rPr>
            </w:pPr>
            <w:r>
              <w:rPr>
                <w:rFonts w:ascii="Times New Roman"/>
                <w:sz w:val="18"/>
              </w:rPr>
              <w:t>.24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Times New Roman" w:hAnsi="Times New Roman" w:cs="Times New Roman" w:eastAsia="Times New Roman" w:hint="default"/>
                <w:sz w:val="18"/>
                <w:szCs w:val="18"/>
              </w:rPr>
            </w:pPr>
            <w:r>
              <w:rPr>
                <w:rFonts w:ascii="Times New Roman"/>
                <w:spacing w:val="-1"/>
                <w:sz w:val="18"/>
              </w:rPr>
              <w:t>38,715,763</w:t>
            </w:r>
          </w:p>
          <w:p>
            <w:pPr>
              <w:pStyle w:val="TableParagraph"/>
              <w:spacing w:line="240" w:lineRule="auto" w:before="2"/>
              <w:ind w:right="18"/>
              <w:jc w:val="right"/>
              <w:rPr>
                <w:rFonts w:ascii="Times New Roman" w:hAnsi="Times New Roman" w:cs="Times New Roman" w:eastAsia="Times New Roman" w:hint="default"/>
                <w:sz w:val="18"/>
                <w:szCs w:val="18"/>
              </w:rPr>
            </w:pPr>
            <w:r>
              <w:rPr>
                <w:rFonts w:ascii="Times New Roman"/>
                <w:sz w:val="18"/>
              </w:rPr>
              <w:t>.02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Times New Roman" w:hAnsi="Times New Roman" w:cs="Times New Roman" w:eastAsia="Times New Roman" w:hint="default"/>
                <w:sz w:val="18"/>
                <w:szCs w:val="18"/>
              </w:rPr>
            </w:pPr>
            <w:r>
              <w:rPr>
                <w:rFonts w:ascii="Times New Roman"/>
                <w:spacing w:val="-1"/>
                <w:sz w:val="18"/>
              </w:rPr>
              <w:t>33,381,385</w:t>
            </w:r>
          </w:p>
          <w:p>
            <w:pPr>
              <w:pStyle w:val="TableParagraph"/>
              <w:spacing w:line="240" w:lineRule="auto" w:before="2"/>
              <w:ind w:right="18"/>
              <w:jc w:val="right"/>
              <w:rPr>
                <w:rFonts w:ascii="Times New Roman" w:hAnsi="Times New Roman" w:cs="Times New Roman" w:eastAsia="Times New Roman" w:hint="default"/>
                <w:sz w:val="18"/>
                <w:szCs w:val="18"/>
              </w:rPr>
            </w:pPr>
            <w:r>
              <w:rPr>
                <w:rFonts w:ascii="Times New Roman"/>
                <w:sz w:val="18"/>
              </w:rPr>
              <w:t>.04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Times New Roman" w:hAnsi="Times New Roman" w:cs="Times New Roman" w:eastAsia="Times New Roman" w:hint="default"/>
                <w:sz w:val="18"/>
                <w:szCs w:val="18"/>
              </w:rPr>
            </w:pPr>
            <w:r>
              <w:rPr>
                <w:rFonts w:ascii="Times New Roman"/>
                <w:spacing w:val="-1"/>
                <w:sz w:val="18"/>
              </w:rPr>
              <w:t>20,286,375</w:t>
            </w:r>
          </w:p>
          <w:p>
            <w:pPr>
              <w:pStyle w:val="TableParagraph"/>
              <w:spacing w:line="240" w:lineRule="auto" w:before="2"/>
              <w:ind w:right="18"/>
              <w:jc w:val="right"/>
              <w:rPr>
                <w:rFonts w:ascii="Times New Roman" w:hAnsi="Times New Roman" w:cs="Times New Roman" w:eastAsia="Times New Roman" w:hint="default"/>
                <w:sz w:val="18"/>
                <w:szCs w:val="18"/>
              </w:rPr>
            </w:pPr>
            <w:r>
              <w:rPr>
                <w:rFonts w:ascii="Times New Roman"/>
                <w:sz w:val="18"/>
              </w:rPr>
              <w:t>.67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pacing w:val="-1"/>
                <w:sz w:val="18"/>
              </w:rPr>
              <w:t>2,805,873.</w:t>
            </w:r>
          </w:p>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z w:val="18"/>
              </w:rPr>
              <w:t>04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pacing w:val="-1"/>
                <w:sz w:val="18"/>
              </w:rPr>
              <w:t>2,133,814.</w:t>
            </w:r>
          </w:p>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z w:val="18"/>
              </w:rPr>
              <w:t>71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108,099.27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555,670.98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pacing w:val="-1"/>
                <w:sz w:val="18"/>
              </w:rPr>
              <w:t>23,629,480</w:t>
            </w:r>
          </w:p>
          <w:p>
            <w:pPr>
              <w:pStyle w:val="TableParagraph"/>
              <w:spacing w:line="240" w:lineRule="auto" w:before="2"/>
              <w:ind w:right="21"/>
              <w:jc w:val="right"/>
              <w:rPr>
                <w:rFonts w:ascii="Times New Roman" w:hAnsi="Times New Roman" w:cs="Times New Roman" w:eastAsia="Times New Roman" w:hint="default"/>
                <w:sz w:val="18"/>
                <w:szCs w:val="18"/>
              </w:rPr>
            </w:pPr>
            <w:r>
              <w:rPr>
                <w:rFonts w:ascii="Times New Roman"/>
                <w:sz w:val="18"/>
              </w:rPr>
              <w:t>.78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Times New Roman" w:hAnsi="Times New Roman" w:cs="Times New Roman" w:eastAsia="Times New Roman" w:hint="default"/>
                <w:sz w:val="18"/>
                <w:szCs w:val="18"/>
              </w:rPr>
            </w:pPr>
            <w:r>
              <w:rPr>
                <w:rFonts w:ascii="Times New Roman"/>
                <w:sz w:val="18"/>
              </w:rPr>
              <w:t>143,206,59</w:t>
            </w:r>
          </w:p>
          <w:p>
            <w:pPr>
              <w:pStyle w:val="TableParagraph"/>
              <w:spacing w:line="240" w:lineRule="auto" w:before="2"/>
              <w:ind w:left="520" w:right="0"/>
              <w:jc w:val="left"/>
              <w:rPr>
                <w:rFonts w:ascii="Times New Roman" w:hAnsi="Times New Roman" w:cs="Times New Roman" w:eastAsia="Times New Roman" w:hint="default"/>
                <w:sz w:val="18"/>
                <w:szCs w:val="18"/>
              </w:rPr>
            </w:pPr>
            <w:r>
              <w:rPr>
                <w:rFonts w:ascii="Times New Roman"/>
                <w:sz w:val="18"/>
              </w:rPr>
              <w:t>4.76</w:t>
            </w:r>
          </w:p>
        </w:tc>
      </w:tr>
      <w:tr>
        <w:trPr>
          <w:trHeight w:val="478" w:hRule="exact"/>
        </w:trPr>
        <w:tc>
          <w:tcPr>
            <w:tcW w:w="85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11" w:lineRule="exact"/>
              <w:ind w:left="1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w:t>
            </w:r>
          </w:p>
          <w:p>
            <w:pPr>
              <w:pStyle w:val="TableParagraph"/>
              <w:spacing w:line="227" w:lineRule="exact"/>
              <w:ind w:left="10" w:right="0"/>
              <w:jc w:val="left"/>
              <w:rPr>
                <w:rFonts w:ascii="宋体" w:hAnsi="宋体" w:cs="宋体" w:eastAsia="宋体" w:hint="default"/>
                <w:sz w:val="18"/>
                <w:szCs w:val="18"/>
              </w:rPr>
            </w:pPr>
            <w:r>
              <w:rPr>
                <w:rFonts w:ascii="宋体" w:hAnsi="宋体" w:cs="宋体" w:eastAsia="宋体" w:hint="default"/>
                <w:sz w:val="18"/>
                <w:szCs w:val="18"/>
              </w:rPr>
              <w:t>合并增加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21"/>
              <w:jc w:val="right"/>
              <w:rPr>
                <w:rFonts w:ascii="Times New Roman" w:hAnsi="Times New Roman" w:cs="Times New Roman" w:eastAsia="Times New Roman" w:hint="default"/>
                <w:sz w:val="18"/>
                <w:szCs w:val="18"/>
              </w:rPr>
            </w:pPr>
            <w:r>
              <w:rPr>
                <w:rFonts w:ascii="Times New Roman"/>
                <w:spacing w:val="-1"/>
                <w:sz w:val="18"/>
              </w:rPr>
              <w:t>5,703,902.</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19"/>
              <w:jc w:val="right"/>
              <w:rPr>
                <w:rFonts w:ascii="Times New Roman" w:hAnsi="Times New Roman" w:cs="Times New Roman" w:eastAsia="Times New Roman" w:hint="default"/>
                <w:sz w:val="18"/>
                <w:szCs w:val="18"/>
              </w:rPr>
            </w:pPr>
            <w:r>
              <w:rPr>
                <w:rFonts w:ascii="Times New Roman"/>
                <w:spacing w:val="-1"/>
                <w:sz w:val="18"/>
              </w:rPr>
              <w:t>15,373,229</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.95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18"/>
              <w:jc w:val="right"/>
              <w:rPr>
                <w:rFonts w:ascii="Times New Roman" w:hAnsi="Times New Roman" w:cs="Times New Roman" w:eastAsia="Times New Roman" w:hint="default"/>
                <w:sz w:val="18"/>
                <w:szCs w:val="18"/>
              </w:rPr>
            </w:pPr>
            <w:r>
              <w:rPr>
                <w:rFonts w:ascii="Times New Roman"/>
                <w:spacing w:val="-1"/>
                <w:sz w:val="18"/>
              </w:rPr>
              <w:t>3,300,449.</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81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18"/>
              <w:jc w:val="right"/>
              <w:rPr>
                <w:rFonts w:ascii="Times New Roman" w:hAnsi="Times New Roman" w:cs="Times New Roman" w:eastAsia="Times New Roman" w:hint="default"/>
                <w:sz w:val="18"/>
                <w:szCs w:val="18"/>
              </w:rPr>
            </w:pPr>
            <w:r>
              <w:rPr>
                <w:rFonts w:ascii="Times New Roman"/>
                <w:spacing w:val="-1"/>
                <w:sz w:val="18"/>
              </w:rPr>
              <w:t>6,242,704.</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80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6" w:right="0"/>
              <w:jc w:val="left"/>
              <w:rPr>
                <w:rFonts w:ascii="Times New Roman" w:hAnsi="Times New Roman" w:cs="Times New Roman" w:eastAsia="Times New Roman" w:hint="default"/>
                <w:sz w:val="18"/>
                <w:szCs w:val="18"/>
              </w:rPr>
            </w:pPr>
            <w:r>
              <w:rPr>
                <w:rFonts w:ascii="Times New Roman"/>
                <w:sz w:val="18"/>
              </w:rPr>
              <w:t>552,395.36</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401,619.28</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21"/>
              <w:jc w:val="right"/>
              <w:rPr>
                <w:rFonts w:ascii="Times New Roman" w:hAnsi="Times New Roman" w:cs="Times New Roman" w:eastAsia="Times New Roman" w:hint="default"/>
                <w:sz w:val="18"/>
                <w:szCs w:val="18"/>
              </w:rPr>
            </w:pPr>
            <w:r>
              <w:rPr>
                <w:rFonts w:ascii="Times New Roman"/>
                <w:spacing w:val="-1"/>
                <w:sz w:val="18"/>
              </w:rPr>
              <w:t>31,574,301</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.77</w:t>
            </w:r>
          </w:p>
        </w:tc>
      </w:tr>
      <w:tr>
        <w:trPr>
          <w:trHeight w:val="475"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10" w:right="0" w:firstLine="17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w:t>
            </w:r>
          </w:p>
          <w:p>
            <w:pPr>
              <w:pStyle w:val="TableParagraph"/>
              <w:spacing w:line="227" w:lineRule="exact"/>
              <w:ind w:left="10" w:right="0"/>
              <w:jc w:val="left"/>
              <w:rPr>
                <w:rFonts w:ascii="宋体" w:hAnsi="宋体" w:cs="宋体" w:eastAsia="宋体" w:hint="default"/>
                <w:sz w:val="18"/>
                <w:szCs w:val="18"/>
              </w:rPr>
            </w:pPr>
            <w:r>
              <w:rPr>
                <w:rFonts w:ascii="宋体" w:hAnsi="宋体" w:cs="宋体" w:eastAsia="宋体" w:hint="default"/>
                <w:sz w:val="18"/>
                <w:szCs w:val="18"/>
              </w:rPr>
              <w:t>减少金额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749,501.99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19"/>
              <w:jc w:val="right"/>
              <w:rPr>
                <w:rFonts w:ascii="Times New Roman" w:hAnsi="Times New Roman" w:cs="Times New Roman" w:eastAsia="Times New Roman" w:hint="default"/>
                <w:sz w:val="18"/>
                <w:szCs w:val="18"/>
              </w:rPr>
            </w:pPr>
            <w:r>
              <w:rPr>
                <w:rFonts w:ascii="Times New Roman"/>
                <w:spacing w:val="-1"/>
                <w:sz w:val="18"/>
              </w:rPr>
              <w:t>22,882,882</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18"/>
              <w:jc w:val="right"/>
              <w:rPr>
                <w:rFonts w:ascii="Times New Roman" w:hAnsi="Times New Roman" w:cs="Times New Roman" w:eastAsia="Times New Roman" w:hint="default"/>
                <w:sz w:val="18"/>
                <w:szCs w:val="18"/>
              </w:rPr>
            </w:pPr>
            <w:r>
              <w:rPr>
                <w:rFonts w:ascii="Times New Roman"/>
                <w:spacing w:val="-1"/>
                <w:sz w:val="18"/>
              </w:rPr>
              <w:t>5,263,818.</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84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19"/>
              <w:jc w:val="right"/>
              <w:rPr>
                <w:rFonts w:ascii="Times New Roman" w:hAnsi="Times New Roman" w:cs="Times New Roman" w:eastAsia="Times New Roman" w:hint="default"/>
                <w:sz w:val="18"/>
                <w:szCs w:val="18"/>
              </w:rPr>
            </w:pPr>
            <w:r>
              <w:rPr>
                <w:rFonts w:ascii="Times New Roman"/>
                <w:spacing w:val="-1"/>
                <w:sz w:val="18"/>
              </w:rPr>
              <w:t>10,649,360</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.69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6" w:right="0"/>
              <w:jc w:val="left"/>
              <w:rPr>
                <w:rFonts w:ascii="Times New Roman" w:hAnsi="Times New Roman" w:cs="Times New Roman" w:eastAsia="Times New Roman" w:hint="default"/>
                <w:sz w:val="18"/>
                <w:szCs w:val="18"/>
              </w:rPr>
            </w:pPr>
            <w:r>
              <w:rPr>
                <w:rFonts w:ascii="Times New Roman"/>
                <w:sz w:val="18"/>
              </w:rPr>
              <w:t>328,355.99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w w:val="95"/>
                <w:sz w:val="18"/>
              </w:rPr>
              <w:t>7,226.50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367,708.18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w w:val="95"/>
                <w:sz w:val="18"/>
              </w:rPr>
              <w:t>5,808.12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21"/>
              <w:jc w:val="right"/>
              <w:rPr>
                <w:rFonts w:ascii="Times New Roman" w:hAnsi="Times New Roman" w:cs="Times New Roman" w:eastAsia="Times New Roman" w:hint="default"/>
                <w:sz w:val="18"/>
                <w:szCs w:val="18"/>
              </w:rPr>
            </w:pPr>
            <w:r>
              <w:rPr>
                <w:rFonts w:ascii="Times New Roman"/>
                <w:spacing w:val="-1"/>
                <w:sz w:val="18"/>
              </w:rPr>
              <w:t>17,108,067</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.69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21"/>
              <w:jc w:val="right"/>
              <w:rPr>
                <w:rFonts w:ascii="Times New Roman" w:hAnsi="Times New Roman" w:cs="Times New Roman" w:eastAsia="Times New Roman" w:hint="default"/>
                <w:sz w:val="18"/>
                <w:szCs w:val="18"/>
              </w:rPr>
            </w:pPr>
            <w:r>
              <w:rPr>
                <w:rFonts w:ascii="Times New Roman"/>
                <w:spacing w:val="-1"/>
                <w:sz w:val="18"/>
              </w:rPr>
              <w:t>57,362,730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.03</w:t>
            </w:r>
          </w:p>
        </w:tc>
      </w:tr>
      <w:tr>
        <w:trPr>
          <w:trHeight w:val="711"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2" w:lineRule="exact"/>
              <w:ind w:left="37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34" w:lineRule="exact" w:before="16"/>
              <w:ind w:left="10" w:right="115"/>
              <w:jc w:val="left"/>
              <w:rPr>
                <w:rFonts w:ascii="宋体" w:hAnsi="宋体" w:cs="宋体" w:eastAsia="宋体" w:hint="default"/>
                <w:sz w:val="18"/>
                <w:szCs w:val="18"/>
              </w:rPr>
            </w:pPr>
            <w:r>
              <w:rPr>
                <w:rFonts w:ascii="宋体" w:hAnsi="宋体" w:cs="宋体" w:eastAsia="宋体" w:hint="default"/>
                <w:sz w:val="18"/>
                <w:szCs w:val="18"/>
              </w:rPr>
              <w:t>处置或报 废</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749,501.99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19"/>
              <w:jc w:val="right"/>
              <w:rPr>
                <w:rFonts w:ascii="Times New Roman" w:hAnsi="Times New Roman" w:cs="Times New Roman" w:eastAsia="Times New Roman" w:hint="default"/>
                <w:sz w:val="18"/>
                <w:szCs w:val="18"/>
              </w:rPr>
            </w:pPr>
            <w:r>
              <w:rPr>
                <w:rFonts w:ascii="Times New Roman"/>
                <w:spacing w:val="-1"/>
                <w:sz w:val="18"/>
              </w:rPr>
              <w:t>22,882,882</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18"/>
              <w:jc w:val="right"/>
              <w:rPr>
                <w:rFonts w:ascii="Times New Roman" w:hAnsi="Times New Roman" w:cs="Times New Roman" w:eastAsia="Times New Roman" w:hint="default"/>
                <w:sz w:val="18"/>
                <w:szCs w:val="18"/>
              </w:rPr>
            </w:pPr>
            <w:r>
              <w:rPr>
                <w:rFonts w:ascii="Times New Roman"/>
                <w:spacing w:val="-1"/>
                <w:sz w:val="18"/>
              </w:rPr>
              <w:t>5,263,818.</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84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19"/>
              <w:jc w:val="right"/>
              <w:rPr>
                <w:rFonts w:ascii="Times New Roman" w:hAnsi="Times New Roman" w:cs="Times New Roman" w:eastAsia="Times New Roman" w:hint="default"/>
                <w:sz w:val="18"/>
                <w:szCs w:val="18"/>
              </w:rPr>
            </w:pPr>
            <w:r>
              <w:rPr>
                <w:rFonts w:ascii="Times New Roman"/>
                <w:spacing w:val="-1"/>
                <w:sz w:val="18"/>
              </w:rPr>
              <w:t>10,649,360</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.69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328,355.99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7,226.50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367,708.18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5,808.12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21"/>
              <w:jc w:val="right"/>
              <w:rPr>
                <w:rFonts w:ascii="Times New Roman" w:hAnsi="Times New Roman" w:cs="Times New Roman" w:eastAsia="Times New Roman" w:hint="default"/>
                <w:sz w:val="18"/>
                <w:szCs w:val="18"/>
              </w:rPr>
            </w:pPr>
            <w:r>
              <w:rPr>
                <w:rFonts w:ascii="Times New Roman"/>
                <w:spacing w:val="-1"/>
                <w:sz w:val="18"/>
              </w:rPr>
              <w:t>17,108,067</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.69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21"/>
              <w:jc w:val="right"/>
              <w:rPr>
                <w:rFonts w:ascii="Times New Roman" w:hAnsi="Times New Roman" w:cs="Times New Roman" w:eastAsia="Times New Roman" w:hint="default"/>
                <w:sz w:val="18"/>
                <w:szCs w:val="18"/>
              </w:rPr>
            </w:pPr>
            <w:r>
              <w:rPr>
                <w:rFonts w:ascii="Times New Roman"/>
                <w:spacing w:val="-1"/>
                <w:sz w:val="18"/>
              </w:rPr>
              <w:t>57,362,730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.03</w:t>
            </w:r>
          </w:p>
        </w:tc>
      </w:tr>
      <w:tr>
        <w:trPr>
          <w:trHeight w:val="478"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2" w:lineRule="exact"/>
              <w:ind w:left="1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w:t>
            </w:r>
          </w:p>
          <w:p>
            <w:pPr>
              <w:pStyle w:val="TableParagraph"/>
              <w:spacing w:line="229" w:lineRule="exact"/>
              <w:ind w:left="10"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 w:right="0"/>
              <w:jc w:val="left"/>
              <w:rPr>
                <w:rFonts w:ascii="Times New Roman" w:hAnsi="Times New Roman" w:cs="Times New Roman" w:eastAsia="Times New Roman" w:hint="default"/>
                <w:sz w:val="18"/>
                <w:szCs w:val="18"/>
              </w:rPr>
            </w:pPr>
            <w:r>
              <w:rPr>
                <w:rFonts w:ascii="Times New Roman"/>
                <w:sz w:val="18"/>
              </w:rPr>
              <w:t>121,102,83</w:t>
            </w:r>
          </w:p>
          <w:p>
            <w:pPr>
              <w:pStyle w:val="TableParagraph"/>
              <w:spacing w:line="240" w:lineRule="auto" w:before="2"/>
              <w:ind w:left="520" w:right="0"/>
              <w:jc w:val="left"/>
              <w:rPr>
                <w:rFonts w:ascii="Times New Roman" w:hAnsi="Times New Roman" w:cs="Times New Roman" w:eastAsia="Times New Roman" w:hint="default"/>
                <w:sz w:val="18"/>
                <w:szCs w:val="18"/>
              </w:rPr>
            </w:pPr>
            <w:r>
              <w:rPr>
                <w:rFonts w:ascii="Times New Roman"/>
                <w:sz w:val="18"/>
              </w:rPr>
              <w:t>7.12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6" w:right="0"/>
              <w:jc w:val="left"/>
              <w:rPr>
                <w:rFonts w:ascii="Times New Roman" w:hAnsi="Times New Roman" w:cs="Times New Roman" w:eastAsia="Times New Roman" w:hint="default"/>
                <w:sz w:val="18"/>
                <w:szCs w:val="18"/>
              </w:rPr>
            </w:pPr>
            <w:r>
              <w:rPr>
                <w:rFonts w:ascii="Times New Roman"/>
                <w:sz w:val="18"/>
              </w:rPr>
              <w:t>262,238,40</w:t>
            </w:r>
          </w:p>
          <w:p>
            <w:pPr>
              <w:pStyle w:val="TableParagraph"/>
              <w:spacing w:line="240" w:lineRule="auto" w:before="2"/>
              <w:ind w:left="523" w:right="0"/>
              <w:jc w:val="left"/>
              <w:rPr>
                <w:rFonts w:ascii="Times New Roman" w:hAnsi="Times New Roman" w:cs="Times New Roman" w:eastAsia="Times New Roman" w:hint="default"/>
                <w:sz w:val="18"/>
                <w:szCs w:val="18"/>
              </w:rPr>
            </w:pPr>
            <w:r>
              <w:rPr>
                <w:rFonts w:ascii="Times New Roman"/>
                <w:sz w:val="18"/>
              </w:rPr>
              <w:t>8.86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6" w:right="0"/>
              <w:jc w:val="left"/>
              <w:rPr>
                <w:rFonts w:ascii="Times New Roman" w:hAnsi="Times New Roman" w:cs="Times New Roman" w:eastAsia="Times New Roman" w:hint="default"/>
                <w:sz w:val="18"/>
                <w:szCs w:val="18"/>
              </w:rPr>
            </w:pPr>
            <w:r>
              <w:rPr>
                <w:rFonts w:ascii="Times New Roman"/>
                <w:sz w:val="18"/>
              </w:rPr>
              <w:t>118,159,38</w:t>
            </w:r>
          </w:p>
          <w:p>
            <w:pPr>
              <w:pStyle w:val="TableParagraph"/>
              <w:spacing w:line="240" w:lineRule="auto" w:before="2"/>
              <w:ind w:left="523" w:right="0"/>
              <w:jc w:val="left"/>
              <w:rPr>
                <w:rFonts w:ascii="Times New Roman" w:hAnsi="Times New Roman" w:cs="Times New Roman" w:eastAsia="Times New Roman" w:hint="default"/>
                <w:sz w:val="18"/>
                <w:szCs w:val="18"/>
              </w:rPr>
            </w:pPr>
            <w:r>
              <w:rPr>
                <w:rFonts w:ascii="Times New Roman"/>
                <w:sz w:val="18"/>
              </w:rPr>
              <w:t>3.73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Times New Roman" w:hAnsi="Times New Roman" w:cs="Times New Roman" w:eastAsia="Times New Roman" w:hint="default"/>
                <w:sz w:val="18"/>
                <w:szCs w:val="18"/>
              </w:rPr>
            </w:pPr>
            <w:r>
              <w:rPr>
                <w:rFonts w:ascii="Times New Roman"/>
                <w:spacing w:val="-1"/>
                <w:sz w:val="18"/>
              </w:rPr>
              <w:t>83,817,124</w:t>
            </w:r>
          </w:p>
          <w:p>
            <w:pPr>
              <w:pStyle w:val="TableParagraph"/>
              <w:spacing w:line="240" w:lineRule="auto" w:before="2"/>
              <w:ind w:right="18"/>
              <w:jc w:val="right"/>
              <w:rPr>
                <w:rFonts w:ascii="Times New Roman" w:hAnsi="Times New Roman" w:cs="Times New Roman" w:eastAsia="Times New Roman" w:hint="default"/>
                <w:sz w:val="18"/>
                <w:szCs w:val="18"/>
              </w:rPr>
            </w:pPr>
            <w:r>
              <w:rPr>
                <w:rFonts w:ascii="Times New Roman"/>
                <w:sz w:val="18"/>
              </w:rPr>
              <w:t>.83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22,212,434</w:t>
            </w:r>
          </w:p>
          <w:p>
            <w:pPr>
              <w:pStyle w:val="TableParagraph"/>
              <w:spacing w:line="240" w:lineRule="auto" w:before="2"/>
              <w:ind w:right="21"/>
              <w:jc w:val="right"/>
              <w:rPr>
                <w:rFonts w:ascii="Times New Roman" w:hAnsi="Times New Roman" w:cs="Times New Roman" w:eastAsia="Times New Roman" w:hint="default"/>
                <w:sz w:val="18"/>
                <w:szCs w:val="18"/>
              </w:rPr>
            </w:pPr>
            <w:r>
              <w:rPr>
                <w:rFonts w:ascii="Times New Roman"/>
                <w:sz w:val="18"/>
              </w:rPr>
              <w:t>.29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pacing w:val="-1"/>
                <w:sz w:val="18"/>
              </w:rPr>
              <w:t>23,369,131</w:t>
            </w:r>
          </w:p>
          <w:p>
            <w:pPr>
              <w:pStyle w:val="TableParagraph"/>
              <w:spacing w:line="240" w:lineRule="auto" w:before="2"/>
              <w:ind w:right="21"/>
              <w:jc w:val="right"/>
              <w:rPr>
                <w:rFonts w:ascii="Times New Roman" w:hAnsi="Times New Roman" w:cs="Times New Roman" w:eastAsia="Times New Roman" w:hint="default"/>
                <w:sz w:val="18"/>
                <w:szCs w:val="18"/>
              </w:rPr>
            </w:pPr>
            <w:r>
              <w:rPr>
                <w:rFonts w:ascii="Times New Roman"/>
                <w:sz w:val="18"/>
              </w:rPr>
              <w:t>.94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955,836.18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pacing w:val="-1"/>
                <w:sz w:val="18"/>
              </w:rPr>
              <w:t>6,506,832.</w:t>
            </w:r>
          </w:p>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z w:val="18"/>
              </w:rPr>
              <w:t>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pacing w:val="-1"/>
                <w:sz w:val="18"/>
              </w:rPr>
              <w:t>65,758,868</w:t>
            </w:r>
          </w:p>
          <w:p>
            <w:pPr>
              <w:pStyle w:val="TableParagraph"/>
              <w:spacing w:line="240" w:lineRule="auto" w:before="2"/>
              <w:ind w:right="21"/>
              <w:jc w:val="right"/>
              <w:rPr>
                <w:rFonts w:ascii="Times New Roman" w:hAnsi="Times New Roman" w:cs="Times New Roman" w:eastAsia="Times New Roman" w:hint="default"/>
                <w:sz w:val="18"/>
                <w:szCs w:val="18"/>
              </w:rPr>
            </w:pPr>
            <w:r>
              <w:rPr>
                <w:rFonts w:ascii="Times New Roman"/>
                <w:sz w:val="18"/>
              </w:rPr>
              <w:t>.62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Times New Roman" w:hAnsi="Times New Roman" w:cs="Times New Roman" w:eastAsia="Times New Roman" w:hint="default"/>
                <w:sz w:val="18"/>
                <w:szCs w:val="18"/>
              </w:rPr>
            </w:pPr>
            <w:r>
              <w:rPr>
                <w:rFonts w:ascii="Times New Roman"/>
                <w:sz w:val="18"/>
              </w:rPr>
              <w:t>704,120,85</w:t>
            </w:r>
          </w:p>
          <w:p>
            <w:pPr>
              <w:pStyle w:val="TableParagraph"/>
              <w:spacing w:line="240" w:lineRule="auto" w:before="2"/>
              <w:ind w:left="520" w:right="0"/>
              <w:jc w:val="left"/>
              <w:rPr>
                <w:rFonts w:ascii="Times New Roman" w:hAnsi="Times New Roman" w:cs="Times New Roman" w:eastAsia="Times New Roman" w:hint="default"/>
                <w:sz w:val="18"/>
                <w:szCs w:val="18"/>
              </w:rPr>
            </w:pPr>
            <w:r>
              <w:rPr>
                <w:rFonts w:ascii="Times New Roman"/>
                <w:sz w:val="18"/>
              </w:rPr>
              <w:t>8.12</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100" w:bottom="1160" w:left="166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tbl>
      <w:tblPr>
        <w:tblW w:w="0" w:type="auto"/>
        <w:jc w:val="left"/>
        <w:tblInd w:w="144" w:type="dxa"/>
        <w:tblLayout w:type="fixed"/>
        <w:tblCellMar>
          <w:top w:w="0" w:type="dxa"/>
          <w:left w:w="0" w:type="dxa"/>
          <w:bottom w:w="0" w:type="dxa"/>
          <w:right w:w="0" w:type="dxa"/>
        </w:tblCellMar>
        <w:tblLook w:val="01E0"/>
      </w:tblPr>
      <w:tblGrid>
        <w:gridCol w:w="858"/>
        <w:gridCol w:w="869"/>
        <w:gridCol w:w="869"/>
        <w:gridCol w:w="869"/>
        <w:gridCol w:w="869"/>
        <w:gridCol w:w="872"/>
        <w:gridCol w:w="869"/>
        <w:gridCol w:w="869"/>
        <w:gridCol w:w="869"/>
        <w:gridCol w:w="869"/>
        <w:gridCol w:w="869"/>
      </w:tblGrid>
      <w:tr>
        <w:trPr>
          <w:trHeight w:val="478"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10"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减值准</w:t>
            </w:r>
          </w:p>
          <w:p>
            <w:pPr>
              <w:pStyle w:val="TableParagraph"/>
              <w:spacing w:line="234" w:lineRule="exact"/>
              <w:ind w:left="10" w:right="0"/>
              <w:jc w:val="left"/>
              <w:rPr>
                <w:rFonts w:ascii="宋体" w:hAnsi="宋体" w:cs="宋体" w:eastAsia="宋体" w:hint="default"/>
                <w:sz w:val="18"/>
                <w:szCs w:val="18"/>
              </w:rPr>
            </w:pPr>
            <w:r>
              <w:rPr>
                <w:rFonts w:ascii="宋体" w:hAnsi="宋体" w:cs="宋体" w:eastAsia="宋体" w:hint="default"/>
                <w:sz w:val="18"/>
                <w:szCs w:val="18"/>
              </w:rPr>
              <w:t>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1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w:t>
            </w:r>
          </w:p>
          <w:p>
            <w:pPr>
              <w:pStyle w:val="TableParagraph"/>
              <w:spacing w:line="227" w:lineRule="exact"/>
              <w:ind w:left="10"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21"/>
              <w:jc w:val="right"/>
              <w:rPr>
                <w:rFonts w:ascii="Times New Roman" w:hAnsi="Times New Roman" w:cs="Times New Roman" w:eastAsia="Times New Roman" w:hint="default"/>
                <w:sz w:val="18"/>
                <w:szCs w:val="18"/>
              </w:rPr>
            </w:pPr>
            <w:r>
              <w:rPr>
                <w:rFonts w:ascii="Times New Roman"/>
                <w:spacing w:val="-1"/>
                <w:sz w:val="18"/>
              </w:rPr>
              <w:t>1,702,548.</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19"/>
              <w:jc w:val="right"/>
              <w:rPr>
                <w:rFonts w:ascii="Times New Roman" w:hAnsi="Times New Roman" w:cs="Times New Roman" w:eastAsia="Times New Roman" w:hint="default"/>
                <w:sz w:val="18"/>
                <w:szCs w:val="18"/>
              </w:rPr>
            </w:pPr>
            <w:r>
              <w:rPr>
                <w:rFonts w:ascii="Times New Roman"/>
                <w:spacing w:val="-1"/>
                <w:sz w:val="18"/>
              </w:rPr>
              <w:t>1,447,443.</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w w:val="95"/>
                <w:sz w:val="18"/>
              </w:rPr>
              <w:t>1,329.00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18"/>
              <w:jc w:val="right"/>
              <w:rPr>
                <w:rFonts w:ascii="Times New Roman" w:hAnsi="Times New Roman" w:cs="Times New Roman" w:eastAsia="Times New Roman" w:hint="default"/>
                <w:sz w:val="18"/>
                <w:szCs w:val="18"/>
              </w:rPr>
            </w:pPr>
            <w:r>
              <w:rPr>
                <w:rFonts w:ascii="Times New Roman"/>
                <w:spacing w:val="-1"/>
                <w:sz w:val="18"/>
              </w:rPr>
              <w:t>1,631,032.</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32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189,983.07</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27,617.17</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21"/>
              <w:jc w:val="right"/>
              <w:rPr>
                <w:rFonts w:ascii="Times New Roman" w:hAnsi="Times New Roman" w:cs="Times New Roman" w:eastAsia="Times New Roman" w:hint="default"/>
                <w:sz w:val="18"/>
                <w:szCs w:val="18"/>
              </w:rPr>
            </w:pPr>
            <w:r>
              <w:rPr>
                <w:rFonts w:ascii="Times New Roman"/>
                <w:spacing w:val="-1"/>
                <w:sz w:val="18"/>
              </w:rPr>
              <w:t>4,999,952.</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88</w:t>
            </w:r>
          </w:p>
        </w:tc>
      </w:tr>
      <w:tr>
        <w:trPr>
          <w:trHeight w:val="478"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10" w:right="0" w:firstLine="17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w:t>
            </w:r>
          </w:p>
          <w:p>
            <w:pPr>
              <w:pStyle w:val="TableParagraph"/>
              <w:spacing w:line="227" w:lineRule="exact"/>
              <w:ind w:left="10" w:right="0"/>
              <w:jc w:val="left"/>
              <w:rPr>
                <w:rFonts w:ascii="宋体" w:hAnsi="宋体" w:cs="宋体" w:eastAsia="宋体" w:hint="default"/>
                <w:sz w:val="18"/>
                <w:szCs w:val="18"/>
              </w:rPr>
            </w:pPr>
            <w:r>
              <w:rPr>
                <w:rFonts w:ascii="宋体" w:hAnsi="宋体" w:cs="宋体" w:eastAsia="宋体" w:hint="default"/>
                <w:sz w:val="18"/>
                <w:szCs w:val="18"/>
              </w:rPr>
              <w:t>增加金额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202,093.75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637,946.31</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185,750.07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w w:val="95"/>
                <w:sz w:val="18"/>
              </w:rPr>
              <w:t>9,699.55</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23,070.59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right="21"/>
              <w:jc w:val="right"/>
              <w:rPr>
                <w:rFonts w:ascii="Times New Roman" w:hAnsi="Times New Roman" w:cs="Times New Roman" w:eastAsia="Times New Roman" w:hint="default"/>
                <w:sz w:val="18"/>
                <w:szCs w:val="18"/>
              </w:rPr>
            </w:pPr>
            <w:r>
              <w:rPr>
                <w:rFonts w:ascii="Times New Roman"/>
                <w:spacing w:val="-1"/>
                <w:sz w:val="18"/>
              </w:rPr>
              <w:t>1,373,963.</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25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right="21"/>
              <w:jc w:val="right"/>
              <w:rPr>
                <w:rFonts w:ascii="Times New Roman" w:hAnsi="Times New Roman" w:cs="Times New Roman" w:eastAsia="Times New Roman" w:hint="default"/>
                <w:sz w:val="18"/>
                <w:szCs w:val="18"/>
              </w:rPr>
            </w:pPr>
            <w:r>
              <w:rPr>
                <w:rFonts w:ascii="Times New Roman"/>
                <w:spacing w:val="-1"/>
                <w:sz w:val="18"/>
              </w:rPr>
              <w:t>2,432,523.</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52</w:t>
            </w:r>
          </w:p>
        </w:tc>
      </w:tr>
      <w:tr>
        <w:trPr>
          <w:trHeight w:val="478"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2" w:lineRule="exact"/>
              <w:ind w:left="37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29" w:lineRule="exact"/>
              <w:ind w:left="10"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19,964.84</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40,745.03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w w:val="95"/>
                <w:sz w:val="18"/>
              </w:rPr>
              <w:t>5,019.93</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w w:val="95"/>
                <w:sz w:val="18"/>
              </w:rPr>
              <w:t>9,669.08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pacing w:val="-1"/>
                <w:sz w:val="18"/>
              </w:rPr>
              <w:t>1,373,963.</w:t>
            </w:r>
          </w:p>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z w:val="18"/>
              </w:rPr>
              <w:t>25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pacing w:val="-1"/>
                <w:sz w:val="18"/>
              </w:rPr>
              <w:t>1,449,362.</w:t>
            </w:r>
          </w:p>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z w:val="18"/>
              </w:rPr>
              <w:t>13</w:t>
            </w:r>
          </w:p>
        </w:tc>
      </w:tr>
      <w:tr>
        <w:trPr>
          <w:trHeight w:val="475" w:hRule="exact"/>
        </w:trPr>
        <w:tc>
          <w:tcPr>
            <w:tcW w:w="85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11" w:lineRule="exact"/>
              <w:ind w:left="1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w:t>
            </w:r>
          </w:p>
          <w:p>
            <w:pPr>
              <w:pStyle w:val="TableParagraph"/>
              <w:spacing w:line="227" w:lineRule="exact"/>
              <w:ind w:left="10" w:right="0"/>
              <w:jc w:val="left"/>
              <w:rPr>
                <w:rFonts w:ascii="宋体" w:hAnsi="宋体" w:cs="宋体" w:eastAsia="宋体" w:hint="default"/>
                <w:sz w:val="18"/>
                <w:szCs w:val="18"/>
              </w:rPr>
            </w:pPr>
            <w:r>
              <w:rPr>
                <w:rFonts w:ascii="宋体" w:hAnsi="宋体" w:cs="宋体" w:eastAsia="宋体" w:hint="default"/>
                <w:sz w:val="18"/>
                <w:szCs w:val="18"/>
              </w:rPr>
              <w:t>合并增加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202,093.75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617,981.47</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145,005.04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w w:val="95"/>
                <w:sz w:val="18"/>
              </w:rPr>
              <w:t>4,679.62</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13,401.51</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983,161.39</w:t>
            </w:r>
          </w:p>
        </w:tc>
      </w:tr>
      <w:tr>
        <w:trPr>
          <w:trHeight w:val="478"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10" w:right="0" w:firstLine="17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w:t>
            </w:r>
          </w:p>
          <w:p>
            <w:pPr>
              <w:pStyle w:val="TableParagraph"/>
              <w:spacing w:line="227" w:lineRule="exact"/>
              <w:ind w:left="10" w:right="0"/>
              <w:jc w:val="left"/>
              <w:rPr>
                <w:rFonts w:ascii="宋体" w:hAnsi="宋体" w:cs="宋体" w:eastAsia="宋体" w:hint="default"/>
                <w:sz w:val="18"/>
                <w:szCs w:val="18"/>
              </w:rPr>
            </w:pPr>
            <w:r>
              <w:rPr>
                <w:rFonts w:ascii="宋体" w:hAnsi="宋体" w:cs="宋体" w:eastAsia="宋体" w:hint="default"/>
                <w:sz w:val="18"/>
                <w:szCs w:val="18"/>
              </w:rPr>
              <w:t>减少金额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37,405.56</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5"/>
                <w:sz w:val="18"/>
              </w:rPr>
              <w:t>5,657.52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576.30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91" w:right="0"/>
              <w:jc w:val="center"/>
              <w:rPr>
                <w:rFonts w:ascii="Times New Roman" w:hAnsi="Times New Roman" w:cs="Times New Roman" w:eastAsia="Times New Roman" w:hint="default"/>
                <w:sz w:val="18"/>
                <w:szCs w:val="18"/>
              </w:rPr>
            </w:pPr>
            <w:r>
              <w:rPr>
                <w:rFonts w:ascii="Times New Roman"/>
                <w:sz w:val="18"/>
              </w:rPr>
              <w:t>43,639.38</w:t>
            </w:r>
          </w:p>
        </w:tc>
      </w:tr>
      <w:tr>
        <w:trPr>
          <w:trHeight w:val="711"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2" w:lineRule="exact"/>
              <w:ind w:left="37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34" w:lineRule="exact" w:before="16"/>
              <w:ind w:left="10" w:right="115"/>
              <w:jc w:val="left"/>
              <w:rPr>
                <w:rFonts w:ascii="宋体" w:hAnsi="宋体" w:cs="宋体" w:eastAsia="宋体" w:hint="default"/>
                <w:sz w:val="18"/>
                <w:szCs w:val="18"/>
              </w:rPr>
            </w:pPr>
            <w:r>
              <w:rPr>
                <w:rFonts w:ascii="宋体" w:hAnsi="宋体" w:cs="宋体" w:eastAsia="宋体" w:hint="default"/>
                <w:sz w:val="18"/>
                <w:szCs w:val="18"/>
              </w:rPr>
              <w:t>处置或报 废</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37,405.56</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5,657.52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576.30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43,639.38</w:t>
            </w:r>
          </w:p>
        </w:tc>
      </w:tr>
      <w:tr>
        <w:trPr>
          <w:trHeight w:val="478"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2" w:lineRule="exact"/>
              <w:ind w:left="1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w:t>
            </w:r>
          </w:p>
          <w:p>
            <w:pPr>
              <w:pStyle w:val="TableParagraph"/>
              <w:spacing w:line="229" w:lineRule="exact"/>
              <w:ind w:left="10"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pacing w:val="-1"/>
                <w:sz w:val="18"/>
              </w:rPr>
              <w:t>1,904,641.</w:t>
            </w:r>
          </w:p>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z w:val="18"/>
              </w:rPr>
              <w:t>78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Times New Roman" w:hAnsi="Times New Roman" w:cs="Times New Roman" w:eastAsia="Times New Roman" w:hint="default"/>
                <w:sz w:val="18"/>
                <w:szCs w:val="18"/>
              </w:rPr>
            </w:pPr>
            <w:r>
              <w:rPr>
                <w:rFonts w:ascii="Times New Roman"/>
                <w:spacing w:val="-1"/>
                <w:sz w:val="18"/>
              </w:rPr>
              <w:t>2,047,984.</w:t>
            </w:r>
          </w:p>
          <w:p>
            <w:pPr>
              <w:pStyle w:val="TableParagraph"/>
              <w:spacing w:line="240" w:lineRule="auto" w:before="2"/>
              <w:ind w:right="17"/>
              <w:jc w:val="right"/>
              <w:rPr>
                <w:rFonts w:ascii="Times New Roman" w:hAnsi="Times New Roman" w:cs="Times New Roman" w:eastAsia="Times New Roman" w:hint="default"/>
                <w:sz w:val="18"/>
                <w:szCs w:val="18"/>
              </w:rPr>
            </w:pPr>
            <w:r>
              <w:rPr>
                <w:rFonts w:ascii="Times New Roman"/>
                <w:sz w:val="18"/>
              </w:rPr>
              <w:t>04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w w:val="95"/>
                <w:sz w:val="18"/>
              </w:rPr>
              <w:t>1,329.00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8"/>
              <w:jc w:val="right"/>
              <w:rPr>
                <w:rFonts w:ascii="Times New Roman" w:hAnsi="Times New Roman" w:cs="Times New Roman" w:eastAsia="Times New Roman" w:hint="default"/>
                <w:sz w:val="18"/>
                <w:szCs w:val="18"/>
              </w:rPr>
            </w:pPr>
            <w:r>
              <w:rPr>
                <w:rFonts w:ascii="Times New Roman"/>
                <w:spacing w:val="-1"/>
                <w:sz w:val="18"/>
              </w:rPr>
              <w:t>1,811,124.</w:t>
            </w:r>
          </w:p>
          <w:p>
            <w:pPr>
              <w:pStyle w:val="TableParagraph"/>
              <w:spacing w:line="240" w:lineRule="auto" w:before="2"/>
              <w:ind w:right="17"/>
              <w:jc w:val="right"/>
              <w:rPr>
                <w:rFonts w:ascii="Times New Roman" w:hAnsi="Times New Roman" w:cs="Times New Roman" w:eastAsia="Times New Roman" w:hint="default"/>
                <w:sz w:val="18"/>
                <w:szCs w:val="18"/>
              </w:rPr>
            </w:pPr>
            <w:r>
              <w:rPr>
                <w:rFonts w:ascii="Times New Roman"/>
                <w:sz w:val="18"/>
              </w:rPr>
              <w:t>87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199,106.32</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50,687.76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pacing w:val="-1"/>
                <w:sz w:val="18"/>
              </w:rPr>
              <w:t>1,373,963.</w:t>
            </w:r>
          </w:p>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z w:val="18"/>
              </w:rPr>
              <w:t>25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pacing w:val="-1"/>
                <w:sz w:val="18"/>
              </w:rPr>
              <w:t>7,388,837.</w:t>
            </w:r>
          </w:p>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z w:val="18"/>
              </w:rPr>
              <w:t>02</w:t>
            </w:r>
          </w:p>
        </w:tc>
      </w:tr>
      <w:tr>
        <w:trPr>
          <w:trHeight w:val="478"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10"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7"/>
                <w:sz w:val="18"/>
                <w:szCs w:val="18"/>
              </w:rPr>
              <w:t>、</w:t>
            </w:r>
            <w:r>
              <w:rPr>
                <w:rFonts w:ascii="宋体" w:hAnsi="宋体" w:cs="宋体" w:eastAsia="宋体" w:hint="default"/>
                <w:sz w:val="18"/>
                <w:szCs w:val="18"/>
              </w:rPr>
              <w:t>账面价</w:t>
            </w:r>
          </w:p>
          <w:p>
            <w:pPr>
              <w:pStyle w:val="TableParagraph"/>
              <w:spacing w:line="234" w:lineRule="exact"/>
              <w:ind w:left="10" w:right="0"/>
              <w:jc w:val="left"/>
              <w:rPr>
                <w:rFonts w:ascii="宋体" w:hAnsi="宋体" w:cs="宋体" w:eastAsia="宋体" w:hint="default"/>
                <w:sz w:val="18"/>
                <w:szCs w:val="18"/>
              </w:rPr>
            </w:pPr>
            <w:r>
              <w:rPr>
                <w:rFonts w:ascii="宋体" w:hAnsi="宋体" w:cs="宋体" w:eastAsia="宋体" w:hint="default"/>
                <w:sz w:val="18"/>
                <w:szCs w:val="18"/>
              </w:rPr>
              <w:t>值</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10" w:right="0" w:firstLine="17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w:t>
            </w:r>
          </w:p>
          <w:p>
            <w:pPr>
              <w:pStyle w:val="TableParagraph"/>
              <w:spacing w:line="227" w:lineRule="exact"/>
              <w:ind w:left="1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24" w:right="0"/>
              <w:jc w:val="left"/>
              <w:rPr>
                <w:rFonts w:ascii="Times New Roman" w:hAnsi="Times New Roman" w:cs="Times New Roman" w:eastAsia="Times New Roman" w:hint="default"/>
                <w:sz w:val="18"/>
                <w:szCs w:val="18"/>
              </w:rPr>
            </w:pPr>
            <w:r>
              <w:rPr>
                <w:rFonts w:ascii="Times New Roman"/>
                <w:sz w:val="18"/>
              </w:rPr>
              <w:t>696,263,61</w:t>
            </w:r>
          </w:p>
          <w:p>
            <w:pPr>
              <w:pStyle w:val="TableParagraph"/>
              <w:spacing w:line="207" w:lineRule="exact"/>
              <w:ind w:left="520" w:right="0"/>
              <w:jc w:val="left"/>
              <w:rPr>
                <w:rFonts w:ascii="Times New Roman" w:hAnsi="Times New Roman" w:cs="Times New Roman" w:eastAsia="Times New Roman" w:hint="default"/>
                <w:sz w:val="18"/>
                <w:szCs w:val="18"/>
              </w:rPr>
            </w:pPr>
            <w:r>
              <w:rPr>
                <w:rFonts w:ascii="Times New Roman"/>
                <w:sz w:val="18"/>
              </w:rPr>
              <w:t>2.50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26" w:right="0"/>
              <w:jc w:val="left"/>
              <w:rPr>
                <w:rFonts w:ascii="Times New Roman" w:hAnsi="Times New Roman" w:cs="Times New Roman" w:eastAsia="Times New Roman" w:hint="default"/>
                <w:sz w:val="18"/>
                <w:szCs w:val="18"/>
              </w:rPr>
            </w:pPr>
            <w:r>
              <w:rPr>
                <w:rFonts w:ascii="Times New Roman"/>
                <w:sz w:val="18"/>
              </w:rPr>
              <w:t>150,215,28</w:t>
            </w:r>
          </w:p>
          <w:p>
            <w:pPr>
              <w:pStyle w:val="TableParagraph"/>
              <w:spacing w:line="207" w:lineRule="exact"/>
              <w:ind w:left="523" w:right="0"/>
              <w:jc w:val="left"/>
              <w:rPr>
                <w:rFonts w:ascii="Times New Roman" w:hAnsi="Times New Roman" w:cs="Times New Roman" w:eastAsia="Times New Roman" w:hint="default"/>
                <w:sz w:val="18"/>
                <w:szCs w:val="18"/>
              </w:rPr>
            </w:pPr>
            <w:r>
              <w:rPr>
                <w:rFonts w:ascii="Times New Roman"/>
                <w:sz w:val="18"/>
              </w:rPr>
              <w:t>7.08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19"/>
              <w:jc w:val="right"/>
              <w:rPr>
                <w:rFonts w:ascii="Times New Roman" w:hAnsi="Times New Roman" w:cs="Times New Roman" w:eastAsia="Times New Roman" w:hint="default"/>
                <w:sz w:val="18"/>
                <w:szCs w:val="18"/>
              </w:rPr>
            </w:pPr>
            <w:r>
              <w:rPr>
                <w:rFonts w:ascii="Times New Roman"/>
                <w:spacing w:val="-1"/>
                <w:sz w:val="18"/>
              </w:rPr>
              <w:t>79,773,904</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19"/>
              <w:jc w:val="right"/>
              <w:rPr>
                <w:rFonts w:ascii="Times New Roman" w:hAnsi="Times New Roman" w:cs="Times New Roman" w:eastAsia="Times New Roman" w:hint="default"/>
                <w:sz w:val="18"/>
                <w:szCs w:val="18"/>
              </w:rPr>
            </w:pPr>
            <w:r>
              <w:rPr>
                <w:rFonts w:ascii="Times New Roman"/>
                <w:spacing w:val="-1"/>
                <w:sz w:val="18"/>
              </w:rPr>
              <w:t>37,637,408</w:t>
            </w: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.49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22"/>
              <w:jc w:val="right"/>
              <w:rPr>
                <w:rFonts w:ascii="Times New Roman" w:hAnsi="Times New Roman" w:cs="Times New Roman" w:eastAsia="Times New Roman" w:hint="default"/>
                <w:sz w:val="18"/>
                <w:szCs w:val="18"/>
              </w:rPr>
            </w:pPr>
            <w:r>
              <w:rPr>
                <w:rFonts w:ascii="Times New Roman"/>
                <w:spacing w:val="-1"/>
                <w:sz w:val="18"/>
              </w:rPr>
              <w:t>18,240,412</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.75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21"/>
              <w:jc w:val="right"/>
              <w:rPr>
                <w:rFonts w:ascii="Times New Roman" w:hAnsi="Times New Roman" w:cs="Times New Roman" w:eastAsia="Times New Roman" w:hint="default"/>
                <w:sz w:val="18"/>
                <w:szCs w:val="18"/>
              </w:rPr>
            </w:pPr>
            <w:r>
              <w:rPr>
                <w:rFonts w:ascii="Times New Roman"/>
                <w:spacing w:val="-1"/>
                <w:sz w:val="18"/>
              </w:rPr>
              <w:t>5,735,967.</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84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21"/>
              <w:jc w:val="right"/>
              <w:rPr>
                <w:rFonts w:ascii="Times New Roman" w:hAnsi="Times New Roman" w:cs="Times New Roman" w:eastAsia="Times New Roman" w:hint="default"/>
                <w:sz w:val="18"/>
                <w:szCs w:val="18"/>
              </w:rPr>
            </w:pPr>
            <w:r>
              <w:rPr>
                <w:rFonts w:ascii="Times New Roman"/>
                <w:spacing w:val="-1"/>
                <w:sz w:val="18"/>
              </w:rPr>
              <w:t>2,349,236.</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75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21"/>
              <w:jc w:val="right"/>
              <w:rPr>
                <w:rFonts w:ascii="Times New Roman" w:hAnsi="Times New Roman" w:cs="Times New Roman" w:eastAsia="Times New Roman" w:hint="default"/>
                <w:sz w:val="18"/>
                <w:szCs w:val="18"/>
              </w:rPr>
            </w:pPr>
            <w:r>
              <w:rPr>
                <w:rFonts w:ascii="Times New Roman"/>
                <w:spacing w:val="-1"/>
                <w:sz w:val="18"/>
              </w:rPr>
              <w:t>5,809,998.</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96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21"/>
              <w:jc w:val="right"/>
              <w:rPr>
                <w:rFonts w:ascii="Times New Roman" w:hAnsi="Times New Roman" w:cs="Times New Roman" w:eastAsia="Times New Roman" w:hint="default"/>
                <w:sz w:val="18"/>
                <w:szCs w:val="18"/>
              </w:rPr>
            </w:pPr>
            <w:r>
              <w:rPr>
                <w:rFonts w:ascii="Times New Roman"/>
                <w:spacing w:val="-1"/>
                <w:sz w:val="18"/>
              </w:rPr>
              <w:t>93,023,846</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69" w:right="0"/>
              <w:jc w:val="left"/>
              <w:rPr>
                <w:rFonts w:ascii="Times New Roman" w:hAnsi="Times New Roman" w:cs="Times New Roman" w:eastAsia="Times New Roman" w:hint="default"/>
                <w:sz w:val="18"/>
                <w:szCs w:val="18"/>
              </w:rPr>
            </w:pPr>
            <w:r>
              <w:rPr>
                <w:rFonts w:ascii="Times New Roman"/>
                <w:sz w:val="18"/>
              </w:rPr>
              <w:t>1,089,049,</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675.78</w:t>
            </w:r>
          </w:p>
        </w:tc>
      </w:tr>
      <w:tr>
        <w:trPr>
          <w:trHeight w:val="478"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2" w:lineRule="exact"/>
              <w:ind w:left="10" w:right="0" w:firstLine="17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w:t>
            </w:r>
          </w:p>
          <w:p>
            <w:pPr>
              <w:pStyle w:val="TableParagraph"/>
              <w:spacing w:line="229" w:lineRule="exact"/>
              <w:ind w:left="1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 w:right="0"/>
              <w:jc w:val="left"/>
              <w:rPr>
                <w:rFonts w:ascii="Times New Roman" w:hAnsi="Times New Roman" w:cs="Times New Roman" w:eastAsia="Times New Roman" w:hint="default"/>
                <w:sz w:val="18"/>
                <w:szCs w:val="18"/>
              </w:rPr>
            </w:pPr>
            <w:r>
              <w:rPr>
                <w:rFonts w:ascii="Times New Roman"/>
                <w:sz w:val="18"/>
              </w:rPr>
              <w:t>633,656,13</w:t>
            </w:r>
          </w:p>
          <w:p>
            <w:pPr>
              <w:pStyle w:val="TableParagraph"/>
              <w:spacing w:line="240" w:lineRule="auto" w:before="2"/>
              <w:ind w:left="520" w:right="0"/>
              <w:jc w:val="left"/>
              <w:rPr>
                <w:rFonts w:ascii="Times New Roman" w:hAnsi="Times New Roman" w:cs="Times New Roman" w:eastAsia="Times New Roman" w:hint="default"/>
                <w:sz w:val="18"/>
                <w:szCs w:val="18"/>
              </w:rPr>
            </w:pPr>
            <w:r>
              <w:rPr>
                <w:rFonts w:ascii="Times New Roman"/>
                <w:sz w:val="18"/>
              </w:rPr>
              <w:t>1.57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6" w:right="0"/>
              <w:jc w:val="left"/>
              <w:rPr>
                <w:rFonts w:ascii="Times New Roman" w:hAnsi="Times New Roman" w:cs="Times New Roman" w:eastAsia="Times New Roman" w:hint="default"/>
                <w:sz w:val="18"/>
                <w:szCs w:val="18"/>
              </w:rPr>
            </w:pPr>
            <w:r>
              <w:rPr>
                <w:rFonts w:ascii="Times New Roman"/>
                <w:sz w:val="18"/>
              </w:rPr>
              <w:t>133,294,03</w:t>
            </w:r>
          </w:p>
          <w:p>
            <w:pPr>
              <w:pStyle w:val="TableParagraph"/>
              <w:spacing w:line="240" w:lineRule="auto" w:before="2"/>
              <w:ind w:left="523" w:right="0"/>
              <w:jc w:val="left"/>
              <w:rPr>
                <w:rFonts w:ascii="Times New Roman" w:hAnsi="Times New Roman" w:cs="Times New Roman" w:eastAsia="Times New Roman" w:hint="default"/>
                <w:sz w:val="18"/>
                <w:szCs w:val="18"/>
              </w:rPr>
            </w:pPr>
            <w:r>
              <w:rPr>
                <w:rFonts w:ascii="Times New Roman"/>
                <w:sz w:val="18"/>
              </w:rPr>
              <w:t>6.36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Times New Roman" w:hAnsi="Times New Roman" w:cs="Times New Roman" w:eastAsia="Times New Roman" w:hint="default"/>
                <w:sz w:val="18"/>
                <w:szCs w:val="18"/>
              </w:rPr>
            </w:pPr>
            <w:r>
              <w:rPr>
                <w:rFonts w:ascii="Times New Roman"/>
                <w:spacing w:val="-1"/>
                <w:sz w:val="18"/>
              </w:rPr>
              <w:t>73,148,419</w:t>
            </w:r>
          </w:p>
          <w:p>
            <w:pPr>
              <w:pStyle w:val="TableParagraph"/>
              <w:spacing w:line="240" w:lineRule="auto" w:before="2"/>
              <w:ind w:right="18"/>
              <w:jc w:val="right"/>
              <w:rPr>
                <w:rFonts w:ascii="Times New Roman" w:hAnsi="Times New Roman" w:cs="Times New Roman" w:eastAsia="Times New Roman" w:hint="default"/>
                <w:sz w:val="18"/>
                <w:szCs w:val="18"/>
              </w:rPr>
            </w:pPr>
            <w:r>
              <w:rPr>
                <w:rFonts w:ascii="Times New Roman"/>
                <w:sz w:val="18"/>
              </w:rPr>
              <w:t>.65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Times New Roman" w:hAnsi="Times New Roman" w:cs="Times New Roman" w:eastAsia="Times New Roman" w:hint="default"/>
                <w:sz w:val="18"/>
                <w:szCs w:val="18"/>
              </w:rPr>
            </w:pPr>
            <w:r>
              <w:rPr>
                <w:rFonts w:ascii="Times New Roman"/>
                <w:spacing w:val="-1"/>
                <w:sz w:val="18"/>
              </w:rPr>
              <w:t>32,452,421</w:t>
            </w:r>
          </w:p>
          <w:p>
            <w:pPr>
              <w:pStyle w:val="TableParagraph"/>
              <w:spacing w:line="240" w:lineRule="auto" w:before="2"/>
              <w:ind w:right="18"/>
              <w:jc w:val="right"/>
              <w:rPr>
                <w:rFonts w:ascii="Times New Roman" w:hAnsi="Times New Roman" w:cs="Times New Roman" w:eastAsia="Times New Roman" w:hint="default"/>
                <w:sz w:val="18"/>
                <w:szCs w:val="18"/>
              </w:rPr>
            </w:pPr>
            <w:r>
              <w:rPr>
                <w:rFonts w:ascii="Times New Roman"/>
                <w:sz w:val="18"/>
              </w:rPr>
              <w:t>.30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21,274,149</w:t>
            </w:r>
          </w:p>
          <w:p>
            <w:pPr>
              <w:pStyle w:val="TableParagraph"/>
              <w:spacing w:line="240" w:lineRule="auto" w:before="2"/>
              <w:ind w:right="21"/>
              <w:jc w:val="right"/>
              <w:rPr>
                <w:rFonts w:ascii="Times New Roman" w:hAnsi="Times New Roman" w:cs="Times New Roman" w:eastAsia="Times New Roman" w:hint="default"/>
                <w:sz w:val="18"/>
                <w:szCs w:val="18"/>
              </w:rPr>
            </w:pPr>
            <w:r>
              <w:rPr>
                <w:rFonts w:ascii="Times New Roman"/>
                <w:sz w:val="18"/>
              </w:rPr>
              <w:t>.94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pacing w:val="-1"/>
                <w:sz w:val="18"/>
              </w:rPr>
              <w:t>7,085,984.</w:t>
            </w:r>
          </w:p>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z w:val="18"/>
              </w:rPr>
              <w:t>66</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pacing w:val="-1"/>
                <w:sz w:val="18"/>
              </w:rPr>
              <w:t>4,241,889.</w:t>
            </w:r>
          </w:p>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z w:val="18"/>
              </w:rPr>
              <w:t>65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pacing w:val="-1"/>
                <w:sz w:val="18"/>
              </w:rPr>
              <w:t>61,163,424</w:t>
            </w:r>
          </w:p>
          <w:p>
            <w:pPr>
              <w:pStyle w:val="TableParagraph"/>
              <w:spacing w:line="240" w:lineRule="auto" w:before="2"/>
              <w:ind w:right="21"/>
              <w:jc w:val="right"/>
              <w:rPr>
                <w:rFonts w:ascii="Times New Roman" w:hAnsi="Times New Roman" w:cs="Times New Roman" w:eastAsia="Times New Roman" w:hint="default"/>
                <w:sz w:val="18"/>
                <w:szCs w:val="18"/>
              </w:rPr>
            </w:pPr>
            <w:r>
              <w:rPr>
                <w:rFonts w:ascii="Times New Roman"/>
                <w:sz w:val="18"/>
              </w:rPr>
              <w:t>.33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Times New Roman" w:hAnsi="Times New Roman" w:cs="Times New Roman" w:eastAsia="Times New Roman" w:hint="default"/>
                <w:sz w:val="18"/>
                <w:szCs w:val="18"/>
              </w:rPr>
            </w:pPr>
            <w:r>
              <w:rPr>
                <w:rFonts w:ascii="Times New Roman"/>
                <w:sz w:val="18"/>
              </w:rPr>
              <w:t>966,316,45</w:t>
            </w:r>
          </w:p>
          <w:p>
            <w:pPr>
              <w:pStyle w:val="TableParagraph"/>
              <w:spacing w:line="240" w:lineRule="auto" w:before="2"/>
              <w:ind w:left="520" w:right="0"/>
              <w:jc w:val="left"/>
              <w:rPr>
                <w:rFonts w:ascii="Times New Roman" w:hAnsi="Times New Roman" w:cs="Times New Roman" w:eastAsia="Times New Roman" w:hint="default"/>
                <w:sz w:val="18"/>
                <w:szCs w:val="18"/>
              </w:rPr>
            </w:pPr>
            <w:r>
              <w:rPr>
                <w:rFonts w:ascii="Times New Roman"/>
                <w:sz w:val="18"/>
              </w:rPr>
              <w:t>7.46</w:t>
            </w:r>
          </w:p>
        </w:tc>
      </w:tr>
    </w:tbl>
    <w:p>
      <w:pPr>
        <w:spacing w:after="0" w:line="240" w:lineRule="auto"/>
        <w:jc w:val="left"/>
        <w:rPr>
          <w:rFonts w:ascii="Times New Roman" w:hAnsi="Times New Roman" w:cs="Times New Roman" w:eastAsia="Times New Roman" w:hint="default"/>
          <w:sz w:val="18"/>
          <w:szCs w:val="18"/>
        </w:rPr>
        <w:sectPr>
          <w:pgSz w:w="11910" w:h="16840"/>
          <w:pgMar w:header="733" w:footer="977" w:top="960" w:bottom="1160" w:left="1660" w:right="0"/>
        </w:sectPr>
      </w:pPr>
    </w:p>
    <w:p>
      <w:pPr>
        <w:pStyle w:val="Heading4"/>
        <w:spacing w:line="245" w:lineRule="exact"/>
        <w:ind w:left="138" w:right="-2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pStyle w:val="BodyText"/>
        <w:spacing w:line="240" w:lineRule="auto" w:before="111"/>
        <w:ind w:left="678" w:right="-20"/>
        <w:jc w:val="left"/>
      </w:pPr>
      <w:r>
        <w:rPr/>
        <w:t>期末没有暂时闲置的固定资产。</w:t>
      </w:r>
    </w:p>
    <w:p>
      <w:pPr>
        <w:pStyle w:val="Heading4"/>
        <w:spacing w:line="240" w:lineRule="auto" w:before="115"/>
        <w:ind w:left="138" w:right="-2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pStyle w:val="BodyText"/>
        <w:spacing w:line="240" w:lineRule="auto" w:before="111"/>
        <w:ind w:left="498" w:right="-20"/>
        <w:jc w:val="left"/>
      </w:pPr>
      <w:r>
        <w:rPr/>
        <w:t>本期没有通过融资租赁租入的固定资产。</w:t>
      </w:r>
    </w:p>
    <w:p>
      <w:pPr>
        <w:pStyle w:val="Heading4"/>
        <w:spacing w:line="240" w:lineRule="auto" w:before="115"/>
        <w:ind w:left="138" w:right="-2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pStyle w:val="BodyText"/>
        <w:spacing w:line="240" w:lineRule="auto" w:before="111"/>
        <w:ind w:left="589" w:right="-20"/>
        <w:jc w:val="left"/>
      </w:pPr>
      <w:r>
        <w:rPr/>
        <w:t>本期没有通过经营租赁租出的固定资产。</w:t>
      </w:r>
    </w:p>
    <w:p>
      <w:pPr>
        <w:pStyle w:val="Heading4"/>
        <w:spacing w:line="240" w:lineRule="auto" w:before="115"/>
        <w:ind w:left="138" w:right="-2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6"/>
          <w:szCs w:val="16"/>
        </w:rPr>
      </w:pPr>
    </w:p>
    <w:p>
      <w:pPr>
        <w:pStyle w:val="BodyText"/>
        <w:spacing w:line="240" w:lineRule="auto"/>
        <w:ind w:left="138" w:right="0"/>
        <w:jc w:val="left"/>
      </w:pPr>
      <w:r>
        <w:rPr/>
        <w:t>单位：</w:t>
      </w:r>
      <w:r>
        <w:rPr>
          <w:spacing w:val="1"/>
        </w:rPr>
        <w:t> </w:t>
      </w:r>
      <w:r>
        <w:rPr/>
        <w:t>元</w:t>
      </w:r>
    </w:p>
    <w:p>
      <w:pPr>
        <w:spacing w:after="0" w:line="240" w:lineRule="auto"/>
        <w:jc w:val="left"/>
        <w:sectPr>
          <w:type w:val="continuous"/>
          <w:pgSz w:w="11910" w:h="16840"/>
          <w:pgMar w:top="1100" w:bottom="1160" w:left="1660" w:right="0"/>
          <w:cols w:num="2" w:equalWidth="0">
            <w:col w:w="3830" w:space="3674"/>
            <w:col w:w="2746"/>
          </w:cols>
        </w:sectPr>
      </w:pPr>
    </w:p>
    <w:p>
      <w:pPr>
        <w:spacing w:line="240" w:lineRule="auto" w:before="4"/>
        <w:rPr>
          <w:rFonts w:ascii="宋体" w:hAnsi="宋体" w:cs="宋体" w:eastAsia="宋体"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3188"/>
        <w:gridCol w:w="3192"/>
        <w:gridCol w:w="3190"/>
      </w:tblGrid>
      <w:tr>
        <w:trPr>
          <w:trHeight w:val="36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1"/>
              <w:jc w:val="center"/>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36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033" w:right="0"/>
              <w:jc w:val="left"/>
              <w:rPr>
                <w:rFonts w:ascii="Times New Roman" w:hAnsi="Times New Roman" w:cs="Times New Roman" w:eastAsia="Times New Roman" w:hint="default"/>
                <w:sz w:val="18"/>
                <w:szCs w:val="18"/>
              </w:rPr>
            </w:pPr>
            <w:r>
              <w:rPr>
                <w:rFonts w:ascii="Times New Roman"/>
                <w:sz w:val="18"/>
              </w:rPr>
              <w:t>236,259,510.97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正在办理中</w:t>
            </w:r>
          </w:p>
        </w:tc>
      </w:tr>
    </w:tbl>
    <w:p>
      <w:pPr>
        <w:spacing w:after="0" w:line="203" w:lineRule="exact"/>
        <w:jc w:val="center"/>
        <w:rPr>
          <w:rFonts w:ascii="宋体" w:hAnsi="宋体" w:cs="宋体" w:eastAsia="宋体" w:hint="default"/>
          <w:sz w:val="18"/>
          <w:szCs w:val="18"/>
        </w:rPr>
        <w:sectPr>
          <w:type w:val="continuous"/>
          <w:pgSz w:w="11910" w:h="16840"/>
          <w:pgMar w:top="1100" w:bottom="1160" w:left="1660" w:right="0"/>
        </w:sectPr>
      </w:pPr>
    </w:p>
    <w:p>
      <w:pPr>
        <w:pStyle w:val="Heading4"/>
        <w:spacing w:line="245" w:lineRule="exact"/>
        <w:ind w:left="138" w:right="-20"/>
        <w:jc w:val="left"/>
        <w:rPr>
          <w:b w:val="0"/>
          <w:bCs w:val="0"/>
        </w:rPr>
      </w:pPr>
      <w:r>
        <w:rPr>
          <w:rFonts w:ascii="Times New Roman" w:hAnsi="Times New Roman" w:cs="Times New Roman" w:eastAsia="Times New Roman" w:hint="default"/>
        </w:rPr>
        <w:t>12</w:t>
      </w:r>
      <w:r>
        <w:rPr/>
        <w:t>、在建工程</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pStyle w:val="BodyText"/>
        <w:spacing w:line="240" w:lineRule="auto" w:before="123"/>
        <w:ind w:left="138" w:right="0"/>
        <w:jc w:val="left"/>
      </w:pPr>
      <w:r>
        <w:rPr/>
        <w:t>单位：</w:t>
      </w:r>
      <w:r>
        <w:rPr>
          <w:spacing w:val="1"/>
        </w:rPr>
        <w:t> </w:t>
      </w:r>
      <w:r>
        <w:rPr/>
        <w:t>元</w:t>
      </w:r>
    </w:p>
    <w:p>
      <w:pPr>
        <w:spacing w:after="0" w:line="240" w:lineRule="auto"/>
        <w:jc w:val="left"/>
        <w:sectPr>
          <w:type w:val="continuous"/>
          <w:pgSz w:w="11910" w:h="16840"/>
          <w:pgMar w:top="1100" w:bottom="1160" w:left="1660" w:right="0"/>
          <w:cols w:num="2" w:equalWidth="0">
            <w:col w:w="1343" w:space="6161"/>
            <w:col w:w="2746"/>
          </w:cols>
        </w:sectPr>
      </w:pPr>
    </w:p>
    <w:p>
      <w:pPr>
        <w:spacing w:line="240" w:lineRule="auto" w:before="1"/>
        <w:rPr>
          <w:rFonts w:ascii="宋体" w:hAnsi="宋体" w:cs="宋体" w:eastAsia="宋体" w:hint="default"/>
          <w:sz w:val="11"/>
          <w:szCs w:val="11"/>
        </w:rPr>
      </w:pPr>
    </w:p>
    <w:tbl>
      <w:tblPr>
        <w:tblW w:w="0" w:type="auto"/>
        <w:jc w:val="left"/>
        <w:tblInd w:w="144" w:type="dxa"/>
        <w:tblLayout w:type="fixed"/>
        <w:tblCellMar>
          <w:top w:w="0" w:type="dxa"/>
          <w:left w:w="0" w:type="dxa"/>
          <w:bottom w:w="0" w:type="dxa"/>
          <w:right w:w="0" w:type="dxa"/>
        </w:tblCellMar>
        <w:tblLook w:val="01E0"/>
      </w:tblPr>
      <w:tblGrid>
        <w:gridCol w:w="1873"/>
        <w:gridCol w:w="3827"/>
        <w:gridCol w:w="3860"/>
      </w:tblGrid>
      <w:tr>
        <w:trPr>
          <w:trHeight w:val="363" w:hRule="exact"/>
        </w:trPr>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60" w:hRule="exact"/>
        </w:trPr>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48,288,502.94</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57,356,821.81</w:t>
            </w:r>
          </w:p>
        </w:tc>
      </w:tr>
      <w:tr>
        <w:trPr>
          <w:trHeight w:val="360" w:hRule="exact"/>
        </w:trPr>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827" w:type="dxa"/>
            <w:tcBorders>
              <w:top w:val="single" w:sz="4" w:space="0" w:color="000000"/>
              <w:left w:val="single" w:sz="13" w:space="0" w:color="D2D2D2"/>
              <w:bottom w:val="single" w:sz="4" w:space="0" w:color="000000"/>
              <w:right w:val="single" w:sz="4" w:space="0" w:color="000000"/>
            </w:tcBorders>
          </w:tcPr>
          <w:p>
            <w:pPr/>
          </w:p>
        </w:tc>
        <w:tc>
          <w:tcPr>
            <w:tcW w:w="386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48,288,502.94</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57,356,821.81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160" w:left="1660" w:right="0"/>
        </w:sectPr>
      </w:pPr>
    </w:p>
    <w:p>
      <w:pPr>
        <w:pStyle w:val="Heading4"/>
        <w:spacing w:line="245" w:lineRule="exact"/>
        <w:ind w:left="138" w:right="0"/>
        <w:jc w:val="left"/>
        <w:rPr>
          <w:b w:val="0"/>
          <w:bCs w:val="0"/>
        </w:rPr>
      </w:pPr>
      <w:r>
        <w:rPr>
          <w:w w:val="95"/>
        </w:rPr>
        <w:t>（</w:t>
      </w:r>
      <w:r>
        <w:rPr>
          <w:rFonts w:ascii="Times New Roman" w:hAnsi="Times New Roman" w:cs="Times New Roman" w:eastAsia="Times New Roman" w:hint="default"/>
          <w:w w:val="95"/>
        </w:rPr>
        <w:t>1</w:t>
      </w:r>
      <w:r>
        <w:rPr>
          <w:w w:val="95"/>
        </w:rPr>
        <w:t>）在建工程情况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pStyle w:val="BodyText"/>
        <w:spacing w:line="240" w:lineRule="auto" w:before="123"/>
        <w:ind w:left="138" w:right="0"/>
        <w:jc w:val="left"/>
      </w:pPr>
      <w:r>
        <w:rPr/>
        <w:t>单位：</w:t>
      </w:r>
      <w:r>
        <w:rPr>
          <w:spacing w:val="1"/>
        </w:rPr>
        <w:t> </w:t>
      </w:r>
      <w:r>
        <w:rPr/>
        <w:t>元</w:t>
      </w:r>
    </w:p>
    <w:p>
      <w:pPr>
        <w:spacing w:after="0" w:line="240" w:lineRule="auto"/>
        <w:jc w:val="left"/>
        <w:sectPr>
          <w:type w:val="continuous"/>
          <w:pgSz w:w="11910" w:h="16840"/>
          <w:pgMar w:top="1100" w:bottom="1160" w:left="1660" w:right="0"/>
          <w:cols w:num="2" w:equalWidth="0">
            <w:col w:w="1844" w:space="5660"/>
            <w:col w:w="2746"/>
          </w:cols>
        </w:sectPr>
      </w:pPr>
    </w:p>
    <w:p>
      <w:pPr>
        <w:spacing w:line="240" w:lineRule="auto" w:before="1"/>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2410"/>
        <w:gridCol w:w="1418"/>
        <w:gridCol w:w="850"/>
        <w:gridCol w:w="1418"/>
        <w:gridCol w:w="1275"/>
        <w:gridCol w:w="833"/>
        <w:gridCol w:w="1368"/>
      </w:tblGrid>
      <w:tr>
        <w:trPr>
          <w:trHeight w:val="245" w:hRule="exact"/>
        </w:trPr>
        <w:tc>
          <w:tcPr>
            <w:tcW w:w="24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2"/>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36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2" w:hRule="exact"/>
        </w:trPr>
        <w:tc>
          <w:tcPr>
            <w:tcW w:w="2410"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5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4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7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52" w:right="0"/>
              <w:jc w:val="left"/>
              <w:rPr>
                <w:rFonts w:ascii="Times New Roman" w:hAnsi="Times New Roman" w:cs="Times New Roman" w:eastAsia="Times New Roman" w:hint="default"/>
                <w:sz w:val="18"/>
                <w:szCs w:val="18"/>
              </w:rPr>
            </w:pPr>
            <w:r>
              <w:rPr>
                <w:rFonts w:ascii="Times New Roman"/>
                <w:sz w:val="18"/>
              </w:rPr>
              <w:t>26,065,763.54</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52" w:right="0"/>
              <w:jc w:val="left"/>
              <w:rPr>
                <w:rFonts w:ascii="Times New Roman" w:hAnsi="Times New Roman" w:cs="Times New Roman" w:eastAsia="Times New Roman" w:hint="default"/>
                <w:sz w:val="18"/>
                <w:szCs w:val="18"/>
              </w:rPr>
            </w:pPr>
            <w:r>
              <w:rPr>
                <w:rFonts w:ascii="Times New Roman"/>
                <w:sz w:val="18"/>
              </w:rPr>
              <w:t>26,065,763.54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37,911,641.60</w:t>
            </w:r>
          </w:p>
        </w:tc>
        <w:tc>
          <w:tcPr>
            <w:tcW w:w="83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99" w:right="0"/>
              <w:jc w:val="left"/>
              <w:rPr>
                <w:rFonts w:ascii="Times New Roman" w:hAnsi="Times New Roman" w:cs="Times New Roman" w:eastAsia="Times New Roman" w:hint="default"/>
                <w:sz w:val="18"/>
                <w:szCs w:val="18"/>
              </w:rPr>
            </w:pPr>
            <w:r>
              <w:rPr>
                <w:rFonts w:ascii="Times New Roman"/>
                <w:sz w:val="18"/>
              </w:rPr>
              <w:t>37,911,641.60</w:t>
            </w:r>
          </w:p>
        </w:tc>
      </w:tr>
      <w:tr>
        <w:trPr>
          <w:trHeight w:val="24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宜昌高端产业园</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18"/>
                <w:szCs w:val="18"/>
              </w:rPr>
            </w:pPr>
            <w:r>
              <w:rPr>
                <w:rFonts w:ascii="Times New Roman"/>
                <w:spacing w:val="-1"/>
                <w:sz w:val="18"/>
              </w:rPr>
              <w:t>19,445,180.21</w:t>
            </w:r>
          </w:p>
        </w:tc>
        <w:tc>
          <w:tcPr>
            <w:tcW w:w="83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99" w:right="0"/>
              <w:jc w:val="left"/>
              <w:rPr>
                <w:rFonts w:ascii="Times New Roman" w:hAnsi="Times New Roman" w:cs="Times New Roman" w:eastAsia="Times New Roman" w:hint="default"/>
                <w:sz w:val="18"/>
                <w:szCs w:val="18"/>
              </w:rPr>
            </w:pPr>
            <w:r>
              <w:rPr>
                <w:rFonts w:ascii="Times New Roman"/>
                <w:sz w:val="18"/>
              </w:rPr>
              <w:t>19,445,180.21</w:t>
            </w:r>
          </w:p>
        </w:tc>
      </w:tr>
      <w:tr>
        <w:trPr>
          <w:trHeight w:val="24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黄石金安金融现代物流园项目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52" w:right="0"/>
              <w:jc w:val="left"/>
              <w:rPr>
                <w:rFonts w:ascii="Times New Roman" w:hAnsi="Times New Roman" w:cs="Times New Roman" w:eastAsia="Times New Roman" w:hint="default"/>
                <w:sz w:val="18"/>
                <w:szCs w:val="18"/>
              </w:rPr>
            </w:pPr>
            <w:r>
              <w:rPr>
                <w:rFonts w:ascii="Times New Roman"/>
                <w:sz w:val="18"/>
              </w:rPr>
              <w:t>22,222,739.40</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52" w:right="0"/>
              <w:jc w:val="left"/>
              <w:rPr>
                <w:rFonts w:ascii="Times New Roman" w:hAnsi="Times New Roman" w:cs="Times New Roman" w:eastAsia="Times New Roman" w:hint="default"/>
                <w:sz w:val="18"/>
                <w:szCs w:val="18"/>
              </w:rPr>
            </w:pPr>
            <w:r>
              <w:rPr>
                <w:rFonts w:ascii="Times New Roman"/>
                <w:sz w:val="18"/>
              </w:rPr>
              <w:t>22,222,739.40</w:t>
            </w:r>
          </w:p>
        </w:tc>
        <w:tc>
          <w:tcPr>
            <w:tcW w:w="1275"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left="345" w:right="0"/>
              <w:jc w:val="left"/>
              <w:rPr>
                <w:rFonts w:ascii="Times New Roman" w:hAnsi="Times New Roman" w:cs="Times New Roman" w:eastAsia="Times New Roman" w:hint="default"/>
                <w:sz w:val="18"/>
                <w:szCs w:val="18"/>
              </w:rPr>
            </w:pPr>
            <w:r>
              <w:rPr>
                <w:rFonts w:ascii="Times New Roman"/>
                <w:sz w:val="18"/>
              </w:rPr>
              <w:t>48,288,502.94</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52" w:right="0"/>
              <w:jc w:val="left"/>
              <w:rPr>
                <w:rFonts w:ascii="Times New Roman" w:hAnsi="Times New Roman" w:cs="Times New Roman" w:eastAsia="Times New Roman" w:hint="default"/>
                <w:sz w:val="18"/>
                <w:szCs w:val="18"/>
              </w:rPr>
            </w:pPr>
            <w:r>
              <w:rPr>
                <w:rFonts w:ascii="Times New Roman"/>
                <w:sz w:val="18"/>
              </w:rPr>
              <w:t>48,288,502.94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57,356,821.81</w:t>
            </w:r>
          </w:p>
        </w:tc>
        <w:tc>
          <w:tcPr>
            <w:tcW w:w="83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99" w:right="0"/>
              <w:jc w:val="left"/>
              <w:rPr>
                <w:rFonts w:ascii="Times New Roman" w:hAnsi="Times New Roman" w:cs="Times New Roman" w:eastAsia="Times New Roman" w:hint="default"/>
                <w:sz w:val="18"/>
                <w:szCs w:val="18"/>
              </w:rPr>
            </w:pPr>
            <w:r>
              <w:rPr>
                <w:rFonts w:ascii="Times New Roman"/>
                <w:sz w:val="18"/>
              </w:rPr>
              <w:t>57,356,821.81</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100" w:bottom="1160" w:left="1660" w:right="0"/>
        </w:sectPr>
      </w:pPr>
    </w:p>
    <w:p>
      <w:pPr>
        <w:spacing w:line="240" w:lineRule="auto" w:before="0"/>
        <w:rPr>
          <w:rFonts w:ascii="宋体" w:hAnsi="宋体" w:cs="宋体" w:eastAsia="宋体" w:hint="default"/>
          <w:sz w:val="20"/>
          <w:szCs w:val="20"/>
        </w:rPr>
      </w:pPr>
    </w:p>
    <w:p>
      <w:pPr>
        <w:pStyle w:val="Heading4"/>
        <w:spacing w:line="240" w:lineRule="auto" w:before="170"/>
        <w:ind w:left="138" w:right="1683"/>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8"/>
          <w:szCs w:val="28"/>
        </w:rPr>
      </w:pPr>
    </w:p>
    <w:p>
      <w:pPr>
        <w:pStyle w:val="BodyText"/>
        <w:spacing w:line="240" w:lineRule="auto" w:before="44"/>
        <w:ind w:left="0" w:right="1791"/>
        <w:jc w:val="right"/>
      </w:pPr>
      <w:r>
        <w:rPr/>
        <w:t>单位：</w:t>
      </w:r>
      <w:r>
        <w:rPr>
          <w:spacing w:val="1"/>
        </w:rPr>
        <w:t> </w:t>
      </w:r>
      <w:r>
        <w:rPr/>
        <w:t>元</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852"/>
        <w:gridCol w:w="850"/>
        <w:gridCol w:w="850"/>
        <w:gridCol w:w="852"/>
        <w:gridCol w:w="850"/>
        <w:gridCol w:w="567"/>
        <w:gridCol w:w="569"/>
        <w:gridCol w:w="708"/>
        <w:gridCol w:w="708"/>
        <w:gridCol w:w="709"/>
        <w:gridCol w:w="852"/>
        <w:gridCol w:w="566"/>
        <w:gridCol w:w="634"/>
      </w:tblGrid>
      <w:tr>
        <w:trPr>
          <w:trHeight w:val="94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39" w:right="60" w:hanging="180"/>
              <w:jc w:val="left"/>
              <w:rPr>
                <w:rFonts w:ascii="宋体" w:hAnsi="宋体" w:cs="宋体" w:eastAsia="宋体" w:hint="default"/>
                <w:sz w:val="18"/>
                <w:szCs w:val="18"/>
              </w:rPr>
            </w:pPr>
            <w:r>
              <w:rPr>
                <w:rFonts w:ascii="宋体" w:hAnsi="宋体" w:cs="宋体" w:eastAsia="宋体" w:hint="default"/>
                <w:sz w:val="18"/>
                <w:szCs w:val="18"/>
              </w:rPr>
              <w:t>本期增加 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12"/>
              <w:ind w:left="57" w:right="60"/>
              <w:jc w:val="center"/>
              <w:rPr>
                <w:rFonts w:ascii="宋体" w:hAnsi="宋体" w:cs="宋体" w:eastAsia="宋体" w:hint="default"/>
                <w:sz w:val="18"/>
                <w:szCs w:val="18"/>
              </w:rPr>
            </w:pPr>
            <w:r>
              <w:rPr>
                <w:rFonts w:ascii="宋体" w:hAnsi="宋体" w:cs="宋体" w:eastAsia="宋体" w:hint="default"/>
                <w:sz w:val="18"/>
                <w:szCs w:val="18"/>
              </w:rPr>
              <w:t>本期转入 固定资产 金额</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95" w:right="0"/>
              <w:jc w:val="both"/>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237" w:lineRule="auto"/>
              <w:ind w:left="95" w:right="99"/>
              <w:jc w:val="both"/>
              <w:rPr>
                <w:rFonts w:ascii="宋体" w:hAnsi="宋体" w:cs="宋体" w:eastAsia="宋体" w:hint="default"/>
                <w:sz w:val="18"/>
                <w:szCs w:val="18"/>
              </w:rPr>
            </w:pPr>
            <w:r>
              <w:rPr>
                <w:rFonts w:ascii="宋体" w:hAnsi="宋体" w:cs="宋体" w:eastAsia="宋体" w:hint="default"/>
                <w:sz w:val="18"/>
                <w:szCs w:val="18"/>
              </w:rPr>
              <w:t>其他 减少 金额</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98" w:right="98"/>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76" w:right="0"/>
              <w:jc w:val="both"/>
              <w:rPr>
                <w:rFonts w:ascii="宋体" w:hAnsi="宋体" w:cs="宋体" w:eastAsia="宋体" w:hint="default"/>
                <w:sz w:val="18"/>
                <w:szCs w:val="18"/>
              </w:rPr>
            </w:pPr>
            <w:r>
              <w:rPr>
                <w:rFonts w:ascii="宋体" w:hAnsi="宋体" w:cs="宋体" w:eastAsia="宋体" w:hint="default"/>
                <w:sz w:val="18"/>
                <w:szCs w:val="18"/>
              </w:rPr>
              <w:t>工程累</w:t>
            </w:r>
          </w:p>
          <w:p>
            <w:pPr>
              <w:pStyle w:val="TableParagraph"/>
              <w:spacing w:line="237" w:lineRule="auto"/>
              <w:ind w:left="76" w:right="79"/>
              <w:jc w:val="both"/>
              <w:rPr>
                <w:rFonts w:ascii="宋体" w:hAnsi="宋体" w:cs="宋体" w:eastAsia="宋体" w:hint="default"/>
                <w:sz w:val="18"/>
                <w:szCs w:val="18"/>
              </w:rPr>
            </w:pPr>
            <w:r>
              <w:rPr>
                <w:rFonts w:ascii="宋体" w:hAnsi="宋体" w:cs="宋体" w:eastAsia="宋体" w:hint="default"/>
                <w:sz w:val="18"/>
                <w:szCs w:val="18"/>
              </w:rPr>
              <w:t>计投入 占预算 比例</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56" w:right="7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12"/>
              <w:ind w:left="76" w:right="80"/>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12"/>
              <w:ind w:left="59" w:right="60"/>
              <w:jc w:val="both"/>
              <w:rPr>
                <w:rFonts w:ascii="宋体" w:hAnsi="宋体" w:cs="宋体" w:eastAsia="宋体" w:hint="default"/>
                <w:sz w:val="18"/>
                <w:szCs w:val="18"/>
              </w:rPr>
            </w:pPr>
            <w:r>
              <w:rPr>
                <w:rFonts w:ascii="宋体" w:hAnsi="宋体" w:cs="宋体" w:eastAsia="宋体" w:hint="default"/>
                <w:sz w:val="18"/>
                <w:szCs w:val="18"/>
              </w:rPr>
              <w:t>其中：本 期利息资 本化金额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95" w:right="0"/>
              <w:jc w:val="both"/>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237" w:lineRule="auto"/>
              <w:ind w:left="95" w:right="98"/>
              <w:jc w:val="both"/>
              <w:rPr>
                <w:rFonts w:ascii="宋体" w:hAnsi="宋体" w:cs="宋体" w:eastAsia="宋体" w:hint="default"/>
                <w:sz w:val="18"/>
                <w:szCs w:val="18"/>
              </w:rPr>
            </w:pPr>
            <w:r>
              <w:rPr>
                <w:rFonts w:ascii="宋体" w:hAnsi="宋体" w:cs="宋体" w:eastAsia="宋体" w:hint="default"/>
                <w:sz w:val="18"/>
                <w:szCs w:val="18"/>
              </w:rPr>
              <w:t>利息 资本 化率</w:t>
            </w:r>
          </w:p>
        </w:tc>
        <w:tc>
          <w:tcPr>
            <w:tcW w:w="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20" w:right="4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1" w:right="98"/>
              <w:jc w:val="left"/>
              <w:rPr>
                <w:rFonts w:ascii="宋体" w:hAnsi="宋体" w:cs="宋体" w:eastAsia="宋体" w:hint="default"/>
                <w:sz w:val="18"/>
                <w:szCs w:val="18"/>
              </w:rPr>
            </w:pPr>
            <w:r>
              <w:rPr>
                <w:rFonts w:ascii="宋体" w:hAnsi="宋体" w:cs="宋体" w:eastAsia="宋体" w:hint="default"/>
                <w:sz w:val="18"/>
                <w:szCs w:val="18"/>
              </w:rPr>
              <w:t>宜昌高端 产业园</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95" w:right="0"/>
              <w:jc w:val="left"/>
              <w:rPr>
                <w:rFonts w:ascii="Times New Roman" w:hAnsi="Times New Roman" w:cs="Times New Roman" w:eastAsia="Times New Roman" w:hint="default"/>
                <w:sz w:val="18"/>
                <w:szCs w:val="18"/>
              </w:rPr>
            </w:pPr>
            <w:r>
              <w:rPr>
                <w:rFonts w:ascii="Times New Roman"/>
                <w:sz w:val="18"/>
              </w:rPr>
              <w:t>42,230,33</w:t>
            </w:r>
          </w:p>
          <w:p>
            <w:pPr>
              <w:pStyle w:val="TableParagraph"/>
              <w:spacing w:line="207" w:lineRule="exact"/>
              <w:ind w:left="501" w:right="0"/>
              <w:jc w:val="left"/>
              <w:rPr>
                <w:rFonts w:ascii="Times New Roman" w:hAnsi="Times New Roman" w:cs="Times New Roman" w:eastAsia="Times New Roman" w:hint="default"/>
                <w:sz w:val="18"/>
                <w:szCs w:val="18"/>
              </w:rPr>
            </w:pPr>
            <w:r>
              <w:rPr>
                <w:rFonts w:ascii="Times New Roman"/>
                <w:sz w:val="18"/>
              </w:rPr>
              <w:t>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95" w:right="0"/>
              <w:jc w:val="left"/>
              <w:rPr>
                <w:rFonts w:ascii="Times New Roman" w:hAnsi="Times New Roman" w:cs="Times New Roman" w:eastAsia="Times New Roman" w:hint="default"/>
                <w:sz w:val="18"/>
                <w:szCs w:val="18"/>
              </w:rPr>
            </w:pPr>
            <w:r>
              <w:rPr>
                <w:rFonts w:ascii="Times New Roman"/>
                <w:sz w:val="18"/>
              </w:rPr>
              <w:t>19,445,18</w:t>
            </w:r>
          </w:p>
          <w:p>
            <w:pPr>
              <w:pStyle w:val="TableParagraph"/>
              <w:spacing w:line="207" w:lineRule="exact"/>
              <w:ind w:left="502" w:right="0"/>
              <w:jc w:val="left"/>
              <w:rPr>
                <w:rFonts w:ascii="Times New Roman" w:hAnsi="Times New Roman" w:cs="Times New Roman" w:eastAsia="Times New Roman" w:hint="default"/>
                <w:sz w:val="18"/>
                <w:szCs w:val="18"/>
              </w:rPr>
            </w:pPr>
            <w:r>
              <w:rPr>
                <w:rFonts w:ascii="Times New Roman"/>
                <w:sz w:val="18"/>
              </w:rPr>
              <w:t>0.21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21"/>
              <w:jc w:val="right"/>
              <w:rPr>
                <w:rFonts w:ascii="Times New Roman" w:hAnsi="Times New Roman" w:cs="Times New Roman" w:eastAsia="Times New Roman" w:hint="default"/>
                <w:sz w:val="18"/>
                <w:szCs w:val="18"/>
              </w:rPr>
            </w:pPr>
            <w:r>
              <w:rPr>
                <w:rFonts w:ascii="Times New Roman"/>
                <w:spacing w:val="-1"/>
                <w:sz w:val="18"/>
              </w:rPr>
              <w:t>8,806,804.</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95" w:right="0"/>
              <w:jc w:val="left"/>
              <w:rPr>
                <w:rFonts w:ascii="Times New Roman" w:hAnsi="Times New Roman" w:cs="Times New Roman" w:eastAsia="Times New Roman" w:hint="default"/>
                <w:sz w:val="18"/>
                <w:szCs w:val="18"/>
              </w:rPr>
            </w:pPr>
            <w:r>
              <w:rPr>
                <w:rFonts w:ascii="Times New Roman"/>
                <w:sz w:val="18"/>
              </w:rPr>
              <w:t>28,251,98</w:t>
            </w:r>
          </w:p>
          <w:p>
            <w:pPr>
              <w:pStyle w:val="TableParagraph"/>
              <w:spacing w:line="207" w:lineRule="exact"/>
              <w:ind w:left="501" w:right="0"/>
              <w:jc w:val="left"/>
              <w:rPr>
                <w:rFonts w:ascii="Times New Roman" w:hAnsi="Times New Roman" w:cs="Times New Roman" w:eastAsia="Times New Roman" w:hint="default"/>
                <w:sz w:val="18"/>
                <w:szCs w:val="18"/>
              </w:rPr>
            </w:pPr>
            <w:r>
              <w:rPr>
                <w:rFonts w:ascii="Times New Roman"/>
                <w:sz w:val="18"/>
              </w:rPr>
              <w:t>4.83</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募集资</w:t>
            </w:r>
          </w:p>
          <w:p>
            <w:pPr>
              <w:pStyle w:val="TableParagraph"/>
              <w:spacing w:line="240" w:lineRule="auto"/>
              <w:ind w:left="23" w:right="59"/>
              <w:jc w:val="left"/>
              <w:rPr>
                <w:rFonts w:ascii="宋体" w:hAnsi="宋体" w:cs="宋体" w:eastAsia="宋体" w:hint="default"/>
                <w:sz w:val="18"/>
                <w:szCs w:val="18"/>
              </w:rPr>
            </w:pPr>
            <w:r>
              <w:rPr>
                <w:rFonts w:ascii="宋体" w:hAnsi="宋体" w:cs="宋体" w:eastAsia="宋体" w:hint="default"/>
                <w:sz w:val="18"/>
                <w:szCs w:val="18"/>
              </w:rPr>
              <w:t>金和自 有资金</w:t>
            </w:r>
          </w:p>
        </w:tc>
      </w:tr>
      <w:tr>
        <w:trPr>
          <w:trHeight w:val="425"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95" w:right="0"/>
              <w:jc w:val="left"/>
              <w:rPr>
                <w:rFonts w:ascii="Times New Roman" w:hAnsi="Times New Roman" w:cs="Times New Roman" w:eastAsia="Times New Roman" w:hint="default"/>
                <w:sz w:val="18"/>
                <w:szCs w:val="18"/>
              </w:rPr>
            </w:pPr>
            <w:r>
              <w:rPr>
                <w:rFonts w:ascii="Times New Roman"/>
                <w:sz w:val="18"/>
              </w:rPr>
              <w:t>42,230,33</w:t>
            </w:r>
          </w:p>
          <w:p>
            <w:pPr>
              <w:pStyle w:val="TableParagraph"/>
              <w:spacing w:line="207" w:lineRule="exact"/>
              <w:ind w:left="501" w:right="0"/>
              <w:jc w:val="left"/>
              <w:rPr>
                <w:rFonts w:ascii="Times New Roman" w:hAnsi="Times New Roman" w:cs="Times New Roman" w:eastAsia="Times New Roman" w:hint="default"/>
                <w:sz w:val="18"/>
                <w:szCs w:val="18"/>
              </w:rPr>
            </w:pPr>
            <w:r>
              <w:rPr>
                <w:rFonts w:ascii="Times New Roman"/>
                <w:sz w:val="18"/>
              </w:rPr>
              <w:t>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95" w:right="0"/>
              <w:jc w:val="left"/>
              <w:rPr>
                <w:rFonts w:ascii="Times New Roman" w:hAnsi="Times New Roman" w:cs="Times New Roman" w:eastAsia="Times New Roman" w:hint="default"/>
                <w:sz w:val="18"/>
                <w:szCs w:val="18"/>
              </w:rPr>
            </w:pPr>
            <w:r>
              <w:rPr>
                <w:rFonts w:ascii="Times New Roman"/>
                <w:sz w:val="18"/>
              </w:rPr>
              <w:t>19,445,18</w:t>
            </w:r>
          </w:p>
          <w:p>
            <w:pPr>
              <w:pStyle w:val="TableParagraph"/>
              <w:spacing w:line="207" w:lineRule="exact"/>
              <w:ind w:left="502" w:right="0"/>
              <w:jc w:val="left"/>
              <w:rPr>
                <w:rFonts w:ascii="Times New Roman" w:hAnsi="Times New Roman" w:cs="Times New Roman" w:eastAsia="Times New Roman" w:hint="default"/>
                <w:sz w:val="18"/>
                <w:szCs w:val="18"/>
              </w:rPr>
            </w:pPr>
            <w:r>
              <w:rPr>
                <w:rFonts w:ascii="Times New Roman"/>
                <w:sz w:val="18"/>
              </w:rPr>
              <w:t>0.21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8,806,804.</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95" w:right="0"/>
              <w:jc w:val="left"/>
              <w:rPr>
                <w:rFonts w:ascii="Times New Roman" w:hAnsi="Times New Roman" w:cs="Times New Roman" w:eastAsia="Times New Roman" w:hint="default"/>
                <w:sz w:val="18"/>
                <w:szCs w:val="18"/>
              </w:rPr>
            </w:pPr>
            <w:r>
              <w:rPr>
                <w:rFonts w:ascii="Times New Roman"/>
                <w:sz w:val="18"/>
              </w:rPr>
              <w:t>28,251,98</w:t>
            </w:r>
          </w:p>
          <w:p>
            <w:pPr>
              <w:pStyle w:val="TableParagraph"/>
              <w:spacing w:line="207" w:lineRule="exact"/>
              <w:ind w:left="501" w:right="0"/>
              <w:jc w:val="left"/>
              <w:rPr>
                <w:rFonts w:ascii="Times New Roman" w:hAnsi="Times New Roman" w:cs="Times New Roman" w:eastAsia="Times New Roman" w:hint="default"/>
                <w:sz w:val="18"/>
                <w:szCs w:val="18"/>
              </w:rPr>
            </w:pPr>
            <w:r>
              <w:rPr>
                <w:rFonts w:ascii="Times New Roman"/>
                <w:sz w:val="18"/>
              </w:rPr>
              <w:t>4.83</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33" w:footer="977" w:top="960" w:bottom="1160" w:left="1660" w:right="0"/>
        </w:sectPr>
      </w:pPr>
    </w:p>
    <w:p>
      <w:pPr>
        <w:pStyle w:val="Heading4"/>
        <w:spacing w:line="245" w:lineRule="exact"/>
        <w:ind w:left="138" w:right="0"/>
        <w:jc w:val="left"/>
        <w:rPr>
          <w:b w:val="0"/>
          <w:bCs w:val="0"/>
        </w:rPr>
      </w:pPr>
      <w:r>
        <w:rPr>
          <w:rFonts w:ascii="Times New Roman" w:hAnsi="Times New Roman" w:cs="Times New Roman" w:eastAsia="Times New Roman" w:hint="default"/>
        </w:rPr>
        <w:t>13</w:t>
      </w:r>
      <w:r>
        <w:rPr/>
        <w:t>、无形资产</w:t>
      </w:r>
      <w:r>
        <w:rPr>
          <w:b w:val="0"/>
          <w:bCs w:val="0"/>
        </w:rPr>
      </w:r>
    </w:p>
    <w:p>
      <w:pPr>
        <w:pStyle w:val="Heading4"/>
        <w:spacing w:line="240" w:lineRule="auto" w:before="112"/>
        <w:ind w:left="138" w:right="0"/>
        <w:jc w:val="left"/>
        <w:rPr>
          <w:b w:val="0"/>
          <w:bCs w:val="0"/>
        </w:rPr>
      </w:pPr>
      <w:r>
        <w:rPr>
          <w:w w:val="95"/>
        </w:rPr>
        <w:t>（</w:t>
      </w:r>
      <w:r>
        <w:rPr>
          <w:rFonts w:ascii="Times New Roman" w:hAnsi="Times New Roman" w:cs="Times New Roman" w:eastAsia="Times New Roman" w:hint="default"/>
          <w:w w:val="95"/>
        </w:rPr>
        <w:t>1</w:t>
      </w:r>
      <w:r>
        <w:rPr>
          <w:w w:val="95"/>
        </w:rPr>
        <w:t>）无形资产情况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20"/>
          <w:szCs w:val="20"/>
        </w:rPr>
      </w:pPr>
    </w:p>
    <w:p>
      <w:pPr>
        <w:pStyle w:val="BodyText"/>
        <w:spacing w:line="240" w:lineRule="auto"/>
        <w:ind w:left="138" w:right="0"/>
        <w:jc w:val="left"/>
      </w:pPr>
      <w:r>
        <w:rPr/>
        <w:t>单位：</w:t>
      </w:r>
      <w:r>
        <w:rPr>
          <w:spacing w:val="1"/>
        </w:rPr>
        <w:t> </w:t>
      </w:r>
      <w:r>
        <w:rPr/>
        <w:t>元</w:t>
      </w:r>
    </w:p>
    <w:p>
      <w:pPr>
        <w:spacing w:after="0" w:line="240" w:lineRule="auto"/>
        <w:jc w:val="left"/>
        <w:sectPr>
          <w:type w:val="continuous"/>
          <w:pgSz w:w="11910" w:h="16840"/>
          <w:pgMar w:top="1100" w:bottom="1160" w:left="1660" w:right="0"/>
          <w:cols w:num="2" w:equalWidth="0">
            <w:col w:w="1844" w:space="5660"/>
            <w:col w:w="2746"/>
          </w:cols>
        </w:sectPr>
      </w:pPr>
    </w:p>
    <w:p>
      <w:pPr>
        <w:spacing w:line="240" w:lineRule="auto" w:before="4"/>
        <w:rPr>
          <w:rFonts w:ascii="宋体" w:hAnsi="宋体" w:cs="宋体" w:eastAsia="宋体" w:hint="default"/>
          <w:sz w:val="11"/>
          <w:szCs w:val="11"/>
        </w:rPr>
      </w:pPr>
    </w:p>
    <w:tbl>
      <w:tblPr>
        <w:tblW w:w="0" w:type="auto"/>
        <w:jc w:val="left"/>
        <w:tblInd w:w="144" w:type="dxa"/>
        <w:tblLayout w:type="fixed"/>
        <w:tblCellMar>
          <w:top w:w="0" w:type="dxa"/>
          <w:left w:w="0" w:type="dxa"/>
          <w:bottom w:w="0" w:type="dxa"/>
          <w:right w:w="0" w:type="dxa"/>
        </w:tblCellMar>
        <w:tblLook w:val="01E0"/>
      </w:tblPr>
      <w:tblGrid>
        <w:gridCol w:w="3239"/>
        <w:gridCol w:w="1995"/>
        <w:gridCol w:w="2269"/>
        <w:gridCol w:w="1987"/>
      </w:tblGrid>
      <w:tr>
        <w:trPr>
          <w:trHeight w:val="360" w:hRule="exact"/>
        </w:trPr>
        <w:tc>
          <w:tcPr>
            <w:tcW w:w="32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19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left="54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left="1"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9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32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95" w:type="dxa"/>
            <w:tcBorders>
              <w:top w:val="single" w:sz="4" w:space="0" w:color="000000"/>
              <w:left w:val="single" w:sz="13" w:space="0" w:color="D9D9D9"/>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2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7" w:lineRule="exact"/>
              <w:ind w:left="3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9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144,454,995.81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18"/>
                <w:szCs w:val="18"/>
              </w:rPr>
            </w:pPr>
            <w:r>
              <w:rPr>
                <w:rFonts w:ascii="Times New Roman"/>
                <w:spacing w:val="-1"/>
                <w:sz w:val="18"/>
              </w:rPr>
              <w:t>24,365,742.01</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168,820,737.82</w:t>
            </w:r>
          </w:p>
        </w:tc>
      </w:tr>
      <w:tr>
        <w:trPr>
          <w:trHeight w:val="360" w:hRule="exact"/>
        </w:trPr>
        <w:tc>
          <w:tcPr>
            <w:tcW w:w="32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7" w:lineRule="exact"/>
              <w:ind w:left="3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9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8,337,281.45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18"/>
                <w:szCs w:val="18"/>
              </w:rPr>
            </w:pPr>
            <w:r>
              <w:rPr>
                <w:rFonts w:ascii="Times New Roman"/>
                <w:spacing w:val="-1"/>
                <w:sz w:val="18"/>
              </w:rPr>
              <w:t>13,777,331.21</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22,114,612.66</w:t>
            </w:r>
          </w:p>
        </w:tc>
      </w:tr>
      <w:tr>
        <w:trPr>
          <w:trHeight w:val="360" w:hRule="exact"/>
        </w:trPr>
        <w:tc>
          <w:tcPr>
            <w:tcW w:w="32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7" w:lineRule="exact"/>
              <w:ind w:left="55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9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4,301,800.72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0"/>
              <w:jc w:val="right"/>
              <w:rPr>
                <w:rFonts w:ascii="Times New Roman" w:hAnsi="Times New Roman" w:cs="Times New Roman" w:eastAsia="Times New Roman" w:hint="default"/>
                <w:sz w:val="18"/>
                <w:szCs w:val="18"/>
              </w:rPr>
            </w:pPr>
            <w:r>
              <w:rPr>
                <w:rFonts w:ascii="Times New Roman"/>
                <w:spacing w:val="-1"/>
                <w:sz w:val="18"/>
              </w:rPr>
              <w:t>2,586,318.64</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pacing w:val="-1"/>
                <w:sz w:val="18"/>
              </w:rPr>
              <w:t>6,888,119.36</w:t>
            </w:r>
          </w:p>
        </w:tc>
      </w:tr>
      <w:tr>
        <w:trPr>
          <w:trHeight w:val="360" w:hRule="exact"/>
        </w:trPr>
        <w:tc>
          <w:tcPr>
            <w:tcW w:w="32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7" w:lineRule="exact"/>
              <w:ind w:left="55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995" w:type="dxa"/>
            <w:tcBorders>
              <w:top w:val="single" w:sz="4" w:space="0" w:color="000000"/>
              <w:left w:val="single" w:sz="13" w:space="0" w:color="D9D9D9"/>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2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7" w:lineRule="exact"/>
              <w:ind w:right="114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9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4,035,480.73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0"/>
              <w:jc w:val="right"/>
              <w:rPr>
                <w:rFonts w:ascii="Times New Roman" w:hAnsi="Times New Roman" w:cs="Times New Roman" w:eastAsia="Times New Roman" w:hint="default"/>
                <w:sz w:val="18"/>
                <w:szCs w:val="18"/>
              </w:rPr>
            </w:pPr>
            <w:r>
              <w:rPr>
                <w:rFonts w:ascii="Times New Roman"/>
                <w:spacing w:val="-1"/>
                <w:sz w:val="18"/>
              </w:rPr>
              <w:t>8,161,398.04</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12,196,878.77</w:t>
            </w:r>
          </w:p>
        </w:tc>
      </w:tr>
      <w:tr>
        <w:trPr>
          <w:trHeight w:val="360" w:hRule="exact"/>
        </w:trPr>
        <w:tc>
          <w:tcPr>
            <w:tcW w:w="32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7" w:lineRule="exact"/>
              <w:ind w:right="114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）在建工程转入</w:t>
            </w:r>
          </w:p>
        </w:tc>
        <w:tc>
          <w:tcPr>
            <w:tcW w:w="1995" w:type="dxa"/>
            <w:tcBorders>
              <w:top w:val="single" w:sz="4" w:space="0" w:color="000000"/>
              <w:left w:val="single" w:sz="13" w:space="0" w:color="D9D9D9"/>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Times New Roman" w:hAnsi="Times New Roman" w:cs="Times New Roman" w:eastAsia="Times New Roman" w:hint="default"/>
                <w:sz w:val="18"/>
                <w:szCs w:val="18"/>
              </w:rPr>
            </w:pPr>
            <w:r>
              <w:rPr>
                <w:rFonts w:ascii="Times New Roman"/>
                <w:spacing w:val="-1"/>
                <w:sz w:val="18"/>
              </w:rPr>
              <w:t>3,029,614.53</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18"/>
                <w:szCs w:val="18"/>
              </w:rPr>
            </w:pPr>
            <w:r>
              <w:rPr>
                <w:rFonts w:ascii="Times New Roman"/>
                <w:spacing w:val="-1"/>
                <w:sz w:val="18"/>
              </w:rPr>
              <w:t>3,029,614.53</w:t>
            </w:r>
          </w:p>
        </w:tc>
      </w:tr>
      <w:tr>
        <w:trPr>
          <w:trHeight w:val="36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1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95"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9"/>
              <w:jc w:val="right"/>
              <w:rPr>
                <w:rFonts w:ascii="Times New Roman" w:hAnsi="Times New Roman" w:cs="Times New Roman" w:eastAsia="Times New Roman" w:hint="default"/>
                <w:sz w:val="18"/>
                <w:szCs w:val="18"/>
              </w:rPr>
            </w:pPr>
            <w:r>
              <w:rPr>
                <w:rFonts w:ascii="Times New Roman"/>
                <w:spacing w:val="-1"/>
                <w:sz w:val="18"/>
              </w:rPr>
              <w:t>370,662.03</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pacing w:val="-1"/>
                <w:sz w:val="18"/>
              </w:rPr>
              <w:t>370,662.03</w:t>
            </w:r>
          </w:p>
        </w:tc>
      </w:tr>
      <w:tr>
        <w:trPr>
          <w:trHeight w:val="36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55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95"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9"/>
              <w:jc w:val="right"/>
              <w:rPr>
                <w:rFonts w:ascii="Times New Roman" w:hAnsi="Times New Roman" w:cs="Times New Roman" w:eastAsia="Times New Roman" w:hint="default"/>
                <w:sz w:val="18"/>
                <w:szCs w:val="18"/>
              </w:rPr>
            </w:pPr>
            <w:r>
              <w:rPr>
                <w:rFonts w:ascii="Times New Roman"/>
                <w:spacing w:val="-1"/>
                <w:sz w:val="18"/>
              </w:rPr>
              <w:t>370,662.03</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pacing w:val="-1"/>
                <w:sz w:val="18"/>
              </w:rPr>
              <w:t>370,662.03</w:t>
            </w:r>
          </w:p>
        </w:tc>
      </w:tr>
      <w:tr>
        <w:trPr>
          <w:trHeight w:val="36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3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152,792,277.26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18"/>
                <w:szCs w:val="18"/>
              </w:rPr>
            </w:pPr>
            <w:r>
              <w:rPr>
                <w:rFonts w:ascii="Times New Roman"/>
                <w:spacing w:val="-1"/>
                <w:sz w:val="18"/>
              </w:rPr>
              <w:t>37,772,411.19</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190,564,688.45</w:t>
            </w:r>
          </w:p>
        </w:tc>
      </w:tr>
      <w:tr>
        <w:trPr>
          <w:trHeight w:val="36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995"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2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7" w:lineRule="exact"/>
              <w:ind w:left="3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9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10,244,172.83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18"/>
                <w:szCs w:val="18"/>
              </w:rPr>
            </w:pPr>
            <w:r>
              <w:rPr>
                <w:rFonts w:ascii="Times New Roman"/>
                <w:spacing w:val="-1"/>
                <w:sz w:val="18"/>
              </w:rPr>
              <w:t>12,879,908.09</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23,124,080.92</w:t>
            </w:r>
          </w:p>
        </w:tc>
      </w:tr>
      <w:tr>
        <w:trPr>
          <w:trHeight w:val="360" w:hRule="exact"/>
        </w:trPr>
        <w:tc>
          <w:tcPr>
            <w:tcW w:w="32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7" w:lineRule="exact"/>
              <w:ind w:left="3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9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3,237,611.24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18"/>
                <w:szCs w:val="18"/>
              </w:rPr>
            </w:pPr>
            <w:r>
              <w:rPr>
                <w:rFonts w:ascii="Times New Roman"/>
                <w:spacing w:val="-1"/>
                <w:sz w:val="18"/>
              </w:rPr>
              <w:t>12,558,968.07</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15,796,579.31</w:t>
            </w:r>
          </w:p>
        </w:tc>
      </w:tr>
      <w:tr>
        <w:trPr>
          <w:trHeight w:val="360" w:hRule="exact"/>
        </w:trPr>
        <w:tc>
          <w:tcPr>
            <w:tcW w:w="32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7" w:lineRule="exact"/>
              <w:ind w:left="55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9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3,128,032.92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18"/>
                <w:szCs w:val="18"/>
              </w:rPr>
            </w:pPr>
            <w:r>
              <w:rPr>
                <w:rFonts w:ascii="Times New Roman"/>
                <w:spacing w:val="-1"/>
                <w:sz w:val="18"/>
              </w:rPr>
              <w:t>5,458,558.27</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8,586,591.19</w:t>
            </w:r>
          </w:p>
        </w:tc>
      </w:tr>
      <w:tr>
        <w:trPr>
          <w:trHeight w:val="360" w:hRule="exact"/>
        </w:trPr>
        <w:tc>
          <w:tcPr>
            <w:tcW w:w="32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7" w:lineRule="exact"/>
              <w:ind w:right="114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99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109,578.32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18"/>
                <w:szCs w:val="18"/>
              </w:rPr>
            </w:pPr>
            <w:r>
              <w:rPr>
                <w:rFonts w:ascii="Times New Roman"/>
                <w:spacing w:val="-1"/>
                <w:sz w:val="18"/>
              </w:rPr>
              <w:t>7,100,409.80</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7,209,988.12</w:t>
            </w:r>
          </w:p>
        </w:tc>
      </w:tr>
      <w:tr>
        <w:trPr>
          <w:trHeight w:val="361" w:hRule="exact"/>
        </w:trPr>
        <w:tc>
          <w:tcPr>
            <w:tcW w:w="32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7" w:lineRule="exact"/>
              <w:ind w:left="3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95" w:type="dxa"/>
            <w:tcBorders>
              <w:top w:val="single" w:sz="4" w:space="0" w:color="000000"/>
              <w:left w:val="single" w:sz="13" w:space="0" w:color="D9D9D9"/>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18"/>
                <w:szCs w:val="18"/>
              </w:rPr>
            </w:pPr>
            <w:r>
              <w:rPr>
                <w:rFonts w:ascii="Times New Roman"/>
                <w:spacing w:val="-1"/>
                <w:sz w:val="18"/>
              </w:rPr>
              <w:t>157,864.51</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18"/>
                <w:szCs w:val="18"/>
              </w:rPr>
            </w:pPr>
            <w:r>
              <w:rPr>
                <w:rFonts w:ascii="Times New Roman"/>
                <w:spacing w:val="-1"/>
                <w:sz w:val="18"/>
              </w:rPr>
              <w:t>157,864.51</w:t>
            </w:r>
          </w:p>
        </w:tc>
      </w:tr>
      <w:tr>
        <w:trPr>
          <w:trHeight w:val="360" w:hRule="exact"/>
        </w:trPr>
        <w:tc>
          <w:tcPr>
            <w:tcW w:w="32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7" w:lineRule="exact"/>
              <w:ind w:left="55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95" w:type="dxa"/>
            <w:tcBorders>
              <w:top w:val="single" w:sz="4" w:space="0" w:color="000000"/>
              <w:left w:val="single" w:sz="13" w:space="0" w:color="D9D9D9"/>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18"/>
                <w:szCs w:val="18"/>
              </w:rPr>
            </w:pPr>
            <w:r>
              <w:rPr>
                <w:rFonts w:ascii="Times New Roman"/>
                <w:spacing w:val="-1"/>
                <w:sz w:val="18"/>
              </w:rPr>
              <w:t>157,864.51</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157,864.51</w:t>
            </w:r>
          </w:p>
        </w:tc>
      </w:tr>
      <w:tr>
        <w:trPr>
          <w:trHeight w:val="360" w:hRule="exact"/>
        </w:trPr>
        <w:tc>
          <w:tcPr>
            <w:tcW w:w="32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7" w:lineRule="exact"/>
              <w:ind w:left="3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9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13,481,784.07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18"/>
                <w:szCs w:val="18"/>
              </w:rPr>
            </w:pPr>
            <w:r>
              <w:rPr>
                <w:rFonts w:ascii="Times New Roman"/>
                <w:spacing w:val="-1"/>
                <w:sz w:val="18"/>
              </w:rPr>
              <w:t>25,281,011.65</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38,762,795.72</w:t>
            </w:r>
          </w:p>
        </w:tc>
      </w:tr>
      <w:tr>
        <w:trPr>
          <w:trHeight w:val="360" w:hRule="exact"/>
        </w:trPr>
        <w:tc>
          <w:tcPr>
            <w:tcW w:w="32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95" w:type="dxa"/>
            <w:tcBorders>
              <w:top w:val="single" w:sz="4" w:space="0" w:color="000000"/>
              <w:left w:val="single" w:sz="13" w:space="0" w:color="D9D9D9"/>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2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7" w:lineRule="exact"/>
              <w:ind w:left="3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95" w:type="dxa"/>
            <w:tcBorders>
              <w:top w:val="single" w:sz="4" w:space="0" w:color="000000"/>
              <w:left w:val="single" w:sz="13" w:space="0" w:color="D9D9D9"/>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9"/>
              <w:jc w:val="right"/>
              <w:rPr>
                <w:rFonts w:ascii="Times New Roman" w:hAnsi="Times New Roman" w:cs="Times New Roman" w:eastAsia="Times New Roman" w:hint="default"/>
                <w:sz w:val="18"/>
                <w:szCs w:val="18"/>
              </w:rPr>
            </w:pPr>
            <w:r>
              <w:rPr>
                <w:rFonts w:ascii="Times New Roman"/>
                <w:spacing w:val="-1"/>
                <w:sz w:val="18"/>
              </w:rPr>
              <w:t>916.67</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pacing w:val="-1"/>
                <w:sz w:val="18"/>
              </w:rPr>
              <w:t>916.67</w:t>
            </w:r>
          </w:p>
        </w:tc>
      </w:tr>
      <w:tr>
        <w:trPr>
          <w:trHeight w:val="360" w:hRule="exact"/>
        </w:trPr>
        <w:tc>
          <w:tcPr>
            <w:tcW w:w="32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7" w:lineRule="exact"/>
              <w:ind w:left="3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95" w:type="dxa"/>
            <w:tcBorders>
              <w:top w:val="single" w:sz="4" w:space="0" w:color="000000"/>
              <w:left w:val="single" w:sz="13" w:space="0" w:color="D9D9D9"/>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9"/>
              <w:jc w:val="right"/>
              <w:rPr>
                <w:rFonts w:ascii="Times New Roman" w:hAnsi="Times New Roman" w:cs="Times New Roman" w:eastAsia="Times New Roman" w:hint="default"/>
                <w:sz w:val="18"/>
                <w:szCs w:val="18"/>
              </w:rPr>
            </w:pPr>
            <w:r>
              <w:rPr>
                <w:rFonts w:ascii="Times New Roman"/>
                <w:spacing w:val="-1"/>
                <w:sz w:val="18"/>
              </w:rPr>
              <w:t>238.02</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pacing w:val="-1"/>
                <w:sz w:val="18"/>
              </w:rPr>
              <w:t>238.02</w:t>
            </w:r>
          </w:p>
        </w:tc>
      </w:tr>
      <w:tr>
        <w:trPr>
          <w:trHeight w:val="360" w:hRule="exact"/>
        </w:trPr>
        <w:tc>
          <w:tcPr>
            <w:tcW w:w="32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7" w:lineRule="exact"/>
              <w:ind w:left="55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95" w:type="dxa"/>
            <w:tcBorders>
              <w:top w:val="single" w:sz="4" w:space="0" w:color="000000"/>
              <w:left w:val="single" w:sz="13" w:space="0" w:color="D9D9D9"/>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2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right="114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995" w:type="dxa"/>
            <w:tcBorders>
              <w:top w:val="single" w:sz="4" w:space="0" w:color="000000"/>
              <w:left w:val="single" w:sz="13" w:space="0" w:color="D9D9D9"/>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9"/>
              <w:jc w:val="right"/>
              <w:rPr>
                <w:rFonts w:ascii="Times New Roman" w:hAnsi="Times New Roman" w:cs="Times New Roman" w:eastAsia="Times New Roman" w:hint="default"/>
                <w:sz w:val="18"/>
                <w:szCs w:val="18"/>
              </w:rPr>
            </w:pPr>
            <w:r>
              <w:rPr>
                <w:rFonts w:ascii="Times New Roman"/>
                <w:spacing w:val="-1"/>
                <w:sz w:val="18"/>
              </w:rPr>
              <w:t>238.02</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pacing w:val="-1"/>
                <w:sz w:val="18"/>
              </w:rPr>
              <w:t>238.02</w:t>
            </w:r>
          </w:p>
        </w:tc>
      </w:tr>
      <w:tr>
        <w:trPr>
          <w:trHeight w:val="360" w:hRule="exact"/>
        </w:trPr>
        <w:tc>
          <w:tcPr>
            <w:tcW w:w="32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left="3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95" w:type="dxa"/>
            <w:tcBorders>
              <w:top w:val="single" w:sz="4" w:space="0" w:color="000000"/>
              <w:left w:val="single" w:sz="13" w:space="0" w:color="D9D9D9"/>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32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left="37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95" w:type="dxa"/>
            <w:tcBorders>
              <w:top w:val="single" w:sz="4" w:space="0" w:color="000000"/>
              <w:left w:val="single" w:sz="13" w:space="0" w:color="D9D9D9"/>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2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7" w:lineRule="exact"/>
              <w:ind w:left="3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95" w:type="dxa"/>
            <w:tcBorders>
              <w:top w:val="single" w:sz="4" w:space="0" w:color="000000"/>
              <w:left w:val="single" w:sz="13" w:space="0" w:color="D9D9D9"/>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18"/>
                <w:szCs w:val="18"/>
              </w:rPr>
            </w:pPr>
            <w:r>
              <w:rPr>
                <w:rFonts w:ascii="Times New Roman"/>
                <w:w w:val="95"/>
                <w:sz w:val="18"/>
              </w:rPr>
              <w:t>1,154.69</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w w:val="95"/>
                <w:sz w:val="18"/>
              </w:rPr>
              <w:t>1,154.69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160" w:left="166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tbl>
      <w:tblPr>
        <w:tblW w:w="0" w:type="auto"/>
        <w:jc w:val="left"/>
        <w:tblInd w:w="144" w:type="dxa"/>
        <w:tblLayout w:type="fixed"/>
        <w:tblCellMar>
          <w:top w:w="0" w:type="dxa"/>
          <w:left w:w="0" w:type="dxa"/>
          <w:bottom w:w="0" w:type="dxa"/>
          <w:right w:w="0" w:type="dxa"/>
        </w:tblCellMar>
        <w:tblLook w:val="01E0"/>
      </w:tblPr>
      <w:tblGrid>
        <w:gridCol w:w="3239"/>
        <w:gridCol w:w="1995"/>
        <w:gridCol w:w="2269"/>
        <w:gridCol w:w="1987"/>
      </w:tblGrid>
      <w:tr>
        <w:trPr>
          <w:trHeight w:val="360" w:hRule="exact"/>
        </w:trPr>
        <w:tc>
          <w:tcPr>
            <w:tcW w:w="32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95" w:type="dxa"/>
            <w:tcBorders>
              <w:top w:val="single" w:sz="4" w:space="0" w:color="000000"/>
              <w:left w:val="single" w:sz="13" w:space="0" w:color="D9D9D9"/>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2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7" w:lineRule="exact"/>
              <w:ind w:right="164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9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139,310,493.19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18"/>
                <w:szCs w:val="18"/>
              </w:rPr>
            </w:pPr>
            <w:r>
              <w:rPr>
                <w:rFonts w:ascii="Times New Roman"/>
                <w:spacing w:val="-1"/>
                <w:sz w:val="18"/>
              </w:rPr>
              <w:t>12,490,244.85</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151,800,738.04</w:t>
            </w:r>
          </w:p>
        </w:tc>
      </w:tr>
      <w:tr>
        <w:trPr>
          <w:trHeight w:val="36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right="1640"/>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134,210,822.98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0"/>
              <w:jc w:val="right"/>
              <w:rPr>
                <w:rFonts w:ascii="Times New Roman" w:hAnsi="Times New Roman" w:cs="Times New Roman" w:eastAsia="Times New Roman" w:hint="default"/>
                <w:sz w:val="18"/>
                <w:szCs w:val="18"/>
              </w:rPr>
            </w:pPr>
            <w:r>
              <w:rPr>
                <w:rFonts w:ascii="Times New Roman"/>
                <w:spacing w:val="-1"/>
                <w:sz w:val="18"/>
              </w:rPr>
              <w:t>11,484,917.25</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145,695,740.23</w:t>
            </w:r>
          </w:p>
        </w:tc>
      </w:tr>
    </w:tbl>
    <w:p>
      <w:pPr>
        <w:spacing w:after="0" w:line="240" w:lineRule="auto"/>
        <w:jc w:val="right"/>
        <w:rPr>
          <w:rFonts w:ascii="Times New Roman" w:hAnsi="Times New Roman" w:cs="Times New Roman" w:eastAsia="Times New Roman" w:hint="default"/>
          <w:sz w:val="18"/>
          <w:szCs w:val="18"/>
        </w:rPr>
        <w:sectPr>
          <w:pgSz w:w="11910" w:h="16840"/>
          <w:pgMar w:header="733" w:footer="977" w:top="960" w:bottom="1160" w:left="1660" w:right="0"/>
        </w:sectPr>
      </w:pPr>
    </w:p>
    <w:p>
      <w:pPr>
        <w:pStyle w:val="BodyText"/>
        <w:spacing w:line="217" w:lineRule="exact"/>
        <w:ind w:left="498" w:right="-18"/>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pStyle w:val="Heading4"/>
        <w:spacing w:line="240" w:lineRule="auto" w:before="102"/>
        <w:ind w:left="138" w:right="-18"/>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17"/>
          <w:szCs w:val="17"/>
        </w:rPr>
      </w:pPr>
    </w:p>
    <w:p>
      <w:pPr>
        <w:pStyle w:val="BodyText"/>
        <w:spacing w:line="240" w:lineRule="auto"/>
        <w:ind w:left="138" w:right="0"/>
        <w:jc w:val="left"/>
      </w:pPr>
      <w:r>
        <w:rPr/>
        <w:t>单位：</w:t>
      </w:r>
      <w:r>
        <w:rPr>
          <w:spacing w:val="1"/>
        </w:rPr>
        <w:t> </w:t>
      </w:r>
      <w:r>
        <w:rPr/>
        <w:t>元</w:t>
      </w:r>
    </w:p>
    <w:p>
      <w:pPr>
        <w:spacing w:after="0" w:line="240" w:lineRule="auto"/>
        <w:jc w:val="left"/>
        <w:sectPr>
          <w:type w:val="continuous"/>
          <w:pgSz w:w="11910" w:h="16840"/>
          <w:pgMar w:top="1100" w:bottom="1160" w:left="1660" w:right="0"/>
          <w:cols w:num="2" w:equalWidth="0">
            <w:col w:w="6231" w:space="1273"/>
            <w:col w:w="2746"/>
          </w:cols>
        </w:sectPr>
      </w:pPr>
    </w:p>
    <w:p>
      <w:pPr>
        <w:spacing w:line="240" w:lineRule="auto" w:before="4"/>
        <w:rPr>
          <w:rFonts w:ascii="宋体" w:hAnsi="宋体" w:cs="宋体" w:eastAsia="宋体"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3188"/>
        <w:gridCol w:w="3192"/>
        <w:gridCol w:w="3190"/>
      </w:tblGrid>
      <w:tr>
        <w:trPr>
          <w:trHeight w:val="36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1"/>
              <w:jc w:val="center"/>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36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Times New Roman" w:hAnsi="Times New Roman" w:cs="Times New Roman" w:eastAsia="Times New Roman" w:hint="default"/>
                <w:sz w:val="18"/>
                <w:szCs w:val="18"/>
              </w:rPr>
            </w:pPr>
            <w:r>
              <w:rPr>
                <w:rFonts w:ascii="Times New Roman"/>
                <w:sz w:val="18"/>
              </w:rPr>
              <w:t>29,568,965.01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正在办理中</w:t>
            </w:r>
          </w:p>
        </w:tc>
      </w:tr>
    </w:tbl>
    <w:p>
      <w:pPr>
        <w:spacing w:after="0" w:line="205" w:lineRule="exact"/>
        <w:jc w:val="center"/>
        <w:rPr>
          <w:rFonts w:ascii="宋体" w:hAnsi="宋体" w:cs="宋体" w:eastAsia="宋体" w:hint="default"/>
          <w:sz w:val="18"/>
          <w:szCs w:val="18"/>
        </w:rPr>
        <w:sectPr>
          <w:type w:val="continuous"/>
          <w:pgSz w:w="11910" w:h="16840"/>
          <w:pgMar w:top="1100" w:bottom="1160" w:left="1660" w:right="0"/>
        </w:sectPr>
      </w:pPr>
    </w:p>
    <w:p>
      <w:pPr>
        <w:pStyle w:val="Heading4"/>
        <w:spacing w:line="245" w:lineRule="exact"/>
        <w:ind w:left="138" w:right="-20"/>
        <w:jc w:val="left"/>
        <w:rPr>
          <w:b w:val="0"/>
          <w:bCs w:val="0"/>
        </w:rPr>
      </w:pPr>
      <w:r>
        <w:rPr>
          <w:rFonts w:ascii="Times New Roman" w:hAnsi="Times New Roman" w:cs="Times New Roman" w:eastAsia="Times New Roman" w:hint="default"/>
        </w:rPr>
        <w:t>14</w:t>
      </w:r>
      <w:r>
        <w:rPr/>
        <w:t>、开发支出</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pStyle w:val="BodyText"/>
        <w:spacing w:line="240" w:lineRule="auto" w:before="121"/>
        <w:ind w:left="138" w:right="0"/>
        <w:jc w:val="left"/>
      </w:pPr>
      <w:r>
        <w:rPr/>
        <w:t>单位：</w:t>
      </w:r>
      <w:r>
        <w:rPr>
          <w:spacing w:val="1"/>
        </w:rPr>
        <w:t> </w:t>
      </w:r>
      <w:r>
        <w:rPr/>
        <w:t>元</w:t>
      </w:r>
    </w:p>
    <w:p>
      <w:pPr>
        <w:spacing w:after="0" w:line="240" w:lineRule="auto"/>
        <w:jc w:val="left"/>
        <w:sectPr>
          <w:type w:val="continuous"/>
          <w:pgSz w:w="11910" w:h="16840"/>
          <w:pgMar w:top="1100" w:bottom="1160" w:left="1660" w:right="0"/>
          <w:cols w:num="2" w:equalWidth="0">
            <w:col w:w="1343" w:space="6161"/>
            <w:col w:w="2746"/>
          </w:cols>
        </w:sectPr>
      </w:pPr>
    </w:p>
    <w:p>
      <w:pPr>
        <w:spacing w:line="240" w:lineRule="auto" w:before="4"/>
        <w:rPr>
          <w:rFonts w:ascii="宋体" w:hAnsi="宋体" w:cs="宋体" w:eastAsia="宋体"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1063"/>
        <w:gridCol w:w="1064"/>
        <w:gridCol w:w="1702"/>
        <w:gridCol w:w="1136"/>
        <w:gridCol w:w="1558"/>
        <w:gridCol w:w="1419"/>
        <w:gridCol w:w="1700"/>
      </w:tblGrid>
      <w:tr>
        <w:trPr>
          <w:trHeight w:val="360" w:hRule="exact"/>
        </w:trPr>
        <w:tc>
          <w:tcPr>
            <w:tcW w:w="106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47"/>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7"/>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8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87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9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940"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7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7"/>
              <w:ind w:left="48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0" w:hRule="exact"/>
        </w:trPr>
        <w:tc>
          <w:tcPr>
            <w:tcW w:w="1063" w:type="dxa"/>
            <w:vMerge/>
            <w:tcBorders>
              <w:left w:val="single" w:sz="4" w:space="0" w:color="000000"/>
              <w:bottom w:val="single" w:sz="4" w:space="0" w:color="000000"/>
              <w:right w:val="single" w:sz="4" w:space="0" w:color="000000"/>
            </w:tcBorders>
            <w:shd w:val="clear" w:color="auto" w:fill="D9D9D9"/>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304"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其他</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41"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6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700" w:type="dxa"/>
            <w:vMerge/>
            <w:tcBorders>
              <w:left w:val="single" w:sz="4" w:space="0" w:color="000000"/>
              <w:bottom w:val="single" w:sz="4" w:space="0" w:color="000000"/>
              <w:right w:val="single" w:sz="4" w:space="0" w:color="000000"/>
            </w:tcBorders>
            <w:shd w:val="clear" w:color="auto" w:fill="D2D2D2"/>
          </w:tcPr>
          <w:p>
            <w:pPr/>
          </w:p>
        </w:tc>
      </w:tr>
      <w:tr>
        <w:trPr>
          <w:trHeight w:val="360" w:hRule="exact"/>
        </w:trPr>
        <w:tc>
          <w:tcPr>
            <w:tcW w:w="10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right="309"/>
              <w:jc w:val="right"/>
              <w:rPr>
                <w:rFonts w:ascii="宋体" w:hAnsi="宋体" w:cs="宋体" w:eastAsia="宋体" w:hint="default"/>
                <w:sz w:val="18"/>
                <w:szCs w:val="18"/>
              </w:rPr>
            </w:pPr>
            <w:r>
              <w:rPr>
                <w:rFonts w:ascii="宋体" w:hAnsi="宋体" w:cs="宋体" w:eastAsia="宋体" w:hint="default"/>
                <w:sz w:val="18"/>
                <w:szCs w:val="18"/>
              </w:rPr>
              <w:t>研发支出</w:t>
            </w:r>
          </w:p>
        </w:tc>
        <w:tc>
          <w:tcPr>
            <w:tcW w:w="10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359,029,719.13</w:t>
            </w:r>
          </w:p>
        </w:tc>
        <w:tc>
          <w:tcPr>
            <w:tcW w:w="113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359,029,719.13</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347"/>
              <w:jc w:val="righ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359,029,719.13</w:t>
            </w:r>
          </w:p>
        </w:tc>
        <w:tc>
          <w:tcPr>
            <w:tcW w:w="113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359,029,719.13</w:t>
            </w:r>
          </w:p>
        </w:tc>
        <w:tc>
          <w:tcPr>
            <w:tcW w:w="17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160" w:left="1660" w:right="0"/>
        </w:sectPr>
      </w:pPr>
    </w:p>
    <w:p>
      <w:pPr>
        <w:pStyle w:val="Heading4"/>
        <w:spacing w:line="245" w:lineRule="exact"/>
        <w:ind w:left="138" w:right="0"/>
        <w:jc w:val="left"/>
        <w:rPr>
          <w:b w:val="0"/>
          <w:bCs w:val="0"/>
        </w:rPr>
      </w:pPr>
      <w:r>
        <w:rPr>
          <w:rFonts w:ascii="Times New Roman" w:hAnsi="Times New Roman" w:cs="Times New Roman" w:eastAsia="Times New Roman" w:hint="default"/>
        </w:rPr>
        <w:t>15</w:t>
      </w:r>
      <w:r>
        <w:rPr/>
        <w:t>、商誉</w:t>
      </w:r>
      <w:r>
        <w:rPr>
          <w:b w:val="0"/>
          <w:bCs w:val="0"/>
        </w:rPr>
      </w:r>
    </w:p>
    <w:p>
      <w:pPr>
        <w:pStyle w:val="Heading4"/>
        <w:spacing w:line="240" w:lineRule="auto" w:before="112"/>
        <w:ind w:left="138" w:right="0"/>
        <w:jc w:val="left"/>
        <w:rPr>
          <w:b w:val="0"/>
          <w:bCs w:val="0"/>
        </w:rPr>
      </w:pPr>
      <w:r>
        <w:rPr>
          <w:w w:val="95"/>
        </w:rPr>
        <w:t>（</w:t>
      </w:r>
      <w:r>
        <w:rPr>
          <w:rFonts w:ascii="Times New Roman" w:hAnsi="Times New Roman" w:cs="Times New Roman" w:eastAsia="Times New Roman" w:hint="default"/>
          <w:w w:val="95"/>
        </w:rPr>
        <w:t>1</w:t>
      </w:r>
      <w:r>
        <w:rPr>
          <w:w w:val="95"/>
        </w:rPr>
        <w:t>）商誉账面原值</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12"/>
        <w:rPr>
          <w:rFonts w:ascii="宋体" w:hAnsi="宋体" w:cs="宋体" w:eastAsia="宋体" w:hint="default"/>
          <w:b/>
          <w:bCs/>
          <w:sz w:val="20"/>
          <w:szCs w:val="20"/>
        </w:rPr>
      </w:pPr>
    </w:p>
    <w:p>
      <w:pPr>
        <w:pStyle w:val="BodyText"/>
        <w:spacing w:line="240" w:lineRule="auto"/>
        <w:ind w:left="138" w:right="0"/>
        <w:jc w:val="left"/>
      </w:pPr>
      <w:r>
        <w:rPr/>
        <w:t>单位：</w:t>
      </w:r>
      <w:r>
        <w:rPr>
          <w:spacing w:val="1"/>
        </w:rPr>
        <w:t> </w:t>
      </w:r>
      <w:r>
        <w:rPr/>
        <w:t>元</w:t>
      </w:r>
    </w:p>
    <w:p>
      <w:pPr>
        <w:spacing w:after="0" w:line="240" w:lineRule="auto"/>
        <w:jc w:val="left"/>
        <w:sectPr>
          <w:type w:val="continuous"/>
          <w:pgSz w:w="11910" w:h="16840"/>
          <w:pgMar w:top="1100" w:bottom="1160" w:left="1660" w:right="0"/>
          <w:cols w:num="2" w:equalWidth="0">
            <w:col w:w="1844" w:space="5660"/>
            <w:col w:w="2746"/>
          </w:cols>
        </w:sectPr>
      </w:pPr>
    </w:p>
    <w:p>
      <w:pPr>
        <w:spacing w:line="240" w:lineRule="auto" w:before="4"/>
        <w:rPr>
          <w:rFonts w:ascii="宋体" w:hAnsi="宋体" w:cs="宋体" w:eastAsia="宋体" w:hint="default"/>
          <w:sz w:val="11"/>
          <w:szCs w:val="11"/>
        </w:rPr>
      </w:pPr>
    </w:p>
    <w:tbl>
      <w:tblPr>
        <w:tblW w:w="0" w:type="auto"/>
        <w:jc w:val="left"/>
        <w:tblInd w:w="144" w:type="dxa"/>
        <w:tblLayout w:type="fixed"/>
        <w:tblCellMar>
          <w:top w:w="0" w:type="dxa"/>
          <w:left w:w="0" w:type="dxa"/>
          <w:bottom w:w="0" w:type="dxa"/>
          <w:right w:w="0" w:type="dxa"/>
        </w:tblCellMar>
        <w:tblLook w:val="01E0"/>
      </w:tblPr>
      <w:tblGrid>
        <w:gridCol w:w="3098"/>
        <w:gridCol w:w="1428"/>
        <w:gridCol w:w="1419"/>
        <w:gridCol w:w="566"/>
        <w:gridCol w:w="567"/>
        <w:gridCol w:w="1116"/>
        <w:gridCol w:w="1366"/>
      </w:tblGrid>
      <w:tr>
        <w:trPr>
          <w:trHeight w:val="185" w:hRule="exact"/>
        </w:trPr>
        <w:tc>
          <w:tcPr>
            <w:tcW w:w="3098" w:type="dxa"/>
            <w:tcBorders>
              <w:top w:val="single" w:sz="4" w:space="0" w:color="000000"/>
              <w:left w:val="single" w:sz="4" w:space="0" w:color="000000"/>
              <w:bottom w:val="nil" w:sz="6" w:space="0" w:color="auto"/>
              <w:right w:val="single" w:sz="4" w:space="0" w:color="000000"/>
            </w:tcBorders>
            <w:shd w:val="clear" w:color="auto" w:fill="D9D9D9"/>
          </w:tcPr>
          <w:p>
            <w:pPr/>
          </w:p>
        </w:tc>
        <w:tc>
          <w:tcPr>
            <w:tcW w:w="1428" w:type="dxa"/>
            <w:tcBorders>
              <w:top w:val="single" w:sz="4" w:space="0" w:color="000000"/>
              <w:left w:val="single" w:sz="4" w:space="0" w:color="000000"/>
              <w:bottom w:val="nil" w:sz="6" w:space="0" w:color="auto"/>
              <w:right w:val="single" w:sz="4" w:space="0" w:color="000000"/>
            </w:tcBorders>
            <w:shd w:val="clear" w:color="auto" w:fill="D9D9D9"/>
          </w:tcPr>
          <w:p>
            <w:pPr/>
          </w:p>
        </w:tc>
        <w:tc>
          <w:tcPr>
            <w:tcW w:w="1985"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203" w:lineRule="exact"/>
              <w:ind w:left="62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83"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203" w:lineRule="exact"/>
              <w:ind w:left="47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13" w:space="0" w:color="D9D9D9"/>
              <w:right w:val="single" w:sz="4" w:space="0" w:color="000000"/>
            </w:tcBorders>
            <w:shd w:val="clear" w:color="auto" w:fill="D2D2D2"/>
          </w:tcPr>
          <w:p>
            <w:pPr>
              <w:pStyle w:val="TableParagraph"/>
              <w:spacing w:line="240" w:lineRule="auto" w:before="147"/>
              <w:ind w:left="30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75" w:hRule="exact"/>
        </w:trPr>
        <w:tc>
          <w:tcPr>
            <w:tcW w:w="3098" w:type="dxa"/>
            <w:vMerge w:val="restart"/>
            <w:tcBorders>
              <w:top w:val="nil" w:sz="6" w:space="0" w:color="auto"/>
              <w:left w:val="single" w:sz="4" w:space="0" w:color="000000"/>
              <w:right w:val="single" w:sz="4" w:space="0" w:color="000000"/>
            </w:tcBorders>
            <w:shd w:val="clear" w:color="auto" w:fill="D9D9D9"/>
          </w:tcPr>
          <w:p>
            <w:pPr>
              <w:pStyle w:val="TableParagraph"/>
              <w:spacing w:line="203" w:lineRule="exact"/>
              <w:ind w:left="190"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428" w:type="dxa"/>
            <w:vMerge w:val="restart"/>
            <w:tcBorders>
              <w:top w:val="nil" w:sz="6" w:space="0" w:color="auto"/>
              <w:left w:val="single" w:sz="4" w:space="0" w:color="000000"/>
              <w:right w:val="single" w:sz="4" w:space="0" w:color="000000"/>
            </w:tcBorders>
            <w:shd w:val="clear" w:color="auto" w:fill="D9D9D9"/>
          </w:tcPr>
          <w:p>
            <w:pPr>
              <w:pStyle w:val="TableParagraph"/>
              <w:spacing w:line="203" w:lineRule="exact"/>
              <w:ind w:left="35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85" w:type="dxa"/>
            <w:gridSpan w:val="2"/>
            <w:vMerge/>
            <w:tcBorders>
              <w:left w:val="single" w:sz="4" w:space="0" w:color="000000"/>
              <w:bottom w:val="single" w:sz="4" w:space="0" w:color="000000"/>
              <w:right w:val="single" w:sz="4" w:space="0" w:color="000000"/>
            </w:tcBorders>
            <w:shd w:val="clear" w:color="auto" w:fill="D9D9D9"/>
          </w:tcPr>
          <w:p>
            <w:pPr/>
          </w:p>
        </w:tc>
        <w:tc>
          <w:tcPr>
            <w:tcW w:w="1683" w:type="dxa"/>
            <w:gridSpan w:val="2"/>
            <w:vMerge/>
            <w:tcBorders>
              <w:left w:val="single" w:sz="4" w:space="0" w:color="000000"/>
              <w:bottom w:val="single" w:sz="4" w:space="0" w:color="000000"/>
              <w:right w:val="single" w:sz="4" w:space="0" w:color="000000"/>
            </w:tcBorders>
            <w:shd w:val="clear" w:color="auto" w:fill="D9D9D9"/>
          </w:tcPr>
          <w:p>
            <w:pPr/>
          </w:p>
        </w:tc>
        <w:tc>
          <w:tcPr>
            <w:tcW w:w="1366" w:type="dxa"/>
            <w:vMerge/>
            <w:tcBorders>
              <w:left w:val="single" w:sz="13" w:space="0" w:color="D9D9D9"/>
              <w:right w:val="single" w:sz="4" w:space="0" w:color="000000"/>
            </w:tcBorders>
            <w:shd w:val="clear" w:color="auto" w:fill="D2D2D2"/>
          </w:tcPr>
          <w:p>
            <w:pPr/>
          </w:p>
        </w:tc>
      </w:tr>
      <w:tr>
        <w:trPr>
          <w:trHeight w:val="176" w:hRule="exact"/>
        </w:trPr>
        <w:tc>
          <w:tcPr>
            <w:tcW w:w="3098" w:type="dxa"/>
            <w:vMerge/>
            <w:tcBorders>
              <w:left w:val="single" w:sz="4" w:space="0" w:color="000000"/>
              <w:bottom w:val="nil" w:sz="6" w:space="0" w:color="auto"/>
              <w:right w:val="single" w:sz="4" w:space="0" w:color="000000"/>
            </w:tcBorders>
            <w:shd w:val="clear" w:color="auto" w:fill="D9D9D9"/>
          </w:tcPr>
          <w:p>
            <w:pPr/>
          </w:p>
        </w:tc>
        <w:tc>
          <w:tcPr>
            <w:tcW w:w="1428" w:type="dxa"/>
            <w:vMerge/>
            <w:tcBorders>
              <w:left w:val="single" w:sz="4" w:space="0" w:color="000000"/>
              <w:bottom w:val="nil" w:sz="6" w:space="0" w:color="auto"/>
              <w:right w:val="single" w:sz="4" w:space="0" w:color="000000"/>
            </w:tcBorders>
            <w:shd w:val="clear" w:color="auto" w:fill="D9D9D9"/>
          </w:tcPr>
          <w:p>
            <w:pPr/>
          </w:p>
        </w:tc>
        <w:tc>
          <w:tcPr>
            <w:tcW w:w="1419" w:type="dxa"/>
            <w:vMerge w:val="restart"/>
            <w:tcBorders>
              <w:top w:val="single" w:sz="4" w:space="0" w:color="000000"/>
              <w:left w:val="single" w:sz="4" w:space="0" w:color="000000"/>
              <w:right w:val="single" w:sz="4" w:space="0" w:color="000000"/>
            </w:tcBorders>
            <w:shd w:val="clear" w:color="auto" w:fill="D9D9D9"/>
          </w:tcPr>
          <w:p>
            <w:pPr>
              <w:pStyle w:val="TableParagraph"/>
              <w:spacing w:line="203" w:lineRule="exact"/>
              <w:ind w:left="71"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566" w:type="dxa"/>
            <w:vMerge w:val="restart"/>
            <w:tcBorders>
              <w:top w:val="single" w:sz="4" w:space="0" w:color="000000"/>
              <w:left w:val="single" w:sz="4" w:space="0" w:color="000000"/>
              <w:right w:val="single" w:sz="4" w:space="0" w:color="000000"/>
            </w:tcBorders>
            <w:shd w:val="clear" w:color="auto" w:fill="D9D9D9"/>
          </w:tcPr>
          <w:p>
            <w:pPr>
              <w:pStyle w:val="TableParagraph"/>
              <w:spacing w:line="203" w:lineRule="exact"/>
              <w:ind w:left="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7" w:type="dxa"/>
            <w:vMerge w:val="restart"/>
            <w:tcBorders>
              <w:top w:val="single" w:sz="4" w:space="0" w:color="000000"/>
              <w:left w:val="single" w:sz="4" w:space="0" w:color="000000"/>
              <w:right w:val="single" w:sz="4" w:space="0" w:color="000000"/>
            </w:tcBorders>
            <w:shd w:val="clear" w:color="auto" w:fill="D9D9D9"/>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116" w:type="dxa"/>
            <w:vMerge w:val="restart"/>
            <w:tcBorders>
              <w:top w:val="single" w:sz="4" w:space="0" w:color="000000"/>
              <w:left w:val="single" w:sz="4" w:space="0" w:color="000000"/>
              <w:right w:val="single" w:sz="4" w:space="0" w:color="000000"/>
            </w:tcBorders>
            <w:shd w:val="clear" w:color="auto" w:fill="D9D9D9"/>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vMerge/>
            <w:tcBorders>
              <w:left w:val="single" w:sz="13" w:space="0" w:color="D9D9D9"/>
              <w:right w:val="single" w:sz="4" w:space="0" w:color="000000"/>
            </w:tcBorders>
            <w:shd w:val="clear" w:color="auto" w:fill="D2D2D2"/>
          </w:tcPr>
          <w:p>
            <w:pPr/>
          </w:p>
        </w:tc>
      </w:tr>
      <w:tr>
        <w:trPr>
          <w:trHeight w:val="185" w:hRule="exact"/>
        </w:trPr>
        <w:tc>
          <w:tcPr>
            <w:tcW w:w="3098" w:type="dxa"/>
            <w:tcBorders>
              <w:top w:val="nil" w:sz="6" w:space="0" w:color="auto"/>
              <w:left w:val="single" w:sz="4" w:space="0" w:color="000000"/>
              <w:bottom w:val="single" w:sz="4" w:space="0" w:color="000000"/>
              <w:right w:val="single" w:sz="4" w:space="0" w:color="000000"/>
            </w:tcBorders>
            <w:shd w:val="clear" w:color="auto" w:fill="D9D9D9"/>
          </w:tcPr>
          <w:p>
            <w:pPr/>
          </w:p>
        </w:tc>
        <w:tc>
          <w:tcPr>
            <w:tcW w:w="1428" w:type="dxa"/>
            <w:tcBorders>
              <w:top w:val="nil" w:sz="6" w:space="0" w:color="auto"/>
              <w:left w:val="single" w:sz="4" w:space="0" w:color="000000"/>
              <w:bottom w:val="single" w:sz="4" w:space="0" w:color="000000"/>
              <w:right w:val="single" w:sz="4" w:space="0" w:color="000000"/>
            </w:tcBorders>
            <w:shd w:val="clear" w:color="auto" w:fill="D9D9D9"/>
          </w:tcPr>
          <w:p>
            <w:pPr/>
          </w:p>
        </w:tc>
        <w:tc>
          <w:tcPr>
            <w:tcW w:w="1419" w:type="dxa"/>
            <w:vMerge/>
            <w:tcBorders>
              <w:left w:val="single" w:sz="4" w:space="0" w:color="000000"/>
              <w:bottom w:val="single" w:sz="4" w:space="0" w:color="000000"/>
              <w:right w:val="single" w:sz="4" w:space="0" w:color="000000"/>
            </w:tcBorders>
            <w:shd w:val="clear" w:color="auto" w:fill="D9D9D9"/>
          </w:tcPr>
          <w:p>
            <w:pPr/>
          </w:p>
        </w:tc>
        <w:tc>
          <w:tcPr>
            <w:tcW w:w="566" w:type="dxa"/>
            <w:vMerge/>
            <w:tcBorders>
              <w:left w:val="single" w:sz="4" w:space="0" w:color="000000"/>
              <w:bottom w:val="single" w:sz="4" w:space="0" w:color="000000"/>
              <w:right w:val="single" w:sz="4" w:space="0" w:color="000000"/>
            </w:tcBorders>
            <w:shd w:val="clear" w:color="auto" w:fill="D9D9D9"/>
          </w:tcPr>
          <w:p>
            <w:pPr/>
          </w:p>
        </w:tc>
        <w:tc>
          <w:tcPr>
            <w:tcW w:w="567" w:type="dxa"/>
            <w:vMerge/>
            <w:tcBorders>
              <w:left w:val="single" w:sz="4" w:space="0" w:color="000000"/>
              <w:bottom w:val="single" w:sz="4" w:space="0" w:color="000000"/>
              <w:right w:val="single" w:sz="4" w:space="0" w:color="000000"/>
            </w:tcBorders>
            <w:shd w:val="clear" w:color="auto" w:fill="D9D9D9"/>
          </w:tcPr>
          <w:p>
            <w:pPr/>
          </w:p>
        </w:tc>
        <w:tc>
          <w:tcPr>
            <w:tcW w:w="1116" w:type="dxa"/>
            <w:vMerge/>
            <w:tcBorders>
              <w:left w:val="single" w:sz="4" w:space="0" w:color="000000"/>
              <w:bottom w:val="single" w:sz="4" w:space="0" w:color="000000"/>
              <w:right w:val="single" w:sz="4" w:space="0" w:color="000000"/>
            </w:tcBorders>
            <w:shd w:val="clear" w:color="auto" w:fill="D9D9D9"/>
          </w:tcPr>
          <w:p>
            <w:pPr/>
          </w:p>
        </w:tc>
        <w:tc>
          <w:tcPr>
            <w:tcW w:w="1366" w:type="dxa"/>
            <w:vMerge/>
            <w:tcBorders>
              <w:left w:val="single" w:sz="13" w:space="0" w:color="D9D9D9"/>
              <w:bottom w:val="single" w:sz="4" w:space="0" w:color="000000"/>
              <w:right w:val="single" w:sz="4" w:space="0" w:color="000000"/>
            </w:tcBorders>
            <w:shd w:val="clear" w:color="auto" w:fill="D2D2D2"/>
          </w:tcPr>
          <w:p>
            <w:pPr/>
          </w:p>
        </w:tc>
      </w:tr>
      <w:tr>
        <w:trPr>
          <w:trHeight w:val="360" w:hRule="exact"/>
        </w:trPr>
        <w:tc>
          <w:tcPr>
            <w:tcW w:w="30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深圳广电银通金融电子科技有限公司</w:t>
            </w:r>
          </w:p>
        </w:tc>
        <w:tc>
          <w:tcPr>
            <w:tcW w:w="142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pacing w:val="-1"/>
                <w:sz w:val="18"/>
              </w:rPr>
              <w:t>946,852.52</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pacing w:val="-1"/>
                <w:sz w:val="18"/>
              </w:rPr>
              <w:t>946,852.52</w:t>
            </w:r>
          </w:p>
        </w:tc>
      </w:tr>
      <w:tr>
        <w:trPr>
          <w:trHeight w:val="360" w:hRule="exact"/>
        </w:trPr>
        <w:tc>
          <w:tcPr>
            <w:tcW w:w="30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深圳市创自技术有限公司</w:t>
            </w:r>
          </w:p>
        </w:tc>
        <w:tc>
          <w:tcPr>
            <w:tcW w:w="142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104,450,394.76</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104,450,394.76</w:t>
            </w:r>
          </w:p>
        </w:tc>
      </w:tr>
      <w:tr>
        <w:trPr>
          <w:trHeight w:val="710" w:hRule="exact"/>
        </w:trPr>
        <w:tc>
          <w:tcPr>
            <w:tcW w:w="30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10" w:right="0"/>
              <w:jc w:val="left"/>
              <w:rPr>
                <w:rFonts w:ascii="宋体" w:hAnsi="宋体" w:cs="宋体" w:eastAsia="宋体" w:hint="default"/>
                <w:sz w:val="18"/>
                <w:szCs w:val="18"/>
              </w:rPr>
            </w:pPr>
            <w:r>
              <w:rPr>
                <w:rFonts w:ascii="宋体" w:hAnsi="宋体" w:cs="宋体" w:eastAsia="宋体" w:hint="default"/>
                <w:sz w:val="18"/>
                <w:szCs w:val="18"/>
              </w:rPr>
              <w:t>宜昌市金牛押运护卫保安服务有限责任</w:t>
            </w:r>
          </w:p>
          <w:p>
            <w:pPr>
              <w:pStyle w:val="TableParagraph"/>
              <w:spacing w:line="240" w:lineRule="auto" w:before="112"/>
              <w:ind w:left="1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2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69,022.39</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69,022.39</w:t>
            </w:r>
          </w:p>
        </w:tc>
      </w:tr>
      <w:tr>
        <w:trPr>
          <w:trHeight w:val="360" w:hRule="exact"/>
        </w:trPr>
        <w:tc>
          <w:tcPr>
            <w:tcW w:w="30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10" w:right="0"/>
              <w:jc w:val="left"/>
              <w:rPr>
                <w:rFonts w:ascii="宋体" w:hAnsi="宋体" w:cs="宋体" w:eastAsia="宋体" w:hint="default"/>
                <w:sz w:val="18"/>
                <w:szCs w:val="18"/>
              </w:rPr>
            </w:pPr>
            <w:r>
              <w:rPr>
                <w:rFonts w:ascii="宋体" w:hAnsi="宋体" w:cs="宋体" w:eastAsia="宋体" w:hint="default"/>
                <w:sz w:val="18"/>
                <w:szCs w:val="18"/>
              </w:rPr>
              <w:t>商洛市金盾押运有限责任公司</w:t>
            </w:r>
          </w:p>
        </w:tc>
        <w:tc>
          <w:tcPr>
            <w:tcW w:w="142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pacing w:val="-1"/>
                <w:sz w:val="18"/>
              </w:rPr>
              <w:t>7,349,628.70</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pacing w:val="-1"/>
                <w:sz w:val="18"/>
              </w:rPr>
              <w:t>7,349,628.70</w:t>
            </w:r>
          </w:p>
        </w:tc>
      </w:tr>
      <w:tr>
        <w:trPr>
          <w:trHeight w:val="360" w:hRule="exact"/>
        </w:trPr>
        <w:tc>
          <w:tcPr>
            <w:tcW w:w="30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10" w:right="0"/>
              <w:jc w:val="left"/>
              <w:rPr>
                <w:rFonts w:ascii="宋体" w:hAnsi="宋体" w:cs="宋体" w:eastAsia="宋体" w:hint="default"/>
                <w:sz w:val="18"/>
                <w:szCs w:val="18"/>
              </w:rPr>
            </w:pPr>
            <w:r>
              <w:rPr>
                <w:rFonts w:ascii="宋体" w:hAnsi="宋体" w:cs="宋体" w:eastAsia="宋体" w:hint="default"/>
                <w:sz w:val="18"/>
                <w:szCs w:val="18"/>
              </w:rPr>
              <w:t>邵阳市保安服务有限责任公司</w:t>
            </w:r>
          </w:p>
        </w:tc>
        <w:tc>
          <w:tcPr>
            <w:tcW w:w="142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86,016,126.37</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86,016,126.37</w:t>
            </w:r>
          </w:p>
        </w:tc>
      </w:tr>
      <w:tr>
        <w:trPr>
          <w:trHeight w:val="362" w:hRule="exact"/>
        </w:trPr>
        <w:tc>
          <w:tcPr>
            <w:tcW w:w="30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10" w:right="0"/>
              <w:jc w:val="left"/>
              <w:rPr>
                <w:rFonts w:ascii="宋体" w:hAnsi="宋体" w:cs="宋体" w:eastAsia="宋体" w:hint="default"/>
                <w:sz w:val="18"/>
                <w:szCs w:val="18"/>
              </w:rPr>
            </w:pPr>
            <w:r>
              <w:rPr>
                <w:rFonts w:ascii="宋体" w:hAnsi="宋体" w:cs="宋体" w:eastAsia="宋体" w:hint="default"/>
                <w:sz w:val="18"/>
                <w:szCs w:val="18"/>
              </w:rPr>
              <w:t>武威市神威保安守押有限责任公司</w:t>
            </w:r>
          </w:p>
        </w:tc>
        <w:tc>
          <w:tcPr>
            <w:tcW w:w="142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13,860,917.93</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13,860,917.93</w:t>
            </w:r>
          </w:p>
        </w:tc>
      </w:tr>
      <w:tr>
        <w:trPr>
          <w:trHeight w:val="360" w:hRule="exact"/>
        </w:trPr>
        <w:tc>
          <w:tcPr>
            <w:tcW w:w="30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兴安盟威信保安守押服务有限责任公司</w:t>
            </w:r>
          </w:p>
        </w:tc>
        <w:tc>
          <w:tcPr>
            <w:tcW w:w="142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707,499.91</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707,499.91</w:t>
            </w:r>
          </w:p>
        </w:tc>
      </w:tr>
      <w:tr>
        <w:trPr>
          <w:trHeight w:val="361" w:hRule="exact"/>
        </w:trPr>
        <w:tc>
          <w:tcPr>
            <w:tcW w:w="30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4" w:lineRule="exact"/>
              <w:ind w:left="10" w:right="0"/>
              <w:jc w:val="left"/>
              <w:rPr>
                <w:rFonts w:ascii="宋体" w:hAnsi="宋体" w:cs="宋体" w:eastAsia="宋体" w:hint="default"/>
                <w:sz w:val="18"/>
                <w:szCs w:val="18"/>
              </w:rPr>
            </w:pPr>
            <w:r>
              <w:rPr>
                <w:rFonts w:ascii="宋体" w:hAnsi="宋体" w:cs="宋体" w:eastAsia="宋体" w:hint="default"/>
                <w:sz w:val="18"/>
                <w:szCs w:val="18"/>
              </w:rPr>
              <w:t>巴彦淖尔天力保押有限责任公司</w:t>
            </w:r>
          </w:p>
        </w:tc>
        <w:tc>
          <w:tcPr>
            <w:tcW w:w="142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18"/>
                <w:szCs w:val="18"/>
              </w:rPr>
            </w:pPr>
            <w:r>
              <w:rPr>
                <w:rFonts w:ascii="Times New Roman"/>
                <w:spacing w:val="-1"/>
                <w:sz w:val="18"/>
              </w:rPr>
              <w:t>20,020,597.80</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18"/>
                <w:szCs w:val="18"/>
              </w:rPr>
            </w:pPr>
            <w:r>
              <w:rPr>
                <w:rFonts w:ascii="Times New Roman"/>
                <w:spacing w:val="-1"/>
                <w:sz w:val="18"/>
              </w:rPr>
              <w:t>20,020,597.80</w:t>
            </w:r>
          </w:p>
        </w:tc>
      </w:tr>
      <w:tr>
        <w:trPr>
          <w:trHeight w:val="360" w:hRule="exact"/>
        </w:trPr>
        <w:tc>
          <w:tcPr>
            <w:tcW w:w="30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西安金盾押运有限公司</w:t>
            </w:r>
          </w:p>
        </w:tc>
        <w:tc>
          <w:tcPr>
            <w:tcW w:w="142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32,676,926.40</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32,676,926.40</w:t>
            </w:r>
          </w:p>
        </w:tc>
      </w:tr>
      <w:tr>
        <w:trPr>
          <w:trHeight w:val="360" w:hRule="exact"/>
        </w:trPr>
        <w:tc>
          <w:tcPr>
            <w:tcW w:w="30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海南警锐押运护卫有限公司</w:t>
            </w:r>
          </w:p>
        </w:tc>
        <w:tc>
          <w:tcPr>
            <w:tcW w:w="142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14,855,511.06</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14,855,511.06</w:t>
            </w:r>
          </w:p>
        </w:tc>
      </w:tr>
      <w:tr>
        <w:trPr>
          <w:trHeight w:val="360" w:hRule="exact"/>
        </w:trPr>
        <w:tc>
          <w:tcPr>
            <w:tcW w:w="30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榆林市神鹰护卫有限责任公司</w:t>
            </w:r>
          </w:p>
        </w:tc>
        <w:tc>
          <w:tcPr>
            <w:tcW w:w="142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10,054,173.17</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10,054,173.17</w:t>
            </w:r>
          </w:p>
        </w:tc>
      </w:tr>
      <w:tr>
        <w:trPr>
          <w:trHeight w:val="360" w:hRule="exact"/>
        </w:trPr>
        <w:tc>
          <w:tcPr>
            <w:tcW w:w="30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新余市保安服务有限公司</w:t>
            </w:r>
          </w:p>
        </w:tc>
        <w:tc>
          <w:tcPr>
            <w:tcW w:w="142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10,797,386.84</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10,797,386.84</w:t>
            </w:r>
          </w:p>
        </w:tc>
      </w:tr>
      <w:tr>
        <w:trPr>
          <w:trHeight w:val="360" w:hRule="exact"/>
        </w:trPr>
        <w:tc>
          <w:tcPr>
            <w:tcW w:w="30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文山州金盾保安守护押运有限责任公司</w:t>
            </w:r>
          </w:p>
        </w:tc>
        <w:tc>
          <w:tcPr>
            <w:tcW w:w="142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11,486,574.62</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11,486,574.62</w:t>
            </w:r>
          </w:p>
        </w:tc>
      </w:tr>
      <w:tr>
        <w:trPr>
          <w:trHeight w:val="360" w:hRule="exact"/>
        </w:trPr>
        <w:tc>
          <w:tcPr>
            <w:tcW w:w="30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新疆阿帕奇武装守护押运有限公司</w:t>
            </w:r>
          </w:p>
        </w:tc>
        <w:tc>
          <w:tcPr>
            <w:tcW w:w="142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1,374,476.82</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1,374,476.82</w:t>
            </w:r>
          </w:p>
        </w:tc>
      </w:tr>
      <w:tr>
        <w:trPr>
          <w:trHeight w:val="360" w:hRule="exact"/>
        </w:trPr>
        <w:tc>
          <w:tcPr>
            <w:tcW w:w="30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黔南州蓝盾武装护运有限责任公司</w:t>
            </w:r>
          </w:p>
        </w:tc>
        <w:tc>
          <w:tcPr>
            <w:tcW w:w="142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5,305,011.05</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5,305,011.05</w:t>
            </w:r>
          </w:p>
        </w:tc>
      </w:tr>
      <w:tr>
        <w:trPr>
          <w:trHeight w:val="360" w:hRule="exact"/>
        </w:trPr>
        <w:tc>
          <w:tcPr>
            <w:tcW w:w="30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资阳保安有限责任公司</w:t>
            </w:r>
          </w:p>
        </w:tc>
        <w:tc>
          <w:tcPr>
            <w:tcW w:w="142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pacing w:val="-1"/>
                <w:sz w:val="18"/>
              </w:rPr>
              <w:t>4,316,476.36</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pacing w:val="-1"/>
                <w:sz w:val="18"/>
              </w:rPr>
              <w:t>4,316,476.36</w:t>
            </w:r>
          </w:p>
        </w:tc>
      </w:tr>
      <w:tr>
        <w:trPr>
          <w:trHeight w:val="360" w:hRule="exact"/>
        </w:trPr>
        <w:tc>
          <w:tcPr>
            <w:tcW w:w="30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平顶山鹰翔保安押运有限公司</w:t>
            </w:r>
          </w:p>
        </w:tc>
        <w:tc>
          <w:tcPr>
            <w:tcW w:w="142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18"/>
                <w:szCs w:val="18"/>
              </w:rPr>
            </w:pPr>
            <w:r>
              <w:rPr>
                <w:rFonts w:ascii="Times New Roman"/>
                <w:spacing w:val="-1"/>
                <w:sz w:val="18"/>
              </w:rPr>
              <w:t>3,714,303.14</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18"/>
                <w:szCs w:val="18"/>
              </w:rPr>
            </w:pPr>
            <w:r>
              <w:rPr>
                <w:rFonts w:ascii="Times New Roman"/>
                <w:spacing w:val="-1"/>
                <w:sz w:val="18"/>
              </w:rPr>
              <w:t>3,714,303.14</w:t>
            </w:r>
          </w:p>
        </w:tc>
      </w:tr>
      <w:tr>
        <w:trPr>
          <w:trHeight w:val="360" w:hRule="exact"/>
        </w:trPr>
        <w:tc>
          <w:tcPr>
            <w:tcW w:w="30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通辽市威远护卫有限责任公司</w:t>
            </w:r>
          </w:p>
        </w:tc>
        <w:tc>
          <w:tcPr>
            <w:tcW w:w="142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20,677,686.66</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20,677,686.66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160" w:left="166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tbl>
      <w:tblPr>
        <w:tblW w:w="0" w:type="auto"/>
        <w:jc w:val="left"/>
        <w:tblInd w:w="244" w:type="dxa"/>
        <w:tblLayout w:type="fixed"/>
        <w:tblCellMar>
          <w:top w:w="0" w:type="dxa"/>
          <w:left w:w="0" w:type="dxa"/>
          <w:bottom w:w="0" w:type="dxa"/>
          <w:right w:w="0" w:type="dxa"/>
        </w:tblCellMar>
        <w:tblLook w:val="01E0"/>
      </w:tblPr>
      <w:tblGrid>
        <w:gridCol w:w="3098"/>
        <w:gridCol w:w="1428"/>
        <w:gridCol w:w="1419"/>
        <w:gridCol w:w="566"/>
        <w:gridCol w:w="567"/>
        <w:gridCol w:w="1116"/>
        <w:gridCol w:w="1366"/>
      </w:tblGrid>
      <w:tr>
        <w:trPr>
          <w:trHeight w:val="360" w:hRule="exact"/>
        </w:trPr>
        <w:tc>
          <w:tcPr>
            <w:tcW w:w="30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江苏汇通金融数据股份有限公司</w:t>
            </w:r>
          </w:p>
        </w:tc>
        <w:tc>
          <w:tcPr>
            <w:tcW w:w="142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53,971,925.17</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53,971,925.17</w:t>
            </w:r>
          </w:p>
        </w:tc>
      </w:tr>
      <w:tr>
        <w:trPr>
          <w:trHeight w:val="360" w:hRule="exact"/>
        </w:trPr>
        <w:tc>
          <w:tcPr>
            <w:tcW w:w="30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黄石市金安押运护卫保安服务有限公司</w:t>
            </w:r>
          </w:p>
        </w:tc>
        <w:tc>
          <w:tcPr>
            <w:tcW w:w="142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14,425,818.16</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14,425,818.16</w:t>
            </w:r>
          </w:p>
        </w:tc>
      </w:tr>
      <w:tr>
        <w:trPr>
          <w:trHeight w:val="360" w:hRule="exact"/>
        </w:trPr>
        <w:tc>
          <w:tcPr>
            <w:tcW w:w="30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保山安邦武装守护押运有限责任公司</w:t>
            </w:r>
          </w:p>
        </w:tc>
        <w:tc>
          <w:tcPr>
            <w:tcW w:w="142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16,044,354.43</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16,044,354.43</w:t>
            </w:r>
          </w:p>
        </w:tc>
      </w:tr>
      <w:tr>
        <w:trPr>
          <w:trHeight w:val="360" w:hRule="exact"/>
        </w:trPr>
        <w:tc>
          <w:tcPr>
            <w:tcW w:w="30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鹤壁市鹏翔保安服务有限公司</w:t>
            </w:r>
          </w:p>
        </w:tc>
        <w:tc>
          <w:tcPr>
            <w:tcW w:w="142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pacing w:val="-1"/>
                <w:sz w:val="18"/>
              </w:rPr>
              <w:t>4,530,121.22</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pacing w:val="-1"/>
                <w:sz w:val="18"/>
              </w:rPr>
              <w:t>4,530,121.22</w:t>
            </w:r>
          </w:p>
        </w:tc>
      </w:tr>
      <w:tr>
        <w:trPr>
          <w:trHeight w:val="360" w:hRule="exact"/>
        </w:trPr>
        <w:tc>
          <w:tcPr>
            <w:tcW w:w="30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益阳市保安服务有限责任公司</w:t>
            </w:r>
          </w:p>
        </w:tc>
        <w:tc>
          <w:tcPr>
            <w:tcW w:w="142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117,975,035.01</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117,975,035.01</w:t>
            </w:r>
          </w:p>
        </w:tc>
      </w:tr>
      <w:tr>
        <w:trPr>
          <w:trHeight w:val="360" w:hRule="exact"/>
        </w:trPr>
        <w:tc>
          <w:tcPr>
            <w:tcW w:w="30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南县保安服务有限责任公司</w:t>
            </w:r>
          </w:p>
        </w:tc>
        <w:tc>
          <w:tcPr>
            <w:tcW w:w="142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pacing w:val="-1"/>
                <w:sz w:val="18"/>
              </w:rPr>
              <w:t>4,188,062.71</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pacing w:val="-1"/>
                <w:sz w:val="18"/>
              </w:rPr>
              <w:t>4,188,062.71</w:t>
            </w:r>
          </w:p>
        </w:tc>
      </w:tr>
      <w:tr>
        <w:trPr>
          <w:trHeight w:val="360" w:hRule="exact"/>
        </w:trPr>
        <w:tc>
          <w:tcPr>
            <w:tcW w:w="30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10" w:right="0"/>
              <w:jc w:val="left"/>
              <w:rPr>
                <w:rFonts w:ascii="宋体" w:hAnsi="宋体" w:cs="宋体" w:eastAsia="宋体" w:hint="default"/>
                <w:sz w:val="18"/>
                <w:szCs w:val="18"/>
              </w:rPr>
            </w:pPr>
            <w:r>
              <w:rPr>
                <w:rFonts w:ascii="宋体" w:hAnsi="宋体" w:cs="宋体" w:eastAsia="宋体" w:hint="default"/>
                <w:sz w:val="18"/>
                <w:szCs w:val="18"/>
              </w:rPr>
              <w:t>安化县锦鑫保安服务有限责任公司</w:t>
            </w:r>
          </w:p>
        </w:tc>
        <w:tc>
          <w:tcPr>
            <w:tcW w:w="142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pacing w:val="-1"/>
                <w:sz w:val="18"/>
              </w:rPr>
              <w:t>3,485,556.41</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pacing w:val="-1"/>
                <w:sz w:val="18"/>
              </w:rPr>
              <w:t>3,485,556.41</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30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10" w:right="0"/>
              <w:jc w:val="left"/>
              <w:rPr>
                <w:rFonts w:ascii="宋体" w:hAnsi="宋体" w:cs="宋体" w:eastAsia="宋体" w:hint="default"/>
                <w:sz w:val="18"/>
                <w:szCs w:val="18"/>
              </w:rPr>
            </w:pPr>
            <w:r>
              <w:rPr>
                <w:rFonts w:ascii="宋体" w:hAnsi="宋体" w:cs="宋体" w:eastAsia="宋体" w:hint="default"/>
                <w:sz w:val="18"/>
                <w:szCs w:val="18"/>
              </w:rPr>
              <w:t>锡林郭勒盟金盾保安服务有限公司</w:t>
            </w:r>
          </w:p>
        </w:tc>
        <w:tc>
          <w:tcPr>
            <w:tcW w:w="1428" w:type="dxa"/>
            <w:tcBorders>
              <w:top w:val="single" w:sz="4" w:space="0" w:color="000000"/>
              <w:left w:val="single" w:sz="13" w:space="0" w:color="D9D9D9"/>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pacing w:val="-1"/>
                <w:sz w:val="18"/>
              </w:rPr>
              <w:t>1,959,211.77</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pacing w:val="-1"/>
                <w:sz w:val="18"/>
              </w:rPr>
              <w:t>1,959,211.77</w:t>
            </w:r>
          </w:p>
        </w:tc>
      </w:tr>
      <w:tr>
        <w:trPr>
          <w:trHeight w:val="360" w:hRule="exact"/>
        </w:trPr>
        <w:tc>
          <w:tcPr>
            <w:tcW w:w="30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湖北融信押运保安服务有限公司</w:t>
            </w:r>
          </w:p>
        </w:tc>
        <w:tc>
          <w:tcPr>
            <w:tcW w:w="1428" w:type="dxa"/>
            <w:tcBorders>
              <w:top w:val="single" w:sz="4" w:space="0" w:color="000000"/>
              <w:left w:val="single" w:sz="13" w:space="0" w:color="D9D9D9"/>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48,336,349.49</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48,336,349.49</w:t>
            </w:r>
          </w:p>
        </w:tc>
      </w:tr>
      <w:tr>
        <w:trPr>
          <w:trHeight w:val="361" w:hRule="exact"/>
        </w:trPr>
        <w:tc>
          <w:tcPr>
            <w:tcW w:w="30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深圳市信义科技有限公司</w:t>
            </w:r>
          </w:p>
        </w:tc>
        <w:tc>
          <w:tcPr>
            <w:tcW w:w="1428" w:type="dxa"/>
            <w:tcBorders>
              <w:top w:val="single" w:sz="4" w:space="0" w:color="000000"/>
              <w:left w:val="single" w:sz="13" w:space="0" w:color="D9D9D9"/>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258,138,066.49</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258,138,066.49</w:t>
            </w:r>
          </w:p>
        </w:tc>
      </w:tr>
      <w:tr>
        <w:trPr>
          <w:trHeight w:val="360" w:hRule="exact"/>
        </w:trPr>
        <w:tc>
          <w:tcPr>
            <w:tcW w:w="30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北京中科江南信息技术股份有限公司</w:t>
            </w:r>
          </w:p>
        </w:tc>
        <w:tc>
          <w:tcPr>
            <w:tcW w:w="1428" w:type="dxa"/>
            <w:tcBorders>
              <w:top w:val="single" w:sz="4" w:space="0" w:color="000000"/>
              <w:left w:val="single" w:sz="13" w:space="0" w:color="D9D9D9"/>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222,355,913.98</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222,355,913.98</w:t>
            </w:r>
          </w:p>
        </w:tc>
      </w:tr>
      <w:tr>
        <w:trPr>
          <w:trHeight w:val="360" w:hRule="exact"/>
        </w:trPr>
        <w:tc>
          <w:tcPr>
            <w:tcW w:w="30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42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563,300,439.61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530,789,541.73</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18"/>
                <w:szCs w:val="18"/>
              </w:rPr>
            </w:pPr>
            <w:r>
              <w:rPr>
                <w:rFonts w:ascii="Times New Roman"/>
                <w:spacing w:val="-1"/>
                <w:sz w:val="18"/>
              </w:rPr>
              <w:t>3,485,556.41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1,090,604,424.93</w:t>
            </w:r>
          </w:p>
        </w:tc>
      </w:tr>
    </w:tbl>
    <w:p>
      <w:pPr>
        <w:spacing w:after="0" w:line="240" w:lineRule="auto"/>
        <w:jc w:val="right"/>
        <w:rPr>
          <w:rFonts w:ascii="Times New Roman" w:hAnsi="Times New Roman" w:cs="Times New Roman" w:eastAsia="Times New Roman" w:hint="default"/>
          <w:sz w:val="18"/>
          <w:szCs w:val="18"/>
        </w:rPr>
        <w:sectPr>
          <w:pgSz w:w="11910" w:h="16840"/>
          <w:pgMar w:header="733" w:footer="977" w:top="960" w:bottom="1160" w:left="1560" w:right="0"/>
        </w:sectPr>
      </w:pPr>
    </w:p>
    <w:p>
      <w:pPr>
        <w:pStyle w:val="Heading4"/>
        <w:spacing w:line="245" w:lineRule="exact"/>
        <w:ind w:left="238" w:right="0"/>
        <w:jc w:val="left"/>
        <w:rPr>
          <w:b w:val="0"/>
          <w:bCs w:val="0"/>
        </w:rPr>
      </w:pPr>
      <w:r>
        <w:rPr>
          <w:w w:val="95"/>
        </w:rPr>
        <w:t>（</w:t>
      </w:r>
      <w:r>
        <w:rPr>
          <w:rFonts w:ascii="Times New Roman" w:hAnsi="Times New Roman" w:cs="Times New Roman" w:eastAsia="Times New Roman" w:hint="default"/>
          <w:w w:val="95"/>
        </w:rPr>
        <w:t>2</w:t>
      </w:r>
      <w:r>
        <w:rPr>
          <w:w w:val="95"/>
        </w:rPr>
        <w:t>）商誉减值准备</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pStyle w:val="BodyText"/>
        <w:spacing w:line="240" w:lineRule="auto" w:before="120"/>
        <w:ind w:left="238" w:right="0"/>
        <w:jc w:val="left"/>
      </w:pPr>
      <w:r>
        <w:rPr/>
        <w:t>单位：</w:t>
      </w:r>
      <w:r>
        <w:rPr>
          <w:spacing w:val="1"/>
        </w:rPr>
        <w:t> </w:t>
      </w:r>
      <w:r>
        <w:rPr/>
        <w:t>元</w:t>
      </w:r>
    </w:p>
    <w:p>
      <w:pPr>
        <w:spacing w:after="0" w:line="240" w:lineRule="auto"/>
        <w:jc w:val="left"/>
        <w:sectPr>
          <w:type w:val="continuous"/>
          <w:pgSz w:w="11910" w:h="16840"/>
          <w:pgMar w:top="1100" w:bottom="1160" w:left="1560" w:right="0"/>
          <w:cols w:num="2" w:equalWidth="0">
            <w:col w:w="1944" w:space="5560"/>
            <w:col w:w="2846"/>
          </w:cols>
        </w:sectPr>
      </w:pPr>
    </w:p>
    <w:p>
      <w:pPr>
        <w:spacing w:line="240" w:lineRule="auto" w:before="4"/>
        <w:rPr>
          <w:rFonts w:ascii="宋体" w:hAnsi="宋体" w:cs="宋体" w:eastAsia="宋体" w:hint="default"/>
          <w:sz w:val="11"/>
          <w:szCs w:val="11"/>
        </w:rPr>
      </w:pPr>
    </w:p>
    <w:tbl>
      <w:tblPr>
        <w:tblW w:w="0" w:type="auto"/>
        <w:jc w:val="left"/>
        <w:tblInd w:w="244" w:type="dxa"/>
        <w:tblLayout w:type="fixed"/>
        <w:tblCellMar>
          <w:top w:w="0" w:type="dxa"/>
          <w:left w:w="0" w:type="dxa"/>
          <w:bottom w:w="0" w:type="dxa"/>
          <w:right w:w="0" w:type="dxa"/>
        </w:tblCellMar>
        <w:tblLook w:val="01E0"/>
      </w:tblPr>
      <w:tblGrid>
        <w:gridCol w:w="2812"/>
        <w:gridCol w:w="1430"/>
        <w:gridCol w:w="1985"/>
        <w:gridCol w:w="1133"/>
        <w:gridCol w:w="2129"/>
      </w:tblGrid>
      <w:tr>
        <w:trPr>
          <w:trHeight w:val="360" w:hRule="exact"/>
        </w:trPr>
        <w:tc>
          <w:tcPr>
            <w:tcW w:w="2812"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03" w:lineRule="exact"/>
              <w:ind w:left="49"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430" w:type="dxa"/>
            <w:tcBorders>
              <w:top w:val="single" w:sz="4" w:space="0" w:color="000000"/>
              <w:left w:val="single" w:sz="10" w:space="0" w:color="D9D9D9"/>
              <w:bottom w:val="single" w:sz="4" w:space="0" w:color="000000"/>
              <w:right w:val="single" w:sz="4" w:space="0" w:color="000000"/>
            </w:tcBorders>
            <w:shd w:val="clear" w:color="auto" w:fill="D2D2D2"/>
          </w:tcPr>
          <w:p>
            <w:pPr>
              <w:pStyle w:val="TableParagraph"/>
              <w:spacing w:line="203" w:lineRule="exact"/>
              <w:ind w:left="35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6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99" w:right="0"/>
              <w:jc w:val="left"/>
              <w:rPr>
                <w:rFonts w:ascii="宋体" w:hAnsi="宋体" w:cs="宋体" w:eastAsia="宋体" w:hint="default"/>
                <w:sz w:val="18"/>
                <w:szCs w:val="18"/>
              </w:rPr>
            </w:pPr>
            <w:r>
              <w:rPr>
                <w:rFonts w:ascii="宋体" w:hAnsi="宋体" w:cs="宋体" w:eastAsia="宋体" w:hint="default"/>
                <w:sz w:val="18"/>
                <w:szCs w:val="18"/>
              </w:rPr>
              <w:t>本期处置</w:t>
            </w:r>
          </w:p>
        </w:tc>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69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0" w:hRule="exact"/>
        </w:trPr>
        <w:tc>
          <w:tcPr>
            <w:tcW w:w="28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江苏汇通金融数据股份有限公司</w:t>
            </w:r>
          </w:p>
        </w:tc>
        <w:tc>
          <w:tcPr>
            <w:tcW w:w="1430" w:type="dxa"/>
            <w:tcBorders>
              <w:top w:val="single" w:sz="4" w:space="0" w:color="000000"/>
              <w:left w:val="single" w:sz="10" w:space="0" w:color="D9D9D9"/>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18"/>
                <w:szCs w:val="18"/>
              </w:rPr>
            </w:pPr>
            <w:r>
              <w:rPr>
                <w:rFonts w:ascii="Times New Roman"/>
                <w:spacing w:val="-1"/>
                <w:sz w:val="18"/>
              </w:rPr>
              <w:t>14,100,114.46</w:t>
            </w:r>
          </w:p>
        </w:tc>
        <w:tc>
          <w:tcPr>
            <w:tcW w:w="113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18"/>
                <w:szCs w:val="18"/>
              </w:rPr>
            </w:pPr>
            <w:r>
              <w:rPr>
                <w:rFonts w:ascii="Times New Roman"/>
                <w:spacing w:val="-1"/>
                <w:sz w:val="18"/>
              </w:rPr>
              <w:t>14,100,114.46</w:t>
            </w:r>
          </w:p>
        </w:tc>
      </w:tr>
      <w:tr>
        <w:trPr>
          <w:trHeight w:val="360" w:hRule="exact"/>
        </w:trPr>
        <w:tc>
          <w:tcPr>
            <w:tcW w:w="28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邵阳市保安服务有限责任公司</w:t>
            </w:r>
          </w:p>
        </w:tc>
        <w:tc>
          <w:tcPr>
            <w:tcW w:w="1430" w:type="dxa"/>
            <w:tcBorders>
              <w:top w:val="single" w:sz="4" w:space="0" w:color="000000"/>
              <w:left w:val="single" w:sz="10" w:space="0" w:color="D9D9D9"/>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4"/>
              <w:jc w:val="right"/>
              <w:rPr>
                <w:rFonts w:ascii="Times New Roman" w:hAnsi="Times New Roman" w:cs="Times New Roman" w:eastAsia="Times New Roman" w:hint="default"/>
                <w:sz w:val="18"/>
                <w:szCs w:val="18"/>
              </w:rPr>
            </w:pPr>
            <w:r>
              <w:rPr>
                <w:rFonts w:ascii="Times New Roman"/>
                <w:spacing w:val="-1"/>
                <w:sz w:val="18"/>
              </w:rPr>
              <w:t>22,465,359.10</w:t>
            </w:r>
          </w:p>
        </w:tc>
        <w:tc>
          <w:tcPr>
            <w:tcW w:w="113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22,465,359.10</w:t>
            </w:r>
          </w:p>
        </w:tc>
      </w:tr>
      <w:tr>
        <w:trPr>
          <w:trHeight w:val="360" w:hRule="exact"/>
        </w:trPr>
        <w:tc>
          <w:tcPr>
            <w:tcW w:w="28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南县保安服务有限责任公司</w:t>
            </w:r>
          </w:p>
        </w:tc>
        <w:tc>
          <w:tcPr>
            <w:tcW w:w="1430" w:type="dxa"/>
            <w:tcBorders>
              <w:top w:val="single" w:sz="4" w:space="0" w:color="000000"/>
              <w:left w:val="single" w:sz="10" w:space="0" w:color="D9D9D9"/>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4"/>
              <w:jc w:val="right"/>
              <w:rPr>
                <w:rFonts w:ascii="Times New Roman" w:hAnsi="Times New Roman" w:cs="Times New Roman" w:eastAsia="Times New Roman" w:hint="default"/>
                <w:sz w:val="18"/>
                <w:szCs w:val="18"/>
              </w:rPr>
            </w:pPr>
            <w:r>
              <w:rPr>
                <w:rFonts w:ascii="Times New Roman"/>
                <w:spacing w:val="-1"/>
                <w:sz w:val="18"/>
              </w:rPr>
              <w:t>4,188,062.71</w:t>
            </w:r>
          </w:p>
        </w:tc>
        <w:tc>
          <w:tcPr>
            <w:tcW w:w="113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pacing w:val="-1"/>
                <w:sz w:val="18"/>
              </w:rPr>
              <w:t>4,188,062.71</w:t>
            </w:r>
          </w:p>
        </w:tc>
      </w:tr>
      <w:tr>
        <w:trPr>
          <w:trHeight w:val="360" w:hRule="exact"/>
        </w:trPr>
        <w:tc>
          <w:tcPr>
            <w:tcW w:w="28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西安金盾押运有限公司</w:t>
            </w:r>
          </w:p>
        </w:tc>
        <w:tc>
          <w:tcPr>
            <w:tcW w:w="1430"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7"/>
              <w:ind w:left="357" w:right="0"/>
              <w:jc w:val="left"/>
              <w:rPr>
                <w:rFonts w:ascii="Times New Roman" w:hAnsi="Times New Roman" w:cs="Times New Roman" w:eastAsia="Times New Roman" w:hint="default"/>
                <w:sz w:val="18"/>
                <w:szCs w:val="18"/>
              </w:rPr>
            </w:pPr>
            <w:r>
              <w:rPr>
                <w:rFonts w:ascii="Times New Roman"/>
                <w:sz w:val="18"/>
              </w:rPr>
              <w:t>32,676,926.40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18"/>
                <w:szCs w:val="18"/>
              </w:rPr>
            </w:pPr>
            <w:r>
              <w:rPr>
                <w:rFonts w:ascii="Times New Roman"/>
                <w:spacing w:val="-1"/>
                <w:sz w:val="18"/>
              </w:rPr>
              <w:t>32,676,926.40</w:t>
            </w:r>
          </w:p>
        </w:tc>
      </w:tr>
      <w:tr>
        <w:trPr>
          <w:trHeight w:val="360" w:hRule="exact"/>
        </w:trPr>
        <w:tc>
          <w:tcPr>
            <w:tcW w:w="28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left="10" w:right="0"/>
              <w:jc w:val="left"/>
              <w:rPr>
                <w:rFonts w:ascii="宋体" w:hAnsi="宋体" w:cs="宋体" w:eastAsia="宋体" w:hint="default"/>
                <w:sz w:val="18"/>
                <w:szCs w:val="18"/>
              </w:rPr>
            </w:pPr>
            <w:r>
              <w:rPr>
                <w:rFonts w:ascii="宋体" w:hAnsi="宋体" w:cs="宋体" w:eastAsia="宋体" w:hint="default"/>
                <w:sz w:val="18"/>
                <w:szCs w:val="18"/>
              </w:rPr>
              <w:t>海南警锐押运护卫有限公司</w:t>
            </w:r>
          </w:p>
        </w:tc>
        <w:tc>
          <w:tcPr>
            <w:tcW w:w="1430" w:type="dxa"/>
            <w:tcBorders>
              <w:top w:val="single" w:sz="4" w:space="0" w:color="000000"/>
              <w:left w:val="single" w:sz="10" w:space="0" w:color="D9D9D9"/>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4"/>
              <w:jc w:val="right"/>
              <w:rPr>
                <w:rFonts w:ascii="Times New Roman" w:hAnsi="Times New Roman" w:cs="Times New Roman" w:eastAsia="Times New Roman" w:hint="default"/>
                <w:sz w:val="18"/>
                <w:szCs w:val="18"/>
              </w:rPr>
            </w:pPr>
            <w:r>
              <w:rPr>
                <w:rFonts w:ascii="Times New Roman"/>
                <w:spacing w:val="-1"/>
                <w:sz w:val="18"/>
              </w:rPr>
              <w:t>2,746,398.43</w:t>
            </w:r>
          </w:p>
        </w:tc>
        <w:tc>
          <w:tcPr>
            <w:tcW w:w="113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pacing w:val="-1"/>
                <w:sz w:val="18"/>
              </w:rPr>
              <w:t>2,746,398.43</w:t>
            </w:r>
          </w:p>
        </w:tc>
      </w:tr>
      <w:tr>
        <w:trPr>
          <w:trHeight w:val="362" w:hRule="exact"/>
        </w:trPr>
        <w:tc>
          <w:tcPr>
            <w:tcW w:w="28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30"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6"/>
              <w:ind w:left="357" w:right="0"/>
              <w:jc w:val="left"/>
              <w:rPr>
                <w:rFonts w:ascii="Times New Roman" w:hAnsi="Times New Roman" w:cs="Times New Roman" w:eastAsia="Times New Roman" w:hint="default"/>
                <w:sz w:val="18"/>
                <w:szCs w:val="18"/>
              </w:rPr>
            </w:pPr>
            <w:r>
              <w:rPr>
                <w:rFonts w:ascii="Times New Roman"/>
                <w:sz w:val="18"/>
              </w:rPr>
              <w:t>32,676,926.40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4"/>
              <w:jc w:val="right"/>
              <w:rPr>
                <w:rFonts w:ascii="Times New Roman" w:hAnsi="Times New Roman" w:cs="Times New Roman" w:eastAsia="Times New Roman" w:hint="default"/>
                <w:sz w:val="18"/>
                <w:szCs w:val="18"/>
              </w:rPr>
            </w:pPr>
            <w:r>
              <w:rPr>
                <w:rFonts w:ascii="Times New Roman"/>
                <w:spacing w:val="-1"/>
                <w:sz w:val="18"/>
              </w:rPr>
              <w:t>43,499,934.70</w:t>
            </w:r>
          </w:p>
        </w:tc>
        <w:tc>
          <w:tcPr>
            <w:tcW w:w="113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76,176,861.10</w:t>
            </w:r>
          </w:p>
        </w:tc>
      </w:tr>
    </w:tbl>
    <w:p>
      <w:pPr>
        <w:pStyle w:val="Heading3"/>
        <w:spacing w:line="348" w:lineRule="auto" w:before="74"/>
        <w:ind w:left="238" w:right="87" w:firstLine="419"/>
        <w:jc w:val="left"/>
      </w:pPr>
      <w:r>
        <w:rPr/>
        <w:pict>
          <v:shape style="position:absolute;margin-left:83.783997pt;margin-top:39.963684pt;width:481.05pt;height:132.550pt;mso-position-horizontal-relative:page;mso-position-vertical-relative:paragraph;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38"/>
                    <w:gridCol w:w="2271"/>
                    <w:gridCol w:w="2410"/>
                    <w:gridCol w:w="850"/>
                    <w:gridCol w:w="1702"/>
                    <w:gridCol w:w="850"/>
                  </w:tblGrid>
                  <w:tr>
                    <w:trPr>
                      <w:trHeight w:val="324" w:hRule="exact"/>
                    </w:trPr>
                    <w:tc>
                      <w:tcPr>
                        <w:tcW w:w="1538" w:type="dxa"/>
                        <w:tcBorders>
                          <w:top w:val="single" w:sz="12" w:space="0" w:color="000000"/>
                          <w:left w:val="nil" w:sz="6" w:space="0" w:color="auto"/>
                          <w:bottom w:val="nil" w:sz="6" w:space="0" w:color="auto"/>
                          <w:right w:val="single" w:sz="4" w:space="0" w:color="000000"/>
                        </w:tcBorders>
                      </w:tcPr>
                      <w:p>
                        <w:pPr>
                          <w:pStyle w:val="TableParagraph"/>
                          <w:spacing w:line="240" w:lineRule="auto" w:before="85"/>
                          <w:ind w:left="41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227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预测期</w:t>
                        </w:r>
                      </w:p>
                    </w:tc>
                    <w:tc>
                      <w:tcPr>
                        <w:tcW w:w="241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5"/>
                          <w:ind w:left="479" w:right="0"/>
                          <w:jc w:val="left"/>
                          <w:rPr>
                            <w:rFonts w:ascii="宋体" w:hAnsi="宋体" w:cs="宋体" w:eastAsia="宋体" w:hint="default"/>
                            <w:sz w:val="18"/>
                            <w:szCs w:val="18"/>
                          </w:rPr>
                        </w:pPr>
                        <w:r>
                          <w:rPr>
                            <w:rFonts w:ascii="宋体" w:hAnsi="宋体" w:cs="宋体" w:eastAsia="宋体" w:hint="default"/>
                            <w:sz w:val="18"/>
                            <w:szCs w:val="18"/>
                          </w:rPr>
                          <w:t>收入预测期增长率</w:t>
                        </w:r>
                      </w:p>
                    </w:tc>
                    <w:tc>
                      <w:tcPr>
                        <w:tcW w:w="85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5"/>
                          <w:ind w:left="148" w:right="0"/>
                          <w:jc w:val="left"/>
                          <w:rPr>
                            <w:rFonts w:ascii="宋体" w:hAnsi="宋体" w:cs="宋体" w:eastAsia="宋体" w:hint="default"/>
                            <w:sz w:val="18"/>
                            <w:szCs w:val="18"/>
                          </w:rPr>
                        </w:pPr>
                        <w:r>
                          <w:rPr>
                            <w:rFonts w:ascii="宋体" w:hAnsi="宋体" w:cs="宋体" w:eastAsia="宋体" w:hint="default"/>
                            <w:sz w:val="18"/>
                            <w:szCs w:val="18"/>
                          </w:rPr>
                          <w:t>稳定期</w:t>
                        </w:r>
                      </w:p>
                    </w:tc>
                    <w:tc>
                      <w:tcPr>
                        <w:tcW w:w="170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利润率</w:t>
                        </w:r>
                      </w:p>
                    </w:tc>
                    <w:tc>
                      <w:tcPr>
                        <w:tcW w:w="850" w:type="dxa"/>
                        <w:tcBorders>
                          <w:top w:val="single" w:sz="12" w:space="0" w:color="000000"/>
                          <w:left w:val="single" w:sz="4" w:space="0" w:color="000000"/>
                          <w:bottom w:val="nil" w:sz="6" w:space="0" w:color="auto"/>
                          <w:right w:val="nil" w:sz="6" w:space="0" w:color="auto"/>
                        </w:tcBorders>
                      </w:tcPr>
                      <w:p>
                        <w:pPr>
                          <w:pStyle w:val="TableParagraph"/>
                          <w:spacing w:line="240" w:lineRule="auto" w:before="85"/>
                          <w:ind w:right="5"/>
                          <w:jc w:val="center"/>
                          <w:rPr>
                            <w:rFonts w:ascii="宋体" w:hAnsi="宋体" w:cs="宋体" w:eastAsia="宋体" w:hint="default"/>
                            <w:sz w:val="18"/>
                            <w:szCs w:val="18"/>
                          </w:rPr>
                        </w:pPr>
                        <w:r>
                          <w:rPr>
                            <w:rFonts w:ascii="宋体" w:hAnsi="宋体" w:cs="宋体" w:eastAsia="宋体" w:hint="default"/>
                            <w:sz w:val="18"/>
                            <w:szCs w:val="18"/>
                          </w:rPr>
                          <w:t>折现率</w:t>
                        </w:r>
                      </w:p>
                    </w:tc>
                  </w:tr>
                  <w:tr>
                    <w:trPr>
                      <w:trHeight w:val="863" w:hRule="exact"/>
                    </w:trPr>
                    <w:tc>
                      <w:tcPr>
                        <w:tcW w:w="1538" w:type="dxa"/>
                        <w:tcBorders>
                          <w:top w:val="nil" w:sz="6" w:space="0" w:color="auto"/>
                          <w:left w:val="nil" w:sz="6" w:space="0" w:color="auto"/>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26" w:lineRule="auto"/>
                          <w:ind w:left="122" w:right="104"/>
                          <w:jc w:val="left"/>
                          <w:rPr>
                            <w:rFonts w:ascii="宋体" w:hAnsi="宋体" w:cs="宋体" w:eastAsia="宋体" w:hint="default"/>
                            <w:sz w:val="18"/>
                            <w:szCs w:val="18"/>
                          </w:rPr>
                        </w:pPr>
                        <w:r>
                          <w:rPr>
                            <w:rFonts w:ascii="宋体" w:hAnsi="宋体" w:cs="宋体" w:eastAsia="宋体" w:hint="default"/>
                            <w:spacing w:val="6"/>
                            <w:sz w:val="18"/>
                            <w:szCs w:val="18"/>
                          </w:rPr>
                          <w:t>邵阳市保安服务</w:t>
                        </w:r>
                        <w:r>
                          <w:rPr>
                            <w:rFonts w:ascii="宋体" w:hAnsi="宋体" w:cs="宋体" w:eastAsia="宋体" w:hint="default"/>
                            <w:sz w:val="18"/>
                            <w:szCs w:val="18"/>
                          </w:rPr>
                          <w:t> 有限责任公司</w:t>
                        </w:r>
                      </w:p>
                    </w:tc>
                    <w:tc>
                      <w:tcPr>
                        <w:tcW w:w="22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07" w:lineRule="auto"/>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2019-2023</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年（后续为稳定</w:t>
                        </w:r>
                        <w:r>
                          <w:rPr>
                            <w:rFonts w:ascii="宋体" w:hAnsi="宋体" w:cs="宋体" w:eastAsia="宋体" w:hint="default"/>
                            <w:sz w:val="18"/>
                            <w:szCs w:val="18"/>
                          </w:rPr>
                          <w:t> 期）</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w:t>
                        </w:r>
                      </w:p>
                      <w:p>
                        <w:pPr>
                          <w:pStyle w:val="TableParagraph"/>
                          <w:spacing w:line="240" w:lineRule="auto" w:before="7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0.48%</w:t>
                        </w:r>
                        <w:r>
                          <w:rPr>
                            <w:rFonts w:ascii="宋体" w:hAnsi="宋体" w:cs="宋体" w:eastAsia="宋体" w:hint="default"/>
                            <w:sz w:val="18"/>
                            <w:szCs w:val="18"/>
                          </w:rPr>
                          <w:t>、</w:t>
                        </w:r>
                        <w:r>
                          <w:rPr>
                            <w:rFonts w:ascii="Times New Roman" w:hAnsi="Times New Roman" w:cs="Times New Roman" w:eastAsia="Times New Roman" w:hint="default"/>
                            <w:sz w:val="18"/>
                            <w:szCs w:val="18"/>
                          </w:rPr>
                          <w:t>0.1%</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持平</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26" w:lineRule="auto"/>
                          <w:ind w:left="103" w:right="100"/>
                          <w:jc w:val="left"/>
                          <w:rPr>
                            <w:rFonts w:ascii="宋体" w:hAnsi="宋体" w:cs="宋体" w:eastAsia="宋体" w:hint="default"/>
                            <w:sz w:val="18"/>
                            <w:szCs w:val="18"/>
                          </w:rPr>
                        </w:pPr>
                        <w:r>
                          <w:rPr>
                            <w:rFonts w:ascii="宋体" w:hAnsi="宋体" w:cs="宋体" w:eastAsia="宋体" w:hint="default"/>
                            <w:spacing w:val="5"/>
                            <w:sz w:val="18"/>
                            <w:szCs w:val="18"/>
                          </w:rPr>
                          <w:t>根据预测的收入、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成本、费用等计算</w:t>
                        </w:r>
                      </w:p>
                    </w:tc>
                    <w:tc>
                      <w:tcPr>
                        <w:tcW w:w="850"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77" w:right="0"/>
                          <w:jc w:val="center"/>
                          <w:rPr>
                            <w:rFonts w:ascii="Times New Roman" w:hAnsi="Times New Roman" w:cs="Times New Roman" w:eastAsia="Times New Roman" w:hint="default"/>
                            <w:sz w:val="18"/>
                            <w:szCs w:val="18"/>
                          </w:rPr>
                        </w:pPr>
                        <w:r>
                          <w:rPr>
                            <w:rFonts w:ascii="Times New Roman"/>
                            <w:sz w:val="18"/>
                          </w:rPr>
                          <w:t>20.39%</w:t>
                        </w:r>
                      </w:p>
                    </w:tc>
                  </w:tr>
                  <w:tr>
                    <w:trPr>
                      <w:trHeight w:val="731" w:hRule="exact"/>
                    </w:trPr>
                    <w:tc>
                      <w:tcPr>
                        <w:tcW w:w="1538" w:type="dxa"/>
                        <w:tcBorders>
                          <w:top w:val="nil" w:sz="6" w:space="0" w:color="auto"/>
                          <w:left w:val="nil" w:sz="6" w:space="0" w:color="auto"/>
                          <w:bottom w:val="nil" w:sz="6" w:space="0" w:color="auto"/>
                          <w:right w:val="single" w:sz="4" w:space="0" w:color="000000"/>
                        </w:tcBorders>
                      </w:tcPr>
                      <w:p>
                        <w:pPr>
                          <w:pStyle w:val="TableParagraph"/>
                          <w:spacing w:line="326" w:lineRule="auto" w:before="54"/>
                          <w:ind w:left="122" w:right="104"/>
                          <w:jc w:val="left"/>
                          <w:rPr>
                            <w:rFonts w:ascii="宋体" w:hAnsi="宋体" w:cs="宋体" w:eastAsia="宋体" w:hint="default"/>
                            <w:sz w:val="18"/>
                            <w:szCs w:val="18"/>
                          </w:rPr>
                        </w:pPr>
                        <w:r>
                          <w:rPr>
                            <w:rFonts w:ascii="宋体" w:hAnsi="宋体" w:cs="宋体" w:eastAsia="宋体" w:hint="default"/>
                            <w:spacing w:val="6"/>
                            <w:sz w:val="18"/>
                            <w:szCs w:val="18"/>
                          </w:rPr>
                          <w:t>海南警锐押运护</w:t>
                        </w:r>
                        <w:r>
                          <w:rPr>
                            <w:rFonts w:ascii="宋体" w:hAnsi="宋体" w:cs="宋体" w:eastAsia="宋体" w:hint="default"/>
                            <w:sz w:val="18"/>
                            <w:szCs w:val="18"/>
                          </w:rPr>
                          <w:t> 卫有限公司</w:t>
                        </w:r>
                      </w:p>
                    </w:tc>
                    <w:tc>
                      <w:tcPr>
                        <w:tcW w:w="2271" w:type="dxa"/>
                        <w:tcBorders>
                          <w:top w:val="nil" w:sz="6" w:space="0" w:color="auto"/>
                          <w:left w:val="single" w:sz="4" w:space="0" w:color="000000"/>
                          <w:bottom w:val="nil" w:sz="6" w:space="0" w:color="auto"/>
                          <w:right w:val="single" w:sz="4" w:space="0" w:color="000000"/>
                        </w:tcBorders>
                      </w:tcPr>
                      <w:p>
                        <w:pPr>
                          <w:pStyle w:val="TableParagraph"/>
                          <w:spacing w:line="307" w:lineRule="auto" w:before="54"/>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2019-2023</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年（后续为稳定</w:t>
                        </w:r>
                        <w:r>
                          <w:rPr>
                            <w:rFonts w:ascii="宋体" w:hAnsi="宋体" w:cs="宋体" w:eastAsia="宋体" w:hint="default"/>
                            <w:sz w:val="18"/>
                            <w:szCs w:val="18"/>
                          </w:rPr>
                          <w:t> 期）</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6.51%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4.39%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w:t>
                        </w:r>
                      </w:p>
                      <w:p>
                        <w:pPr>
                          <w:pStyle w:val="TableParagraph"/>
                          <w:spacing w:line="240" w:lineRule="auto" w:before="7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4.25%</w:t>
                        </w:r>
                        <w:r>
                          <w:rPr>
                            <w:rFonts w:ascii="宋体" w:hAnsi="宋体" w:cs="宋体" w:eastAsia="宋体" w:hint="default"/>
                            <w:sz w:val="18"/>
                            <w:szCs w:val="18"/>
                          </w:rPr>
                          <w:t>、</w:t>
                        </w:r>
                        <w:r>
                          <w:rPr>
                            <w:rFonts w:ascii="Times New Roman" w:hAnsi="Times New Roman" w:cs="Times New Roman" w:eastAsia="Times New Roman" w:hint="default"/>
                            <w:sz w:val="18"/>
                            <w:szCs w:val="18"/>
                          </w:rPr>
                          <w:t>6.41%</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持平</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326" w:lineRule="auto" w:before="54"/>
                          <w:ind w:left="103" w:right="100"/>
                          <w:jc w:val="left"/>
                          <w:rPr>
                            <w:rFonts w:ascii="宋体" w:hAnsi="宋体" w:cs="宋体" w:eastAsia="宋体" w:hint="default"/>
                            <w:sz w:val="18"/>
                            <w:szCs w:val="18"/>
                          </w:rPr>
                        </w:pPr>
                        <w:r>
                          <w:rPr>
                            <w:rFonts w:ascii="宋体" w:hAnsi="宋体" w:cs="宋体" w:eastAsia="宋体" w:hint="default"/>
                            <w:spacing w:val="5"/>
                            <w:sz w:val="18"/>
                            <w:szCs w:val="18"/>
                          </w:rPr>
                          <w:t>根据预测的收入、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成本、费用等计算</w:t>
                        </w:r>
                      </w:p>
                    </w:tc>
                    <w:tc>
                      <w:tcPr>
                        <w:tcW w:w="850"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16.40%</w:t>
                        </w:r>
                      </w:p>
                    </w:tc>
                  </w:tr>
                  <w:tr>
                    <w:trPr>
                      <w:trHeight w:val="703" w:hRule="exact"/>
                    </w:trPr>
                    <w:tc>
                      <w:tcPr>
                        <w:tcW w:w="1538" w:type="dxa"/>
                        <w:tcBorders>
                          <w:top w:val="nil" w:sz="6" w:space="0" w:color="auto"/>
                          <w:left w:val="nil" w:sz="6" w:space="0" w:color="auto"/>
                          <w:bottom w:val="single" w:sz="12" w:space="0" w:color="000000"/>
                          <w:right w:val="single" w:sz="4" w:space="0" w:color="000000"/>
                        </w:tcBorders>
                      </w:tcPr>
                      <w:p>
                        <w:pPr>
                          <w:pStyle w:val="TableParagraph"/>
                          <w:spacing w:line="326" w:lineRule="auto" w:before="56"/>
                          <w:ind w:left="122" w:right="104"/>
                          <w:jc w:val="left"/>
                          <w:rPr>
                            <w:rFonts w:ascii="宋体" w:hAnsi="宋体" w:cs="宋体" w:eastAsia="宋体" w:hint="default"/>
                            <w:sz w:val="18"/>
                            <w:szCs w:val="18"/>
                          </w:rPr>
                        </w:pPr>
                        <w:r>
                          <w:rPr>
                            <w:rFonts w:ascii="宋体" w:hAnsi="宋体" w:cs="宋体" w:eastAsia="宋体" w:hint="default"/>
                            <w:spacing w:val="6"/>
                            <w:sz w:val="18"/>
                            <w:szCs w:val="18"/>
                          </w:rPr>
                          <w:t>江苏汇通金融数</w:t>
                        </w:r>
                        <w:r>
                          <w:rPr>
                            <w:rFonts w:ascii="宋体" w:hAnsi="宋体" w:cs="宋体" w:eastAsia="宋体" w:hint="default"/>
                            <w:sz w:val="18"/>
                            <w:szCs w:val="18"/>
                          </w:rPr>
                          <w:t> 据股份有限公司</w:t>
                        </w:r>
                      </w:p>
                    </w:tc>
                    <w:tc>
                      <w:tcPr>
                        <w:tcW w:w="2271" w:type="dxa"/>
                        <w:tcBorders>
                          <w:top w:val="nil" w:sz="6" w:space="0" w:color="auto"/>
                          <w:left w:val="single" w:sz="4" w:space="0" w:color="000000"/>
                          <w:bottom w:val="single" w:sz="12" w:space="0" w:color="000000"/>
                          <w:right w:val="single" w:sz="4" w:space="0" w:color="000000"/>
                        </w:tcBorders>
                      </w:tcPr>
                      <w:p>
                        <w:pPr/>
                      </w:p>
                    </w:tc>
                    <w:tc>
                      <w:tcPr>
                        <w:tcW w:w="241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850" w:type="dxa"/>
                        <w:tcBorders>
                          <w:top w:val="nil" w:sz="6" w:space="0" w:color="auto"/>
                          <w:left w:val="single" w:sz="4" w:space="0" w:color="000000"/>
                          <w:bottom w:val="single" w:sz="12" w:space="0" w:color="000000"/>
                          <w:right w:val="single" w:sz="4" w:space="0" w:color="000000"/>
                        </w:tcBorders>
                      </w:tcPr>
                      <w:p>
                        <w:pPr/>
                      </w:p>
                    </w:tc>
                    <w:tc>
                      <w:tcPr>
                        <w:tcW w:w="1702" w:type="dxa"/>
                        <w:tcBorders>
                          <w:top w:val="nil" w:sz="6" w:space="0" w:color="auto"/>
                          <w:left w:val="single" w:sz="4" w:space="0" w:color="000000"/>
                          <w:bottom w:val="single" w:sz="12" w:space="0" w:color="000000"/>
                          <w:right w:val="single" w:sz="4" w:space="0" w:color="000000"/>
                        </w:tcBorders>
                      </w:tcPr>
                      <w:p>
                        <w:pPr>
                          <w:pStyle w:val="TableParagraph"/>
                          <w:spacing w:line="326" w:lineRule="auto" w:before="56"/>
                          <w:ind w:left="103" w:right="100"/>
                          <w:jc w:val="left"/>
                          <w:rPr>
                            <w:rFonts w:ascii="宋体" w:hAnsi="宋体" w:cs="宋体" w:eastAsia="宋体" w:hint="default"/>
                            <w:sz w:val="18"/>
                            <w:szCs w:val="18"/>
                          </w:rPr>
                        </w:pPr>
                        <w:r>
                          <w:rPr>
                            <w:rFonts w:ascii="宋体" w:hAnsi="宋体" w:cs="宋体" w:eastAsia="宋体" w:hint="default"/>
                            <w:spacing w:val="5"/>
                            <w:sz w:val="18"/>
                            <w:szCs w:val="18"/>
                          </w:rPr>
                          <w:t>根据预测的收入、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成本、费用等计算</w:t>
                        </w:r>
                      </w:p>
                    </w:tc>
                    <w:tc>
                      <w:tcPr>
                        <w:tcW w:w="850" w:type="dxa"/>
                        <w:tcBorders>
                          <w:top w:val="nil" w:sz="6" w:space="0" w:color="auto"/>
                          <w:left w:val="single" w:sz="4" w:space="0" w:color="000000"/>
                          <w:bottom w:val="single" w:sz="12" w:space="0" w:color="000000"/>
                          <w:right w:val="nil" w:sz="6" w:space="0" w:color="auto"/>
                        </w:tcBorders>
                      </w:tcPr>
                      <w:p>
                        <w:pPr/>
                      </w:p>
                    </w:tc>
                  </w:tr>
                </w:tbl>
                <w:p>
                  <w:pPr/>
                </w:p>
              </w:txbxContent>
            </v:textbox>
            <w10:wrap type="none"/>
          </v:shape>
        </w:pict>
      </w:r>
      <w:r>
        <w:rPr>
          <w:spacing w:val="-1"/>
        </w:rPr>
        <w:t>评估公司对含商誉资产组可回收价值采用资产预计未来现金流量的现值方法进行评估，</w:t>
      </w:r>
      <w:r>
        <w:rPr>
          <w:w w:val="100"/>
        </w:rPr>
        <w:t> </w:t>
      </w:r>
      <w:r>
        <w:rPr/>
        <w:t>其关键参数如下：</w:t>
      </w:r>
    </w:p>
    <w:p>
      <w:pPr>
        <w:tabs>
          <w:tab w:pos="3920" w:val="left" w:leader="none"/>
          <w:tab w:pos="6330" w:val="left" w:leader="none"/>
          <w:tab w:pos="7179" w:val="left" w:leader="none"/>
          <w:tab w:pos="8882" w:val="left" w:leader="none"/>
        </w:tabs>
        <w:spacing w:line="20" w:lineRule="exact"/>
        <w:ind w:left="1649" w:right="0" w:firstLine="0"/>
        <w:rPr>
          <w:rFonts w:ascii="宋体" w:hAnsi="宋体" w:cs="宋体" w:eastAsia="宋体" w:hint="default"/>
          <w:sz w:val="2"/>
          <w:szCs w:val="2"/>
        </w:rPr>
      </w:pPr>
      <w:r>
        <w:rPr>
          <w:rFonts w:ascii="宋体"/>
          <w:sz w:val="2"/>
        </w:rPr>
        <w:drawing>
          <wp:inline distT="0" distB="0" distL="0" distR="0">
            <wp:extent cx="6094" cy="1524"/>
            <wp:effectExtent l="0" t="0" r="0" b="0"/>
            <wp:docPr id="7" name="image18.png" descr=""/>
            <wp:cNvGraphicFramePr>
              <a:graphicFrameLocks noChangeAspect="1"/>
            </wp:cNvGraphicFramePr>
            <a:graphic>
              <a:graphicData uri="http://schemas.openxmlformats.org/drawingml/2006/picture">
                <pic:pic>
                  <pic:nvPicPr>
                    <pic:cNvPr id="8" name="image18.png"/>
                    <pic:cNvPicPr/>
                  </pic:nvPicPr>
                  <pic:blipFill>
                    <a:blip r:embed="rId45" cstate="print"/>
                    <a:stretch>
                      <a:fillRect/>
                    </a:stretch>
                  </pic:blipFill>
                  <pic:spPr>
                    <a:xfrm>
                      <a:off x="0" y="0"/>
                      <a:ext cx="6094"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4" cy="1524"/>
            <wp:effectExtent l="0" t="0" r="0" b="0"/>
            <wp:docPr id="9" name="image18.png" descr=""/>
            <wp:cNvGraphicFramePr>
              <a:graphicFrameLocks noChangeAspect="1"/>
            </wp:cNvGraphicFramePr>
            <a:graphic>
              <a:graphicData uri="http://schemas.openxmlformats.org/drawingml/2006/picture">
                <pic:pic>
                  <pic:nvPicPr>
                    <pic:cNvPr id="10" name="image18.png"/>
                    <pic:cNvPicPr/>
                  </pic:nvPicPr>
                  <pic:blipFill>
                    <a:blip r:embed="rId45" cstate="print"/>
                    <a:stretch>
                      <a:fillRect/>
                    </a:stretch>
                  </pic:blipFill>
                  <pic:spPr>
                    <a:xfrm>
                      <a:off x="0" y="0"/>
                      <a:ext cx="6094"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4" cy="1524"/>
            <wp:effectExtent l="0" t="0" r="0" b="0"/>
            <wp:docPr id="11" name="image18.png" descr=""/>
            <wp:cNvGraphicFramePr>
              <a:graphicFrameLocks noChangeAspect="1"/>
            </wp:cNvGraphicFramePr>
            <a:graphic>
              <a:graphicData uri="http://schemas.openxmlformats.org/drawingml/2006/picture">
                <pic:pic>
                  <pic:nvPicPr>
                    <pic:cNvPr id="12" name="image18.png"/>
                    <pic:cNvPicPr/>
                  </pic:nvPicPr>
                  <pic:blipFill>
                    <a:blip r:embed="rId45" cstate="print"/>
                    <a:stretch>
                      <a:fillRect/>
                    </a:stretch>
                  </pic:blipFill>
                  <pic:spPr>
                    <a:xfrm>
                      <a:off x="0" y="0"/>
                      <a:ext cx="6094"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4" cy="1524"/>
            <wp:effectExtent l="0" t="0" r="0" b="0"/>
            <wp:docPr id="13" name="image18.png" descr=""/>
            <wp:cNvGraphicFramePr>
              <a:graphicFrameLocks noChangeAspect="1"/>
            </wp:cNvGraphicFramePr>
            <a:graphic>
              <a:graphicData uri="http://schemas.openxmlformats.org/drawingml/2006/picture">
                <pic:pic>
                  <pic:nvPicPr>
                    <pic:cNvPr id="14" name="image18.png"/>
                    <pic:cNvPicPr/>
                  </pic:nvPicPr>
                  <pic:blipFill>
                    <a:blip r:embed="rId45" cstate="print"/>
                    <a:stretch>
                      <a:fillRect/>
                    </a:stretch>
                  </pic:blipFill>
                  <pic:spPr>
                    <a:xfrm>
                      <a:off x="0" y="0"/>
                      <a:ext cx="6094"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4" cy="1524"/>
            <wp:effectExtent l="0" t="0" r="0" b="0"/>
            <wp:docPr id="15" name="image18.png" descr=""/>
            <wp:cNvGraphicFramePr>
              <a:graphicFrameLocks noChangeAspect="1"/>
            </wp:cNvGraphicFramePr>
            <a:graphic>
              <a:graphicData uri="http://schemas.openxmlformats.org/drawingml/2006/picture">
                <pic:pic>
                  <pic:nvPicPr>
                    <pic:cNvPr id="16" name="image18.png"/>
                    <pic:cNvPicPr/>
                  </pic:nvPicPr>
                  <pic:blipFill>
                    <a:blip r:embed="rId45" cstate="print"/>
                    <a:stretch>
                      <a:fillRect/>
                    </a:stretch>
                  </pic:blipFill>
                  <pic:spPr>
                    <a:xfrm>
                      <a:off x="0" y="0"/>
                      <a:ext cx="6094" cy="1524"/>
                    </a:xfrm>
                    <a:prstGeom prst="rect">
                      <a:avLst/>
                    </a:prstGeom>
                  </pic:spPr>
                </pic:pic>
              </a:graphicData>
            </a:graphic>
          </wp:inline>
        </w:drawing>
      </w:r>
      <w:r>
        <w:rPr>
          <w:rFonts w:ascii="宋体"/>
          <w:sz w:val="2"/>
        </w:rPr>
      </w:r>
    </w:p>
    <w:p>
      <w:pPr>
        <w:spacing w:line="240" w:lineRule="auto" w:before="2"/>
        <w:rPr>
          <w:rFonts w:ascii="宋体" w:hAnsi="宋体" w:cs="宋体" w:eastAsia="宋体" w:hint="default"/>
          <w:sz w:val="22"/>
          <w:szCs w:val="22"/>
        </w:rPr>
      </w:pPr>
    </w:p>
    <w:p>
      <w:pPr>
        <w:spacing w:line="100"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80.35pt;height:5.05pt;mso-position-horizontal-relative:char;mso-position-vertical-relative:line" coordorigin="0,0" coordsize="9607,101">
            <v:shape style="position:absolute;left:0;top:0;width:1538;height:101" type="#_x0000_t75" stroked="false">
              <v:imagedata r:id="rId46" o:title=""/>
            </v:shape>
            <v:shape style="position:absolute;left:1514;top:91;width:2276;height:10" type="#_x0000_t75" stroked="false">
              <v:imagedata r:id="rId47" o:title=""/>
            </v:shape>
            <v:shape style="position:absolute;left:3785;top:91;width:3264;height:10" type="#_x0000_t75" stroked="false">
              <v:imagedata r:id="rId48" o:title=""/>
            </v:shape>
            <v:shape style="position:absolute;left:7045;top:91;width:1707;height:10" type="#_x0000_t75" stroked="false">
              <v:imagedata r:id="rId49" o:title=""/>
            </v:shape>
            <v:shape style="position:absolute;left:8747;top:91;width:859;height:10" type="#_x0000_t75" stroked="false">
              <v:imagedata r:id="rId50"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80.35pt;height:.5pt;mso-position-horizontal-relative:char;mso-position-vertical-relative:line" coordorigin="0,0" coordsize="9607,10">
            <v:shape style="position:absolute;left:0;top:0;width:1519;height:10" type="#_x0000_t75" stroked="false">
              <v:imagedata r:id="rId51" o:title=""/>
            </v:shape>
            <v:shape style="position:absolute;left:1514;top:0;width:2276;height:10" type="#_x0000_t75" stroked="false">
              <v:imagedata r:id="rId47" o:title=""/>
            </v:shape>
            <v:shape style="position:absolute;left:3785;top:0;width:3264;height:10" type="#_x0000_t75" stroked="false">
              <v:imagedata r:id="rId48" o:title=""/>
            </v:shape>
            <v:shape style="position:absolute;left:7045;top:0;width:1707;height:10" type="#_x0000_t75" stroked="false">
              <v:imagedata r:id="rId49" o:title=""/>
            </v:shape>
            <v:shape style="position:absolute;left:8747;top:0;width:859;height:10" type="#_x0000_t75" stroked="false">
              <v:imagedata r:id="rId50" o:title=""/>
            </v:shape>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80.35pt;height:.5pt;mso-position-horizontal-relative:char;mso-position-vertical-relative:line" coordorigin="0,0" coordsize="9607,10">
            <v:shape style="position:absolute;left:0;top:0;width:1519;height:10" type="#_x0000_t75" stroked="false">
              <v:imagedata r:id="rId51" o:title=""/>
            </v:shape>
            <v:shape style="position:absolute;left:1514;top:0;width:2276;height:10" type="#_x0000_t75" stroked="false">
              <v:imagedata r:id="rId52" o:title=""/>
            </v:shape>
            <v:shape style="position:absolute;left:3785;top:0;width:3264;height:10" type="#_x0000_t75" stroked="false">
              <v:imagedata r:id="rId53" o:title=""/>
            </v:shape>
            <v:shape style="position:absolute;left:7045;top:0;width:1707;height:10" type="#_x0000_t75" stroked="false">
              <v:imagedata r:id="rId54" o:title=""/>
            </v:shape>
            <v:shape style="position:absolute;left:8747;top:0;width:859;height:10" type="#_x0000_t75" stroked="false">
              <v:imagedata r:id="rId55" o:title=""/>
            </v:shape>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Heading3"/>
        <w:spacing w:line="328" w:lineRule="auto" w:before="0"/>
        <w:ind w:left="238" w:right="1788"/>
        <w:jc w:val="both"/>
      </w:pPr>
      <w:r>
        <w:rPr/>
        <w:t>注</w:t>
      </w:r>
      <w:r>
        <w:rPr>
          <w:spacing w:val="-35"/>
        </w:rPr>
        <w:t> </w:t>
      </w:r>
      <w:r>
        <w:rPr>
          <w:rFonts w:ascii="Times New Roman" w:hAnsi="Times New Roman" w:cs="Times New Roman" w:eastAsia="Times New Roman" w:hint="default"/>
          <w:spacing w:val="-5"/>
        </w:rPr>
        <w:t>1</w:t>
      </w:r>
      <w:r>
        <w:rPr>
          <w:spacing w:val="-5"/>
        </w:rPr>
        <w:t>：根据标的的情况，评估机构采用市场法评估方法，计算的比准市销率（</w:t>
      </w:r>
      <w:r>
        <w:rPr>
          <w:rFonts w:ascii="Times New Roman" w:hAnsi="Times New Roman" w:cs="Times New Roman" w:eastAsia="Times New Roman" w:hint="default"/>
          <w:spacing w:val="-5"/>
        </w:rPr>
        <w:t>PS)</w:t>
      </w:r>
      <w:r>
        <w:rPr>
          <w:spacing w:val="-5"/>
        </w:rPr>
        <w:t>为</w:t>
      </w:r>
      <w:r>
        <w:rPr>
          <w:spacing w:val="-35"/>
        </w:rPr>
        <w:t> </w:t>
      </w:r>
      <w:r>
        <w:rPr>
          <w:rFonts w:ascii="Times New Roman" w:hAnsi="Times New Roman" w:cs="Times New Roman" w:eastAsia="Times New Roman" w:hint="default"/>
        </w:rPr>
        <w:t>0.7431</w:t>
      </w:r>
      <w:r>
        <w:rPr/>
        <w:t>。</w:t>
      </w:r>
      <w:r>
        <w:rPr>
          <w:spacing w:val="-97"/>
        </w:rPr>
        <w:t> </w:t>
      </w:r>
      <w:r>
        <w:rPr/>
        <w:t>说明：西安金盾押运有限公司商誉在</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年全部计提了减值；南县保安服务有限责任公司</w:t>
      </w:r>
      <w:r>
        <w:rPr>
          <w:w w:val="100"/>
        </w:rPr>
        <w:t> </w:t>
      </w:r>
      <w:r>
        <w:rPr/>
        <w:t>公司业务并入益阳市保安服务有限责任公司，公司准备注销，其商誉全部计提减值。</w:t>
      </w:r>
    </w:p>
    <w:p>
      <w:pPr>
        <w:spacing w:after="0" w:line="328" w:lineRule="auto"/>
        <w:jc w:val="both"/>
        <w:sectPr>
          <w:type w:val="continuous"/>
          <w:pgSz w:w="11910" w:h="16840"/>
          <w:pgMar w:top="1100" w:bottom="1160" w:left="1560" w:right="0"/>
        </w:sectPr>
      </w:pPr>
    </w:p>
    <w:p>
      <w:pPr>
        <w:spacing w:line="240" w:lineRule="auto" w:before="2"/>
        <w:rPr>
          <w:rFonts w:ascii="宋体" w:hAnsi="宋体" w:cs="宋体" w:eastAsia="宋体" w:hint="default"/>
          <w:sz w:val="27"/>
          <w:szCs w:val="27"/>
        </w:rPr>
      </w:pPr>
    </w:p>
    <w:p>
      <w:pPr>
        <w:pStyle w:val="Heading4"/>
        <w:spacing w:line="240" w:lineRule="auto" w:before="37"/>
        <w:ind w:right="1034"/>
        <w:jc w:val="left"/>
        <w:rPr>
          <w:b w:val="0"/>
          <w:bCs w:val="0"/>
        </w:rPr>
      </w:pPr>
      <w:r>
        <w:rPr>
          <w:rFonts w:ascii="Times New Roman" w:hAnsi="Times New Roman" w:cs="Times New Roman" w:eastAsia="Times New Roman" w:hint="default"/>
        </w:rPr>
        <w:t>16</w:t>
      </w:r>
      <w:r>
        <w:rPr/>
        <w:t>、长期待摊费用</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78"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8"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场地装修改造费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19,294,062.77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10,864,164.86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11,475,524.06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119,047.62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18,563,655.95</w:t>
            </w:r>
          </w:p>
        </w:tc>
      </w:tr>
      <w:tr>
        <w:trPr>
          <w:trHeight w:val="480"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19,294,062.77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10,864,164.86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11,475,524.06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119,047.62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18,563,655.95</w:t>
            </w:r>
          </w:p>
        </w:tc>
      </w:tr>
    </w:tbl>
    <w:p>
      <w:pPr>
        <w:pStyle w:val="Heading4"/>
        <w:spacing w:line="240" w:lineRule="auto" w:before="71"/>
        <w:ind w:right="1034"/>
        <w:jc w:val="left"/>
        <w:rPr>
          <w:b w:val="0"/>
          <w:bCs w:val="0"/>
        </w:rPr>
      </w:pP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14"/>
          <w:szCs w:val="14"/>
        </w:rPr>
      </w:pPr>
    </w:p>
    <w:p>
      <w:pPr>
        <w:pStyle w:val="Heading4"/>
        <w:spacing w:line="240" w:lineRule="auto"/>
        <w:ind w:right="1034"/>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pStyle w:val="BodyText"/>
        <w:spacing w:line="240" w:lineRule="auto" w:before="128"/>
        <w:ind w:left="0" w:right="1131"/>
        <w:jc w:val="right"/>
      </w:pPr>
      <w:r>
        <w:rPr/>
        <w:t>单位：</w:t>
      </w:r>
      <w:r>
        <w:rPr>
          <w:spacing w:val="1"/>
        </w:rPr>
        <w:t> </w:t>
      </w:r>
      <w:r>
        <w:rPr/>
        <w:t>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322" w:hRule="exact"/>
        </w:trPr>
        <w:tc>
          <w:tcPr>
            <w:tcW w:w="1912" w:type="dxa"/>
            <w:vMerge w:val="restart"/>
            <w:tcBorders>
              <w:top w:val="single" w:sz="4" w:space="0" w:color="000000"/>
              <w:left w:val="single" w:sz="4" w:space="0" w:color="000000"/>
              <w:right w:val="single" w:sz="10" w:space="0" w:color="D2D2D2"/>
            </w:tcBorders>
            <w:shd w:val="clear" w:color="auto" w:fill="D9D9D9"/>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1912" w:type="dxa"/>
            <w:vMerge/>
            <w:tcBorders>
              <w:left w:val="single" w:sz="4" w:space="0" w:color="000000"/>
              <w:bottom w:val="single" w:sz="4" w:space="0" w:color="000000"/>
              <w:right w:val="single" w:sz="10" w:space="0" w:color="D2D2D2"/>
            </w:tcBorders>
            <w:shd w:val="clear" w:color="auto" w:fill="D9D9D9"/>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216,674,020.67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34,860,233.28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99,382,151.87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16,511,216.17</w:t>
            </w: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39,154,642.26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5,873,196.35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46,516,106.60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6,977,415.99</w:t>
            </w: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89,316,979.93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18,403,876.71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42,615,306.00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7,358,383.45</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66,207,686.47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9,943,689.65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151,492,131.98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23,555,415.73</w:t>
            </w: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预提性费用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101,189,421.95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15,333,631.69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77,992,567.71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11,783,605.54</w:t>
            </w: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70,615,666.64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12,206,237.29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70,117,348.52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10,709,553.08</w:t>
            </w: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16,460,503.61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2,469,075.54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35,663,974.56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5,349,596.18</w:t>
            </w:r>
          </w:p>
        </w:tc>
      </w:tr>
      <w:tr>
        <w:trPr>
          <w:trHeight w:val="634"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22" w:right="77"/>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429,882,868.66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64,482,430.30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105,886,767.49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15,883,015.12</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1,029,501,790.19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163,572,370.81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629,666,354.73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98,128,201.26</w:t>
            </w:r>
          </w:p>
        </w:tc>
      </w:tr>
    </w:tbl>
    <w:p>
      <w:pPr>
        <w:pStyle w:val="Heading4"/>
        <w:spacing w:line="240" w:lineRule="auto" w:before="71"/>
        <w:ind w:right="1034"/>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pStyle w:val="BodyText"/>
        <w:spacing w:line="240" w:lineRule="auto" w:before="128"/>
        <w:ind w:left="0" w:right="1131"/>
        <w:jc w:val="right"/>
      </w:pPr>
      <w:r>
        <w:rPr/>
        <w:t>单位：</w:t>
      </w:r>
      <w:r>
        <w:rPr>
          <w:spacing w:val="1"/>
        </w:rPr>
        <w:t> </w:t>
      </w:r>
      <w:r>
        <w:rPr/>
        <w:t>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32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634"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2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47,348,891.71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11,770,849.87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30,409,792.88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7,490,352.43</w:t>
            </w:r>
          </w:p>
        </w:tc>
      </w:tr>
      <w:tr>
        <w:trPr>
          <w:trHeight w:val="634"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8"/>
              <w:ind w:left="22" w:right="77"/>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159,201,000.00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23,880,150.00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39,375,000.00</w:t>
            </w:r>
          </w:p>
        </w:tc>
      </w:tr>
      <w:tr>
        <w:trPr>
          <w:trHeight w:val="634"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22" w:right="77"/>
              <w:jc w:val="left"/>
              <w:rPr>
                <w:rFonts w:ascii="宋体" w:hAnsi="宋体" w:cs="宋体" w:eastAsia="宋体" w:hint="default"/>
                <w:sz w:val="18"/>
                <w:szCs w:val="18"/>
              </w:rPr>
            </w:pPr>
            <w:r>
              <w:rPr>
                <w:rFonts w:ascii="宋体" w:hAnsi="宋体" w:cs="宋体" w:eastAsia="宋体" w:hint="default"/>
                <w:sz w:val="18"/>
                <w:szCs w:val="18"/>
              </w:rPr>
              <w:t>长期股权投资公允价值 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5,057,714.64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1,264,428.66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211,607,606.35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36,915,428.53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292,909,792.88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46,865,352.43</w:t>
            </w:r>
          </w:p>
        </w:tc>
      </w:tr>
    </w:tbl>
    <w:p>
      <w:pPr>
        <w:pStyle w:val="Heading4"/>
        <w:spacing w:line="240" w:lineRule="auto" w:before="71"/>
        <w:ind w:right="1034"/>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1913"/>
        <w:gridCol w:w="1905"/>
        <w:gridCol w:w="1914"/>
        <w:gridCol w:w="1914"/>
        <w:gridCol w:w="1903"/>
      </w:tblGrid>
      <w:tr>
        <w:trPr>
          <w:trHeight w:val="238"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7"/>
              <w:ind w:right="11"/>
              <w:jc w:val="center"/>
              <w:rPr>
                <w:rFonts w:ascii="宋体" w:hAnsi="宋体" w:cs="宋体" w:eastAsia="宋体" w:hint="default"/>
                <w:sz w:val="18"/>
                <w:szCs w:val="18"/>
              </w:rPr>
            </w:pPr>
            <w:r>
              <w:rPr>
                <w:rFonts w:ascii="宋体" w:hAnsi="宋体" w:cs="宋体" w:eastAsia="宋体" w:hint="default"/>
                <w:sz w:val="18"/>
                <w:szCs w:val="18"/>
              </w:rPr>
              <w:t>递延所得税资产和负债</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抵销后递延所得税资产</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递延所得税资产和负债</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7"/>
              <w:ind w:left="10" w:right="0"/>
              <w:jc w:val="center"/>
              <w:rPr>
                <w:rFonts w:ascii="宋体" w:hAnsi="宋体" w:cs="宋体" w:eastAsia="宋体" w:hint="default"/>
                <w:sz w:val="18"/>
                <w:szCs w:val="18"/>
              </w:rPr>
            </w:pPr>
            <w:r>
              <w:rPr>
                <w:rFonts w:ascii="宋体" w:hAnsi="宋体" w:cs="宋体" w:eastAsia="宋体" w:hint="default"/>
                <w:sz w:val="18"/>
                <w:szCs w:val="18"/>
              </w:rPr>
              <w:t>抵销后递延所得税资产</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或负债期初余额</w:t>
            </w:r>
          </w:p>
        </w:tc>
      </w:tr>
      <w:tr>
        <w:trPr>
          <w:trHeight w:val="468"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7"/>
              <w:ind w:right="23"/>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240"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78"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754" w:right="0"/>
              <w:jc w:val="left"/>
              <w:rPr>
                <w:rFonts w:ascii="Times New Roman" w:hAnsi="Times New Roman" w:cs="Times New Roman" w:eastAsia="Times New Roman" w:hint="default"/>
                <w:sz w:val="18"/>
                <w:szCs w:val="18"/>
              </w:rPr>
            </w:pPr>
            <w:r>
              <w:rPr>
                <w:rFonts w:ascii="Times New Roman"/>
                <w:sz w:val="18"/>
              </w:rPr>
              <w:t>163,572,370.81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846" w:right="0"/>
              <w:jc w:val="left"/>
              <w:rPr>
                <w:rFonts w:ascii="Times New Roman" w:hAnsi="Times New Roman" w:cs="Times New Roman" w:eastAsia="Times New Roman" w:hint="default"/>
                <w:sz w:val="18"/>
                <w:szCs w:val="18"/>
              </w:rPr>
            </w:pPr>
            <w:r>
              <w:rPr>
                <w:rFonts w:ascii="Times New Roman"/>
                <w:sz w:val="18"/>
              </w:rPr>
              <w:t>98,128,201.26</w:t>
            </w:r>
          </w:p>
        </w:tc>
      </w:tr>
    </w:tbl>
    <w:p>
      <w:pPr>
        <w:spacing w:after="0" w:line="240" w:lineRule="auto"/>
        <w:jc w:val="left"/>
        <w:rPr>
          <w:rFonts w:ascii="Times New Roman" w:hAnsi="Times New Roman" w:cs="Times New Roman" w:eastAsia="Times New Roman" w:hint="default"/>
          <w:sz w:val="18"/>
          <w:szCs w:val="18"/>
        </w:rPr>
        <w:sectPr>
          <w:headerReference w:type="default" r:id="rId56"/>
          <w:footerReference w:type="default" r:id="rId57"/>
          <w:pgSz w:w="11910" w:h="16840"/>
          <w:pgMar w:header="877" w:footer="979" w:top="1100" w:bottom="1160" w:left="980" w:right="0"/>
          <w:pgNumType w:start="15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78"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847" w:right="0"/>
              <w:jc w:val="left"/>
              <w:rPr>
                <w:rFonts w:ascii="Times New Roman" w:hAnsi="Times New Roman" w:cs="Times New Roman" w:eastAsia="Times New Roman" w:hint="default"/>
                <w:sz w:val="18"/>
                <w:szCs w:val="18"/>
              </w:rPr>
            </w:pPr>
            <w:r>
              <w:rPr>
                <w:rFonts w:ascii="Times New Roman"/>
                <w:sz w:val="18"/>
              </w:rPr>
              <w:t>36,915,428.53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847" w:right="0"/>
              <w:jc w:val="left"/>
              <w:rPr>
                <w:rFonts w:ascii="Times New Roman" w:hAnsi="Times New Roman" w:cs="Times New Roman" w:eastAsia="Times New Roman" w:hint="default"/>
                <w:sz w:val="18"/>
                <w:szCs w:val="18"/>
              </w:rPr>
            </w:pPr>
            <w:r>
              <w:rPr>
                <w:rFonts w:ascii="Times New Roman"/>
                <w:sz w:val="18"/>
              </w:rPr>
              <w:t>46,865,352.43</w:t>
            </w:r>
          </w:p>
        </w:tc>
      </w:tr>
    </w:tbl>
    <w:p>
      <w:pPr>
        <w:pStyle w:val="Heading4"/>
        <w:spacing w:line="240" w:lineRule="auto" w:before="71"/>
        <w:ind w:right="1034"/>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78"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80"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569,335.71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553,950.97</w:t>
            </w:r>
          </w:p>
        </w:tc>
      </w:tr>
      <w:tr>
        <w:trPr>
          <w:trHeight w:val="478"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73,357,213.10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75,038,523.78</w:t>
            </w:r>
          </w:p>
        </w:tc>
      </w:tr>
      <w:tr>
        <w:trPr>
          <w:trHeight w:val="478"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73,926,548.81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75,592,474.75</w:t>
            </w:r>
          </w:p>
        </w:tc>
      </w:tr>
    </w:tbl>
    <w:p>
      <w:pPr>
        <w:pStyle w:val="Heading4"/>
        <w:spacing w:line="240" w:lineRule="auto" w:before="72"/>
        <w:ind w:right="1034"/>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78"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1007"/>
              <w:jc w:val="right"/>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78"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5"/>
              <w:jc w:val="right"/>
              <w:rPr>
                <w:rFonts w:ascii="Times New Roman" w:hAnsi="Times New Roman" w:cs="Times New Roman" w:eastAsia="Times New Roman" w:hint="default"/>
                <w:sz w:val="18"/>
                <w:szCs w:val="18"/>
              </w:rPr>
            </w:pPr>
            <w:r>
              <w:rPr>
                <w:rFonts w:ascii="Times New Roman"/>
                <w:sz w:val="18"/>
              </w:rPr>
              <w:t>2018</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11,892,395.22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5"/>
              <w:jc w:val="right"/>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7"/>
              <w:jc w:val="right"/>
              <w:rPr>
                <w:rFonts w:ascii="Times New Roman" w:hAnsi="Times New Roman" w:cs="Times New Roman" w:eastAsia="Times New Roman" w:hint="default"/>
                <w:sz w:val="18"/>
                <w:szCs w:val="18"/>
              </w:rPr>
            </w:pPr>
            <w:r>
              <w:rPr>
                <w:rFonts w:ascii="Times New Roman"/>
                <w:spacing w:val="-1"/>
                <w:sz w:val="18"/>
              </w:rPr>
              <w:t>10,010,615.67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10,010,615.67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5"/>
              <w:jc w:val="right"/>
              <w:rPr>
                <w:rFonts w:ascii="Times New Roman" w:hAnsi="Times New Roman" w:cs="Times New Roman" w:eastAsia="Times New Roman" w:hint="default"/>
                <w:sz w:val="18"/>
                <w:szCs w:val="18"/>
              </w:rPr>
            </w:pPr>
            <w:r>
              <w:rPr>
                <w:rFonts w:ascii="Times New Roman"/>
                <w:sz w:val="18"/>
              </w:rPr>
              <w:t>2020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pacing w:val="-1"/>
                <w:sz w:val="18"/>
              </w:rPr>
              <w:t>15,529,251.58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15,529,251.58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5"/>
              <w:jc w:val="right"/>
              <w:rPr>
                <w:rFonts w:ascii="Times New Roman" w:hAnsi="Times New Roman" w:cs="Times New Roman" w:eastAsia="Times New Roman" w:hint="default"/>
                <w:sz w:val="18"/>
                <w:szCs w:val="18"/>
              </w:rPr>
            </w:pPr>
            <w:r>
              <w:rPr>
                <w:rFonts w:ascii="Times New Roman"/>
                <w:sz w:val="18"/>
              </w:rPr>
              <w:t>2021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pacing w:val="-1"/>
                <w:sz w:val="18"/>
              </w:rPr>
              <w:t>28,178,358.17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28,178,358.17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5"/>
              <w:jc w:val="right"/>
              <w:rPr>
                <w:rFonts w:ascii="Times New Roman" w:hAnsi="Times New Roman" w:cs="Times New Roman" w:eastAsia="Times New Roman" w:hint="default"/>
                <w:sz w:val="18"/>
                <w:szCs w:val="18"/>
              </w:rPr>
            </w:pPr>
            <w:r>
              <w:rPr>
                <w:rFonts w:ascii="Times New Roman"/>
                <w:sz w:val="18"/>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pacing w:val="-1"/>
                <w:sz w:val="18"/>
              </w:rPr>
              <w:t>9,427,903.14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9,427,903.14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5"/>
              <w:jc w:val="right"/>
              <w:rPr>
                <w:rFonts w:ascii="Times New Roman" w:hAnsi="Times New Roman" w:cs="Times New Roman" w:eastAsia="Times New Roman" w:hint="default"/>
                <w:sz w:val="18"/>
                <w:szCs w:val="18"/>
              </w:rPr>
            </w:pPr>
            <w:r>
              <w:rPr>
                <w:rFonts w:ascii="Times New Roman"/>
                <w:sz w:val="18"/>
              </w:rPr>
              <w:t>2023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pacing w:val="-1"/>
                <w:sz w:val="18"/>
              </w:rPr>
              <w:t>10,211,084.54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pacing w:val="-1"/>
                <w:sz w:val="18"/>
              </w:rPr>
              <w:t>73,357,213.10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7"/>
              <w:ind w:right="10"/>
              <w:jc w:val="right"/>
              <w:rPr>
                <w:rFonts w:ascii="Times New Roman" w:hAnsi="Times New Roman" w:cs="Times New Roman" w:eastAsia="Times New Roman" w:hint="default"/>
                <w:sz w:val="18"/>
                <w:szCs w:val="18"/>
              </w:rPr>
            </w:pPr>
            <w:r>
              <w:rPr>
                <w:rFonts w:ascii="Times New Roman"/>
                <w:spacing w:val="-1"/>
                <w:sz w:val="18"/>
              </w:rPr>
              <w:t>75,038,523.78</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w:t>
            </w:r>
          </w:p>
        </w:tc>
      </w:tr>
    </w:tbl>
    <w:p>
      <w:pPr>
        <w:pStyle w:val="Heading4"/>
        <w:spacing w:line="240" w:lineRule="auto" w:before="71"/>
        <w:ind w:right="1034"/>
        <w:jc w:val="left"/>
        <w:rPr>
          <w:b w:val="0"/>
          <w:bCs w:val="0"/>
        </w:rPr>
      </w:pPr>
      <w:r>
        <w:rPr>
          <w:rFonts w:ascii="Times New Roman" w:hAnsi="Times New Roman" w:cs="Times New Roman" w:eastAsia="Times New Roman" w:hint="default"/>
        </w:rPr>
        <w:t>18</w:t>
      </w:r>
      <w:r>
        <w:rPr/>
        <w:t>、其他非流动资产</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固定资产购置款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17,891,297.30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33,415,580.45</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18,091,297.30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33,415,580.45</w:t>
            </w:r>
          </w:p>
        </w:tc>
      </w:tr>
    </w:tbl>
    <w:p>
      <w:pPr>
        <w:pStyle w:val="Heading4"/>
        <w:spacing w:line="240" w:lineRule="auto" w:before="71"/>
        <w:ind w:right="1034"/>
        <w:jc w:val="left"/>
        <w:rPr>
          <w:b w:val="0"/>
          <w:bCs w:val="0"/>
        </w:rPr>
      </w:pPr>
      <w:r>
        <w:rPr>
          <w:rFonts w:ascii="Times New Roman" w:hAnsi="Times New Roman" w:cs="Times New Roman" w:eastAsia="Times New Roman" w:hint="default"/>
        </w:rPr>
        <w:t>19</w:t>
      </w:r>
      <w:r>
        <w:rPr/>
        <w:t>、短期借款</w:t>
      </w:r>
      <w:r>
        <w:rPr>
          <w:b w:val="0"/>
          <w:bCs w:val="0"/>
        </w:rPr>
      </w:r>
    </w:p>
    <w:p>
      <w:pPr>
        <w:spacing w:line="240" w:lineRule="auto" w:before="8"/>
        <w:rPr>
          <w:rFonts w:ascii="宋体" w:hAnsi="宋体" w:cs="宋体" w:eastAsia="宋体" w:hint="default"/>
          <w:b/>
          <w:bCs/>
          <w:sz w:val="14"/>
          <w:szCs w:val="14"/>
        </w:rPr>
      </w:pPr>
    </w:p>
    <w:p>
      <w:pPr>
        <w:pStyle w:val="Heading4"/>
        <w:spacing w:line="240" w:lineRule="auto"/>
        <w:ind w:right="1034"/>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80"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18,000,000.00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7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2,331,000.00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35,870,110.14</w:t>
            </w:r>
          </w:p>
        </w:tc>
      </w:tr>
      <w:tr>
        <w:trPr>
          <w:trHeight w:val="47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23,331,000.00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35,870,110.14</w:t>
            </w:r>
          </w:p>
        </w:tc>
      </w:tr>
    </w:tbl>
    <w:p>
      <w:pPr>
        <w:pStyle w:val="Heading4"/>
        <w:spacing w:line="240" w:lineRule="auto" w:before="71"/>
        <w:ind w:right="1034"/>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1"/>
        <w:rPr>
          <w:rFonts w:ascii="宋体" w:hAnsi="宋体" w:cs="宋体" w:eastAsia="宋体" w:hint="default"/>
          <w:b/>
          <w:bCs/>
          <w:sz w:val="15"/>
          <w:szCs w:val="15"/>
        </w:rPr>
      </w:pPr>
    </w:p>
    <w:p>
      <w:pPr>
        <w:pStyle w:val="BodyText"/>
        <w:spacing w:line="240" w:lineRule="auto"/>
        <w:ind w:left="693" w:right="1034"/>
        <w:jc w:val="left"/>
      </w:pPr>
      <w:r>
        <w:rPr/>
        <w:t>本期末没有已逾期未偿还的短期借款。</w:t>
      </w:r>
    </w:p>
    <w:p>
      <w:pPr>
        <w:spacing w:line="240" w:lineRule="auto" w:before="7"/>
        <w:rPr>
          <w:rFonts w:ascii="宋体" w:hAnsi="宋体" w:cs="宋体" w:eastAsia="宋体" w:hint="default"/>
          <w:sz w:val="16"/>
          <w:szCs w:val="16"/>
        </w:rPr>
      </w:pPr>
    </w:p>
    <w:p>
      <w:pPr>
        <w:pStyle w:val="Heading4"/>
        <w:spacing w:line="240" w:lineRule="auto"/>
        <w:ind w:right="1034"/>
        <w:jc w:val="left"/>
        <w:rPr>
          <w:b w:val="0"/>
          <w:bCs w:val="0"/>
        </w:rPr>
      </w:pPr>
      <w:r>
        <w:rPr>
          <w:rFonts w:ascii="Times New Roman" w:hAnsi="Times New Roman" w:cs="Times New Roman" w:eastAsia="Times New Roman" w:hint="default"/>
        </w:rPr>
        <w:t>20</w:t>
      </w:r>
      <w:r>
        <w:rPr/>
        <w:t>、应付票据及应付账款</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80"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106,681,293.96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69,445,798.97</w:t>
            </w:r>
          </w:p>
        </w:tc>
      </w:tr>
      <w:tr>
        <w:trPr>
          <w:trHeight w:val="478"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823,555,261.61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437,761,073.18</w:t>
            </w:r>
          </w:p>
        </w:tc>
      </w:tr>
      <w:tr>
        <w:trPr>
          <w:trHeight w:val="478"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930,236,555.57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507,206,872.15</w:t>
            </w:r>
          </w:p>
        </w:tc>
      </w:tr>
    </w:tbl>
    <w:p>
      <w:pPr>
        <w:pStyle w:val="Heading4"/>
        <w:spacing w:line="240" w:lineRule="auto" w:before="71"/>
        <w:ind w:right="1034"/>
        <w:jc w:val="left"/>
        <w:rPr>
          <w:b w:val="0"/>
          <w:bCs w:val="0"/>
        </w:rPr>
      </w:pPr>
      <w:r>
        <w:rPr/>
        <w:t>（</w:t>
      </w:r>
      <w:r>
        <w:rPr>
          <w:rFonts w:ascii="Times New Roman" w:hAnsi="Times New Roman" w:cs="Times New Roman" w:eastAsia="Times New Roman" w:hint="default"/>
        </w:rPr>
        <w:t>1</w:t>
      </w:r>
      <w:r>
        <w:rPr/>
        <w:t>）应付票据分类列示</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78"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80"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106,681,293.96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69,445,798.97</w:t>
            </w:r>
          </w:p>
        </w:tc>
      </w:tr>
      <w:tr>
        <w:trPr>
          <w:trHeight w:val="478"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106,681,293.96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69,445,798.97</w:t>
            </w:r>
          </w:p>
        </w:tc>
      </w:tr>
    </w:tbl>
    <w:p>
      <w:pPr>
        <w:pStyle w:val="Heading4"/>
        <w:spacing w:line="240" w:lineRule="auto" w:before="71"/>
        <w:ind w:right="1034"/>
        <w:jc w:val="left"/>
        <w:rPr>
          <w:b w:val="0"/>
          <w:bCs w:val="0"/>
        </w:rPr>
      </w:pPr>
      <w:r>
        <w:rPr/>
        <w:t>（</w:t>
      </w:r>
      <w:r>
        <w:rPr>
          <w:rFonts w:ascii="Times New Roman" w:hAnsi="Times New Roman" w:cs="Times New Roman" w:eastAsia="Times New Roman" w:hint="default"/>
        </w:rPr>
        <w:t>2</w:t>
      </w:r>
      <w:r>
        <w:rPr/>
        <w:t>）应付账款列示</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703,794,362.05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425,162,995.01</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74,378,608.43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8,886,763.87</w:t>
            </w:r>
          </w:p>
        </w:tc>
      </w:tr>
      <w:tr>
        <w:trPr>
          <w:trHeight w:val="4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33,569,047.56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1,714,184.29</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11,813,243.57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1,997,130.01</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823,555,261.61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437,761,073.18</w:t>
            </w:r>
          </w:p>
        </w:tc>
      </w:tr>
    </w:tbl>
    <w:p>
      <w:pPr>
        <w:pStyle w:val="Heading4"/>
        <w:spacing w:line="240" w:lineRule="auto" w:before="71"/>
        <w:ind w:right="1034"/>
        <w:jc w:val="left"/>
        <w:rPr>
          <w:b w:val="0"/>
          <w:bCs w:val="0"/>
        </w:rPr>
      </w:pPr>
      <w:r>
        <w:rPr/>
        <w:t>（</w:t>
      </w:r>
      <w:r>
        <w:rPr>
          <w:rFonts w:ascii="Times New Roman" w:hAnsi="Times New Roman" w:cs="Times New Roman" w:eastAsia="Times New Roman" w:hint="default"/>
        </w:rPr>
        <w:t>3</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单位一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15,865,880.74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48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单位二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7,923,945.01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单位三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6,422,642.19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未结算</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16"/>
              <w:jc w:val="right"/>
              <w:rPr>
                <w:rFonts w:ascii="宋体" w:hAnsi="宋体" w:cs="宋体" w:eastAsia="宋体" w:hint="default"/>
                <w:sz w:val="18"/>
                <w:szCs w:val="18"/>
              </w:rPr>
            </w:pPr>
            <w:r>
              <w:rPr>
                <w:rFonts w:ascii="宋体" w:hAnsi="宋体" w:cs="宋体" w:eastAsia="宋体" w:hint="default"/>
                <w:sz w:val="18"/>
                <w:szCs w:val="18"/>
              </w:rPr>
              <w:t>单位四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3,716,400.00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16"/>
              <w:jc w:val="right"/>
              <w:rPr>
                <w:rFonts w:ascii="宋体" w:hAnsi="宋体" w:cs="宋体" w:eastAsia="宋体" w:hint="default"/>
                <w:sz w:val="18"/>
                <w:szCs w:val="18"/>
              </w:rPr>
            </w:pPr>
            <w:r>
              <w:rPr>
                <w:rFonts w:ascii="宋体" w:hAnsi="宋体" w:cs="宋体" w:eastAsia="宋体" w:hint="default"/>
                <w:sz w:val="18"/>
                <w:szCs w:val="18"/>
              </w:rPr>
              <w:t>单位五</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3,254,676.02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48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7"/>
              <w:ind w:right="7"/>
              <w:jc w:val="right"/>
              <w:rPr>
                <w:rFonts w:ascii="Times New Roman" w:hAnsi="Times New Roman" w:cs="Times New Roman" w:eastAsia="Times New Roman" w:hint="default"/>
                <w:sz w:val="18"/>
                <w:szCs w:val="18"/>
              </w:rPr>
            </w:pPr>
            <w:r>
              <w:rPr>
                <w:rFonts w:ascii="Times New Roman"/>
                <w:spacing w:val="-1"/>
                <w:sz w:val="18"/>
              </w:rPr>
              <w:t>37,183,543.96</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w:t>
            </w:r>
          </w:p>
        </w:tc>
      </w:tr>
    </w:tbl>
    <w:p>
      <w:pPr>
        <w:pStyle w:val="Heading4"/>
        <w:spacing w:line="240" w:lineRule="auto" w:before="71"/>
        <w:ind w:right="1034"/>
        <w:jc w:val="left"/>
        <w:rPr>
          <w:b w:val="0"/>
          <w:bCs w:val="0"/>
        </w:rPr>
      </w:pPr>
      <w:r>
        <w:rPr>
          <w:rFonts w:ascii="Times New Roman" w:hAnsi="Times New Roman" w:cs="Times New Roman" w:eastAsia="Times New Roman" w:hint="default"/>
        </w:rPr>
        <w:t>21</w:t>
      </w:r>
      <w:r>
        <w:rPr/>
        <w:t>、预收款项</w:t>
      </w:r>
      <w:r>
        <w:rPr>
          <w:b w:val="0"/>
          <w:bCs w:val="0"/>
        </w:rPr>
      </w:r>
    </w:p>
    <w:p>
      <w:pPr>
        <w:spacing w:line="240" w:lineRule="auto" w:before="8"/>
        <w:rPr>
          <w:rFonts w:ascii="宋体" w:hAnsi="宋体" w:cs="宋体" w:eastAsia="宋体" w:hint="default"/>
          <w:b/>
          <w:bCs/>
          <w:sz w:val="14"/>
          <w:szCs w:val="14"/>
        </w:rPr>
      </w:pPr>
    </w:p>
    <w:p>
      <w:pPr>
        <w:pStyle w:val="Heading4"/>
        <w:spacing w:line="240" w:lineRule="auto"/>
        <w:ind w:right="1034"/>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1,479,835,517.57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1,377,111,746.34</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314,629,476.27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331,165,278.97</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8,579,885.40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14,230,328.74</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8,115,552.81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2,287,379.61</w:t>
            </w:r>
          </w:p>
        </w:tc>
      </w:tr>
      <w:tr>
        <w:trPr>
          <w:trHeight w:val="48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1,811,160,432.05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1,724,794,733.66</w:t>
            </w:r>
          </w:p>
        </w:tc>
      </w:tr>
    </w:tbl>
    <w:p>
      <w:pPr>
        <w:pStyle w:val="Heading4"/>
        <w:spacing w:line="240" w:lineRule="auto" w:before="71"/>
        <w:ind w:right="1034"/>
        <w:jc w:val="left"/>
        <w:rPr>
          <w:b w:val="0"/>
          <w:bCs w:val="0"/>
        </w:rPr>
      </w:pPr>
      <w:r>
        <w:rPr/>
        <w:t>（</w:t>
      </w: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4,707,618.09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未签收</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2,884,073.47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未签收</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2,812,307.69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未签收</w:t>
            </w:r>
          </w:p>
        </w:tc>
      </w:tr>
      <w:tr>
        <w:trPr>
          <w:trHeight w:val="48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2,522,435.17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未签收</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2,421,072.22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未签收</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7"/>
              <w:ind w:right="7"/>
              <w:jc w:val="right"/>
              <w:rPr>
                <w:rFonts w:ascii="Times New Roman" w:hAnsi="Times New Roman" w:cs="Times New Roman" w:eastAsia="Times New Roman" w:hint="default"/>
                <w:sz w:val="18"/>
                <w:szCs w:val="18"/>
              </w:rPr>
            </w:pPr>
            <w:r>
              <w:rPr>
                <w:rFonts w:ascii="Times New Roman"/>
                <w:spacing w:val="-1"/>
                <w:sz w:val="18"/>
              </w:rPr>
              <w:t>15,347,506.64</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w:t>
            </w:r>
          </w:p>
        </w:tc>
      </w:tr>
    </w:tbl>
    <w:p>
      <w:pPr>
        <w:pStyle w:val="Heading4"/>
        <w:spacing w:line="240" w:lineRule="auto" w:before="71"/>
        <w:ind w:right="1034"/>
        <w:jc w:val="left"/>
        <w:rPr>
          <w:b w:val="0"/>
          <w:bCs w:val="0"/>
        </w:rPr>
      </w:pPr>
      <w:r>
        <w:rPr>
          <w:rFonts w:ascii="Times New Roman" w:hAnsi="Times New Roman" w:cs="Times New Roman" w:eastAsia="Times New Roman" w:hint="default"/>
        </w:rPr>
        <w:t>22</w:t>
      </w:r>
      <w:r>
        <w:rPr/>
        <w:t>、应付职工薪酬</w:t>
      </w:r>
      <w:r>
        <w:rPr>
          <w:b w:val="0"/>
          <w:bCs w:val="0"/>
        </w:rPr>
      </w:r>
    </w:p>
    <w:p>
      <w:pPr>
        <w:spacing w:line="240" w:lineRule="auto" w:before="8"/>
        <w:rPr>
          <w:rFonts w:ascii="宋体" w:hAnsi="宋体" w:cs="宋体" w:eastAsia="宋体" w:hint="default"/>
          <w:b/>
          <w:bCs/>
          <w:sz w:val="14"/>
          <w:szCs w:val="14"/>
        </w:rPr>
      </w:pPr>
    </w:p>
    <w:p>
      <w:pPr>
        <w:pStyle w:val="Heading4"/>
        <w:spacing w:line="240" w:lineRule="auto"/>
        <w:ind w:right="1034"/>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2387"/>
        <w:gridCol w:w="1713"/>
        <w:gridCol w:w="1844"/>
        <w:gridCol w:w="1844"/>
        <w:gridCol w:w="1774"/>
      </w:tblGrid>
      <w:tr>
        <w:trPr>
          <w:trHeight w:val="478"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49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52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8"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429,543,478.69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2,045,467,114.44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1,955,734,006.92</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519,276,586.21</w:t>
            </w:r>
          </w:p>
        </w:tc>
      </w:tr>
      <w:tr>
        <w:trPr>
          <w:trHeight w:val="480"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2" w:right="0"/>
              <w:jc w:val="left"/>
              <w:rPr>
                <w:rFonts w:ascii="宋体" w:hAnsi="宋体" w:cs="宋体" w:eastAsia="宋体" w:hint="default"/>
                <w:sz w:val="18"/>
                <w:szCs w:val="18"/>
              </w:rPr>
            </w:pPr>
            <w:r>
              <w:rPr>
                <w:rFonts w:ascii="宋体" w:hAnsi="宋体" w:cs="宋体" w:eastAsia="宋体" w:hint="default"/>
                <w:spacing w:val="-4"/>
                <w:sz w:val="18"/>
                <w:szCs w:val="18"/>
              </w:rPr>
              <w:t>二、离职后福利</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设定提存计划</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1,002,184.75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144,771,175.03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144,507,988.88</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1,265,370.90</w:t>
            </w:r>
          </w:p>
        </w:tc>
      </w:tr>
      <w:tr>
        <w:trPr>
          <w:trHeight w:val="478"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519,889.38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514,889.38</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w w:val="95"/>
                <w:sz w:val="18"/>
              </w:rPr>
              <w:t>5,000.00</w:t>
            </w:r>
          </w:p>
        </w:tc>
      </w:tr>
      <w:tr>
        <w:trPr>
          <w:trHeight w:val="478"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四、一年内到期的其他福利</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09"/>
        <w:gridCol w:w="1702"/>
        <w:gridCol w:w="1844"/>
        <w:gridCol w:w="1844"/>
        <w:gridCol w:w="1774"/>
      </w:tblGrid>
      <w:tr>
        <w:trPr>
          <w:trHeight w:val="478"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543" w:right="0"/>
              <w:jc w:val="left"/>
              <w:rPr>
                <w:rFonts w:ascii="Times New Roman" w:hAnsi="Times New Roman" w:cs="Times New Roman" w:eastAsia="Times New Roman" w:hint="default"/>
                <w:sz w:val="18"/>
                <w:szCs w:val="18"/>
              </w:rPr>
            </w:pPr>
            <w:r>
              <w:rPr>
                <w:rFonts w:ascii="Times New Roman"/>
                <w:sz w:val="18"/>
              </w:rPr>
              <w:t>430,545,663.44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551" w:right="0"/>
              <w:jc w:val="left"/>
              <w:rPr>
                <w:rFonts w:ascii="Times New Roman" w:hAnsi="Times New Roman" w:cs="Times New Roman" w:eastAsia="Times New Roman" w:hint="default"/>
                <w:sz w:val="18"/>
                <w:szCs w:val="18"/>
              </w:rPr>
            </w:pPr>
            <w:r>
              <w:rPr>
                <w:rFonts w:ascii="Times New Roman"/>
                <w:sz w:val="18"/>
              </w:rPr>
              <w:t>2,190,758,178.85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552" w:right="0"/>
              <w:jc w:val="left"/>
              <w:rPr>
                <w:rFonts w:ascii="Times New Roman" w:hAnsi="Times New Roman" w:cs="Times New Roman" w:eastAsia="Times New Roman" w:hint="default"/>
                <w:sz w:val="18"/>
                <w:szCs w:val="18"/>
              </w:rPr>
            </w:pPr>
            <w:r>
              <w:rPr>
                <w:rFonts w:ascii="Times New Roman"/>
                <w:sz w:val="18"/>
              </w:rPr>
              <w:t>2,100,756,885.18</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614" w:right="0"/>
              <w:jc w:val="left"/>
              <w:rPr>
                <w:rFonts w:ascii="Times New Roman" w:hAnsi="Times New Roman" w:cs="Times New Roman" w:eastAsia="Times New Roman" w:hint="default"/>
                <w:sz w:val="18"/>
                <w:szCs w:val="18"/>
              </w:rPr>
            </w:pPr>
            <w:r>
              <w:rPr>
                <w:rFonts w:ascii="Times New Roman"/>
                <w:sz w:val="18"/>
              </w:rPr>
              <w:t>520,546,957.11</w:t>
            </w:r>
          </w:p>
        </w:tc>
      </w:tr>
    </w:tbl>
    <w:p>
      <w:pPr>
        <w:pStyle w:val="Heading4"/>
        <w:spacing w:line="240" w:lineRule="auto" w:before="71"/>
        <w:ind w:right="1034"/>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2387"/>
        <w:gridCol w:w="1713"/>
        <w:gridCol w:w="1844"/>
        <w:gridCol w:w="1844"/>
        <w:gridCol w:w="1774"/>
      </w:tblGrid>
      <w:tr>
        <w:trPr>
          <w:trHeight w:val="478"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49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52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80"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424,979,460.92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1,846,092,574.48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1,753,463,107.34</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517,608,928.06</w:t>
            </w:r>
          </w:p>
        </w:tc>
      </w:tr>
      <w:tr>
        <w:trPr>
          <w:trHeight w:val="478"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2,801,693.77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58,622,942.72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61,062,103.55</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362,532.94</w:t>
            </w:r>
          </w:p>
        </w:tc>
      </w:tr>
      <w:tr>
        <w:trPr>
          <w:trHeight w:val="478"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503,911.74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74,293,448.51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74,137,678.10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659,682.15</w:t>
            </w:r>
          </w:p>
        </w:tc>
      </w:tr>
      <w:tr>
        <w:trPr>
          <w:trHeight w:val="478"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430,335.99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63,732,446.45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63,633,385.81</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529,396.63</w:t>
            </w:r>
          </w:p>
        </w:tc>
      </w:tr>
      <w:tr>
        <w:trPr>
          <w:trHeight w:val="478"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91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32,496.84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4,077,404.83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4,020,871.53</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89,030.14</w:t>
            </w:r>
          </w:p>
        </w:tc>
      </w:tr>
      <w:tr>
        <w:trPr>
          <w:trHeight w:val="478"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91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41,078.91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6,483,597.23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6,483,420.76</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41,255.38</w:t>
            </w:r>
          </w:p>
        </w:tc>
      </w:tr>
      <w:tr>
        <w:trPr>
          <w:trHeight w:val="480"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425,987.00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58,613,411.74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58,833,498.85</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205,899.89</w:t>
            </w:r>
          </w:p>
        </w:tc>
      </w:tr>
      <w:tr>
        <w:trPr>
          <w:trHeight w:val="478"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832,425.26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7,844,736.99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8,237,619.08</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439,543.17</w:t>
            </w:r>
          </w:p>
        </w:tc>
      </w:tr>
      <w:tr>
        <w:trPr>
          <w:trHeight w:val="478"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、短期利润分享计划</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429,543,478.69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2,045,467,114.44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1,955,734,006.92</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519,276,586.21</w:t>
            </w:r>
          </w:p>
        </w:tc>
      </w:tr>
    </w:tbl>
    <w:p>
      <w:pPr>
        <w:pStyle w:val="Heading4"/>
        <w:spacing w:line="240" w:lineRule="auto" w:before="71"/>
        <w:ind w:right="1034"/>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80"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963,639.18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139,542,231.91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139,285,351.17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1,220,519.92</w:t>
            </w:r>
          </w:p>
        </w:tc>
      </w:tr>
      <w:tr>
        <w:trPr>
          <w:trHeight w:val="47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38,545.57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5,228,943.12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5,222,637.71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44,850.98</w:t>
            </w:r>
          </w:p>
        </w:tc>
      </w:tr>
      <w:tr>
        <w:trPr>
          <w:trHeight w:val="47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1,002,184.75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144,771,175.03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144,507,988.88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1,265,370.90</w:t>
            </w:r>
          </w:p>
        </w:tc>
      </w:tr>
    </w:tbl>
    <w:p>
      <w:pPr>
        <w:pStyle w:val="Heading4"/>
        <w:spacing w:line="240" w:lineRule="auto" w:before="71"/>
        <w:ind w:right="1034"/>
        <w:jc w:val="left"/>
        <w:rPr>
          <w:b w:val="0"/>
          <w:bCs w:val="0"/>
        </w:rPr>
      </w:pPr>
      <w:r>
        <w:rPr>
          <w:rFonts w:ascii="Times New Roman" w:hAnsi="Times New Roman" w:cs="Times New Roman" w:eastAsia="Times New Roman" w:hint="default"/>
        </w:rPr>
        <w:t>23</w:t>
      </w:r>
      <w:r>
        <w:rPr/>
        <w:t>、应交税费</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7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79,870,567.27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78,138,745.32</w:t>
            </w:r>
          </w:p>
        </w:tc>
      </w:tr>
      <w:tr>
        <w:trPr>
          <w:trHeight w:val="478"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302.31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83,181,643.19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72,470,941.58</w:t>
            </w:r>
          </w:p>
        </w:tc>
      </w:tr>
      <w:tr>
        <w:trPr>
          <w:trHeight w:val="478"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2,479,989.05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2,559,798.66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78"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4,104,256.07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5,704,407.72</w:t>
            </w:r>
          </w:p>
        </w:tc>
      </w:tr>
      <w:tr>
        <w:trPr>
          <w:trHeight w:val="478"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1,771,735.25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2,467,628.97</w:t>
            </w:r>
          </w:p>
        </w:tc>
      </w:tr>
      <w:tr>
        <w:trPr>
          <w:trHeight w:val="478"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1,176,585.82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1,635,380.14</w:t>
            </w:r>
          </w:p>
        </w:tc>
      </w:tr>
      <w:tr>
        <w:trPr>
          <w:trHeight w:val="480"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32,336.50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30,183.42</w:t>
            </w:r>
          </w:p>
        </w:tc>
      </w:tr>
      <w:tr>
        <w:trPr>
          <w:trHeight w:val="478"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251,823.44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326,585.49</w:t>
            </w:r>
          </w:p>
        </w:tc>
      </w:tr>
      <w:tr>
        <w:trPr>
          <w:trHeight w:val="478"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1,074,669.01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3,238,049.37</w:t>
            </w:r>
          </w:p>
        </w:tc>
      </w:tr>
      <w:tr>
        <w:trPr>
          <w:trHeight w:val="478"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199,145.40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219,426.00</w:t>
            </w:r>
          </w:p>
        </w:tc>
      </w:tr>
      <w:tr>
        <w:trPr>
          <w:trHeight w:val="478"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4,560,607.13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3,571,245.57</w:t>
            </w:r>
          </w:p>
        </w:tc>
      </w:tr>
      <w:tr>
        <w:trPr>
          <w:trHeight w:val="478"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环境保护税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925.24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14,931.51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178,719,517.19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170,362,392.24</w:t>
            </w:r>
          </w:p>
        </w:tc>
      </w:tr>
    </w:tbl>
    <w:p>
      <w:pPr>
        <w:pStyle w:val="Heading4"/>
        <w:spacing w:line="240" w:lineRule="auto" w:before="71"/>
        <w:ind w:right="1034"/>
        <w:jc w:val="left"/>
        <w:rPr>
          <w:b w:val="0"/>
          <w:bCs w:val="0"/>
        </w:rPr>
      </w:pPr>
      <w:r>
        <w:rPr>
          <w:rFonts w:ascii="Times New Roman" w:hAnsi="Times New Roman" w:cs="Times New Roman" w:eastAsia="Times New Roman" w:hint="default"/>
        </w:rPr>
        <w:t>24</w:t>
      </w:r>
      <w:r>
        <w:rPr/>
        <w:t>、其他应付款</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78"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67,832.81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14,815,400.00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908,067.08</w:t>
            </w:r>
          </w:p>
        </w:tc>
      </w:tr>
      <w:tr>
        <w:trPr>
          <w:trHeight w:val="480"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341,741,050.06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220,310,348.32</w:t>
            </w:r>
          </w:p>
        </w:tc>
      </w:tr>
      <w:tr>
        <w:trPr>
          <w:trHeight w:val="478"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356,624,282.87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221,218,415.40</w:t>
            </w:r>
          </w:p>
        </w:tc>
      </w:tr>
    </w:tbl>
    <w:p>
      <w:pPr>
        <w:pStyle w:val="Heading4"/>
        <w:spacing w:line="240" w:lineRule="auto" w:before="71"/>
        <w:ind w:right="1034"/>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78"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67,832.81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67,832.81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Heading4"/>
        <w:spacing w:line="240" w:lineRule="auto" w:before="71"/>
        <w:ind w:right="1034"/>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78"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14,815,400.00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908,067.08</w:t>
            </w:r>
          </w:p>
        </w:tc>
      </w:tr>
      <w:tr>
        <w:trPr>
          <w:trHeight w:val="478"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14,815,400.00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908,067.08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2"/>
        <w:rPr>
          <w:rFonts w:ascii="宋体" w:hAnsi="宋体" w:cs="宋体" w:eastAsia="宋体" w:hint="default"/>
          <w:sz w:val="27"/>
          <w:szCs w:val="27"/>
        </w:rPr>
      </w:pPr>
    </w:p>
    <w:p>
      <w:pPr>
        <w:pStyle w:val="Heading4"/>
        <w:spacing w:line="240" w:lineRule="auto" w:before="37"/>
        <w:ind w:right="1034"/>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11"/>
        <w:rPr>
          <w:rFonts w:ascii="宋体" w:hAnsi="宋体" w:cs="宋体" w:eastAsia="宋体" w:hint="default"/>
          <w:b/>
          <w:bCs/>
          <w:sz w:val="15"/>
          <w:szCs w:val="15"/>
        </w:rPr>
      </w:pPr>
    </w:p>
    <w:p>
      <w:pPr>
        <w:pStyle w:val="BodyText"/>
        <w:spacing w:line="240" w:lineRule="auto"/>
        <w:ind w:right="1034"/>
        <w:jc w:val="left"/>
      </w:pPr>
      <w:r>
        <w:rPr>
          <w:rFonts w:ascii="Times New Roman" w:hAnsi="Times New Roman" w:cs="Times New Roman" w:eastAsia="Times New Roman" w:hint="default"/>
        </w:rPr>
        <w:t>1)</w:t>
      </w:r>
      <w:r>
        <w:rPr/>
        <w:t>按款项性质列示其他应付款</w:t>
      </w:r>
    </w:p>
    <w:p>
      <w:pPr>
        <w:spacing w:line="240" w:lineRule="auto" w:before="4"/>
        <w:rPr>
          <w:rFonts w:ascii="宋体" w:hAnsi="宋体" w:cs="宋体" w:eastAsia="宋体" w:hint="default"/>
          <w:sz w:val="13"/>
          <w:szCs w:val="1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274,100,739.88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122,015,900.37</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16,558,242.36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53,213,253.96</w:t>
            </w:r>
          </w:p>
        </w:tc>
      </w:tr>
      <w:tr>
        <w:trPr>
          <w:trHeight w:val="48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16,757,971.01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35,365,524.29</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34,324,096.81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9,715,669.70</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341,741,050.06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220,310,348.32</w:t>
            </w:r>
          </w:p>
        </w:tc>
      </w:tr>
    </w:tbl>
    <w:p>
      <w:pPr>
        <w:pStyle w:val="BodyText"/>
        <w:spacing w:line="240" w:lineRule="auto" w:before="87"/>
        <w:ind w:right="1034"/>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年的重要其他应付款</w:t>
      </w:r>
    </w:p>
    <w:p>
      <w:pPr>
        <w:spacing w:line="240" w:lineRule="auto" w:before="4"/>
        <w:rPr>
          <w:rFonts w:ascii="宋体" w:hAnsi="宋体" w:cs="宋体" w:eastAsia="宋体" w:hint="default"/>
          <w:sz w:val="13"/>
          <w:szCs w:val="1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16"/>
              <w:jc w:val="right"/>
              <w:rPr>
                <w:rFonts w:ascii="宋体" w:hAnsi="宋体" w:cs="宋体" w:eastAsia="宋体" w:hint="default"/>
                <w:sz w:val="18"/>
                <w:szCs w:val="18"/>
              </w:rPr>
            </w:pPr>
            <w:r>
              <w:rPr>
                <w:rFonts w:ascii="宋体" w:hAnsi="宋体" w:cs="宋体" w:eastAsia="宋体" w:hint="default"/>
                <w:sz w:val="18"/>
                <w:szCs w:val="18"/>
              </w:rPr>
              <w:t>单位一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27,300,000.00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48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316"/>
              <w:jc w:val="right"/>
              <w:rPr>
                <w:rFonts w:ascii="宋体" w:hAnsi="宋体" w:cs="宋体" w:eastAsia="宋体" w:hint="default"/>
                <w:sz w:val="18"/>
                <w:szCs w:val="18"/>
              </w:rPr>
            </w:pPr>
            <w:r>
              <w:rPr>
                <w:rFonts w:ascii="宋体" w:hAnsi="宋体" w:cs="宋体" w:eastAsia="宋体" w:hint="default"/>
                <w:sz w:val="18"/>
                <w:szCs w:val="18"/>
              </w:rPr>
              <w:t>单位二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7,146,625.35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16"/>
              <w:jc w:val="right"/>
              <w:rPr>
                <w:rFonts w:ascii="宋体" w:hAnsi="宋体" w:cs="宋体" w:eastAsia="宋体" w:hint="default"/>
                <w:sz w:val="18"/>
                <w:szCs w:val="18"/>
              </w:rPr>
            </w:pPr>
            <w:r>
              <w:rPr>
                <w:rFonts w:ascii="宋体" w:hAnsi="宋体" w:cs="宋体" w:eastAsia="宋体" w:hint="default"/>
                <w:sz w:val="18"/>
                <w:szCs w:val="18"/>
              </w:rPr>
              <w:t>单位三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3,690,445.56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16"/>
              <w:jc w:val="right"/>
              <w:rPr>
                <w:rFonts w:ascii="宋体" w:hAnsi="宋体" w:cs="宋体" w:eastAsia="宋体" w:hint="default"/>
                <w:sz w:val="18"/>
                <w:szCs w:val="18"/>
              </w:rPr>
            </w:pPr>
            <w:r>
              <w:rPr>
                <w:rFonts w:ascii="宋体" w:hAnsi="宋体" w:cs="宋体" w:eastAsia="宋体" w:hint="default"/>
                <w:sz w:val="18"/>
                <w:szCs w:val="18"/>
              </w:rPr>
              <w:t>单位四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2,800,000.00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16"/>
              <w:jc w:val="right"/>
              <w:rPr>
                <w:rFonts w:ascii="宋体" w:hAnsi="宋体" w:cs="宋体" w:eastAsia="宋体" w:hint="default"/>
                <w:sz w:val="18"/>
                <w:szCs w:val="18"/>
              </w:rPr>
            </w:pPr>
            <w:r>
              <w:rPr>
                <w:rFonts w:ascii="宋体" w:hAnsi="宋体" w:cs="宋体" w:eastAsia="宋体" w:hint="default"/>
                <w:sz w:val="18"/>
                <w:szCs w:val="18"/>
              </w:rPr>
              <w:t>单位五</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2,425,166.00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7"/>
              <w:ind w:right="7"/>
              <w:jc w:val="right"/>
              <w:rPr>
                <w:rFonts w:ascii="Times New Roman" w:hAnsi="Times New Roman" w:cs="Times New Roman" w:eastAsia="Times New Roman" w:hint="default"/>
                <w:sz w:val="18"/>
                <w:szCs w:val="18"/>
              </w:rPr>
            </w:pPr>
            <w:r>
              <w:rPr>
                <w:rFonts w:ascii="Times New Roman"/>
                <w:spacing w:val="-1"/>
                <w:sz w:val="18"/>
              </w:rPr>
              <w:t>43,362,236.91</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w:t>
            </w:r>
          </w:p>
        </w:tc>
      </w:tr>
    </w:tbl>
    <w:p>
      <w:pPr>
        <w:pStyle w:val="Heading4"/>
        <w:spacing w:line="240" w:lineRule="auto" w:before="71"/>
        <w:ind w:right="1034"/>
        <w:jc w:val="left"/>
        <w:rPr>
          <w:b w:val="0"/>
          <w:bCs w:val="0"/>
        </w:rPr>
      </w:pPr>
      <w:r>
        <w:rPr>
          <w:rFonts w:ascii="Times New Roman" w:hAnsi="Times New Roman" w:cs="Times New Roman" w:eastAsia="Times New Roman" w:hint="default"/>
        </w:rPr>
        <w:t>25</w:t>
      </w:r>
      <w:r>
        <w:rPr/>
        <w:t>、长期借款</w:t>
      </w:r>
      <w:r>
        <w:rPr>
          <w:b w:val="0"/>
          <w:bCs w:val="0"/>
        </w:rPr>
      </w:r>
    </w:p>
    <w:p>
      <w:pPr>
        <w:spacing w:line="240" w:lineRule="auto" w:before="8"/>
        <w:rPr>
          <w:rFonts w:ascii="宋体" w:hAnsi="宋体" w:cs="宋体" w:eastAsia="宋体" w:hint="default"/>
          <w:b/>
          <w:bCs/>
          <w:sz w:val="14"/>
          <w:szCs w:val="14"/>
        </w:rPr>
      </w:pPr>
    </w:p>
    <w:p>
      <w:pPr>
        <w:pStyle w:val="Heading4"/>
        <w:spacing w:line="240" w:lineRule="auto"/>
        <w:ind w:right="1034"/>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80"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Heading4"/>
        <w:spacing w:line="240" w:lineRule="auto" w:before="71"/>
        <w:ind w:right="1034"/>
        <w:jc w:val="left"/>
        <w:rPr>
          <w:b w:val="0"/>
          <w:bCs w:val="0"/>
        </w:rPr>
      </w:pPr>
      <w:r>
        <w:rPr>
          <w:rFonts w:ascii="Times New Roman" w:hAnsi="Times New Roman" w:cs="Times New Roman" w:eastAsia="Times New Roman" w:hint="default"/>
        </w:rPr>
        <w:t>26</w:t>
      </w:r>
      <w:r>
        <w:rPr/>
        <w:t>、递延收益</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78"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78"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70,117,348.52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40,388,260.00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39,423,275.23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71,082,333.29</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70,117,348.52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40,388,260.00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39,423,275.23</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9"/>
              <w:ind w:right="8"/>
              <w:jc w:val="right"/>
              <w:rPr>
                <w:rFonts w:ascii="Times New Roman" w:hAnsi="Times New Roman" w:cs="Times New Roman" w:eastAsia="Times New Roman" w:hint="default"/>
                <w:sz w:val="18"/>
                <w:szCs w:val="18"/>
              </w:rPr>
            </w:pPr>
            <w:r>
              <w:rPr>
                <w:rFonts w:ascii="Times New Roman"/>
                <w:spacing w:val="-1"/>
                <w:sz w:val="18"/>
              </w:rPr>
              <w:t>71,082,333.29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2"/>
        <w:rPr>
          <w:rFonts w:ascii="宋体" w:hAnsi="宋体" w:cs="宋体" w:eastAsia="宋体" w:hint="default"/>
          <w:sz w:val="27"/>
          <w:szCs w:val="27"/>
        </w:rPr>
      </w:pPr>
    </w:p>
    <w:p>
      <w:pPr>
        <w:pStyle w:val="Heading4"/>
        <w:spacing w:line="240" w:lineRule="auto" w:before="37"/>
        <w:ind w:right="1034"/>
        <w:jc w:val="left"/>
        <w:rPr>
          <w:b w:val="0"/>
          <w:bCs w:val="0"/>
        </w:rPr>
      </w:pPr>
      <w:r>
        <w:rPr>
          <w:rFonts w:ascii="Times New Roman" w:hAnsi="Times New Roman" w:cs="Times New Roman" w:eastAsia="Times New Roman" w:hint="default"/>
        </w:rPr>
        <w:t>27</w:t>
      </w:r>
      <w:r>
        <w:rPr/>
        <w:t>、股本</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单位：元</w:t>
      </w:r>
    </w:p>
    <w:p>
      <w:pPr>
        <w:spacing w:line="240" w:lineRule="auto" w:before="1"/>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1184"/>
        <w:gridCol w:w="1357"/>
        <w:gridCol w:w="1036"/>
        <w:gridCol w:w="1195"/>
        <w:gridCol w:w="1198"/>
        <w:gridCol w:w="1195"/>
        <w:gridCol w:w="893"/>
        <w:gridCol w:w="1500"/>
      </w:tblGrid>
      <w:tr>
        <w:trPr>
          <w:trHeight w:val="245"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551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7"/>
              <w:ind w:left="1808"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28"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7"/>
              <w:ind w:left="3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518" w:type="dxa"/>
            <w:gridSpan w:val="5"/>
            <w:vMerge/>
            <w:tcBorders>
              <w:left w:val="single" w:sz="4" w:space="0" w:color="000000"/>
              <w:bottom w:val="single" w:sz="4" w:space="0" w:color="000000"/>
              <w:right w:val="single" w:sz="4" w:space="0" w:color="000000"/>
            </w:tcBorders>
            <w:shd w:val="clear" w:color="auto" w:fill="D2D2D2"/>
          </w:tcPr>
          <w:p>
            <w:pPr/>
          </w:p>
        </w:tc>
        <w:tc>
          <w:tcPr>
            <w:tcW w:w="15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7"/>
              <w:ind w:left="3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357" w:type="dxa"/>
            <w:vMerge/>
            <w:tcBorders>
              <w:left w:val="single" w:sz="4" w:space="0" w:color="000000"/>
              <w:bottom w:val="nil" w:sz="6" w:space="0" w:color="auto"/>
              <w:right w:val="single" w:sz="4" w:space="0" w:color="000000"/>
            </w:tcBorders>
            <w:shd w:val="clear" w:color="auto" w:fill="D2D2D2"/>
          </w:tcPr>
          <w:p>
            <w:pPr/>
          </w:p>
        </w:tc>
        <w:tc>
          <w:tcPr>
            <w:tcW w:w="10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2"/>
              <w:ind w:left="15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2"/>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2"/>
              <w:ind w:left="26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00" w:type="dxa"/>
            <w:vMerge/>
            <w:tcBorders>
              <w:left w:val="single" w:sz="4" w:space="0" w:color="000000"/>
              <w:bottom w:val="nil" w:sz="6" w:space="0" w:color="auto"/>
              <w:right w:val="single" w:sz="4" w:space="0" w:color="000000"/>
            </w:tcBorders>
            <w:shd w:val="clear" w:color="auto" w:fill="D2D2D2"/>
          </w:tcPr>
          <w:p>
            <w:pPr/>
          </w:p>
        </w:tc>
      </w:tr>
      <w:tr>
        <w:trPr>
          <w:trHeight w:val="242"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c>
          <w:tcPr>
            <w:tcW w:w="15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80"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35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7"/>
              <w:ind w:left="53" w:right="0"/>
              <w:jc w:val="left"/>
              <w:rPr>
                <w:rFonts w:ascii="Times New Roman" w:hAnsi="Times New Roman" w:cs="Times New Roman" w:eastAsia="Times New Roman" w:hint="default"/>
                <w:sz w:val="18"/>
                <w:szCs w:val="18"/>
              </w:rPr>
            </w:pPr>
            <w:r>
              <w:rPr>
                <w:rFonts w:ascii="Times New Roman"/>
                <w:sz w:val="18"/>
              </w:rPr>
              <w:t>2,428,885,725.00</w:t>
            </w:r>
          </w:p>
        </w:tc>
        <w:tc>
          <w:tcPr>
            <w:tcW w:w="103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08" w:right="0"/>
              <w:jc w:val="left"/>
              <w:rPr>
                <w:rFonts w:ascii="Times New Roman" w:hAnsi="Times New Roman" w:cs="Times New Roman" w:eastAsia="Times New Roman" w:hint="default"/>
                <w:sz w:val="18"/>
                <w:szCs w:val="18"/>
              </w:rPr>
            </w:pPr>
            <w:r>
              <w:rPr>
                <w:rFonts w:ascii="Times New Roman"/>
                <w:sz w:val="18"/>
              </w:rPr>
              <w:t>2,428,885,725.00</w:t>
            </w:r>
          </w:p>
        </w:tc>
      </w:tr>
    </w:tbl>
    <w:p>
      <w:pPr>
        <w:pStyle w:val="Heading4"/>
        <w:spacing w:line="240" w:lineRule="auto" w:before="71"/>
        <w:ind w:right="1034"/>
        <w:jc w:val="left"/>
        <w:rPr>
          <w:b w:val="0"/>
          <w:bCs w:val="0"/>
        </w:rPr>
      </w:pPr>
      <w:r>
        <w:rPr>
          <w:rFonts w:ascii="Times New Roman" w:hAnsi="Times New Roman" w:cs="Times New Roman" w:eastAsia="Times New Roman" w:hint="default"/>
        </w:rPr>
        <w:t>28</w:t>
      </w:r>
      <w:r>
        <w:rPr/>
        <w:t>、资本公积</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7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2,289,345,715.27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2,289,345,715.27</w:t>
            </w:r>
          </w:p>
        </w:tc>
      </w:tr>
      <w:tr>
        <w:trPr>
          <w:trHeight w:val="47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8,780,104.29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8,780,104.29</w:t>
            </w:r>
          </w:p>
        </w:tc>
      </w:tr>
      <w:tr>
        <w:trPr>
          <w:trHeight w:val="47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2,298,125,819.56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2,298,125,819.56</w:t>
            </w:r>
          </w:p>
        </w:tc>
      </w:tr>
    </w:tbl>
    <w:p>
      <w:pPr>
        <w:pStyle w:val="Heading4"/>
        <w:spacing w:line="240" w:lineRule="auto" w:before="71"/>
        <w:ind w:right="1034"/>
        <w:jc w:val="left"/>
        <w:rPr>
          <w:b w:val="0"/>
          <w:bCs w:val="0"/>
        </w:rPr>
      </w:pPr>
      <w:r>
        <w:rPr>
          <w:rFonts w:ascii="Times New Roman" w:hAnsi="Times New Roman" w:cs="Times New Roman" w:eastAsia="Times New Roman" w:hint="default"/>
        </w:rPr>
        <w:t>29</w:t>
      </w:r>
      <w:r>
        <w:rPr/>
        <w:t>、库存股</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79"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股权回购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113,006,514.72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113,006,514.72</w:t>
            </w:r>
          </w:p>
        </w:tc>
      </w:tr>
      <w:tr>
        <w:trPr>
          <w:trHeight w:val="478"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113,006,514.72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113,006,514.72</w:t>
            </w:r>
          </w:p>
        </w:tc>
      </w:tr>
    </w:tbl>
    <w:p>
      <w:pPr>
        <w:pStyle w:val="Heading4"/>
        <w:spacing w:line="240" w:lineRule="auto" w:before="71"/>
        <w:ind w:right="1034"/>
        <w:jc w:val="left"/>
        <w:rPr>
          <w:b w:val="0"/>
          <w:bCs w:val="0"/>
        </w:rPr>
      </w:pPr>
      <w:r>
        <w:rPr>
          <w:rFonts w:ascii="Times New Roman" w:hAnsi="Times New Roman" w:cs="Times New Roman" w:eastAsia="Times New Roman" w:hint="default"/>
        </w:rPr>
        <w:t>30</w:t>
      </w:r>
      <w:r>
        <w:rPr/>
        <w:t>、其他综合收益</w:t>
      </w:r>
      <w:r>
        <w:rPr>
          <w:b w:val="0"/>
          <w:bCs w:val="0"/>
        </w:rPr>
      </w:r>
    </w:p>
    <w:p>
      <w:pPr>
        <w:pStyle w:val="BodyText"/>
        <w:spacing w:line="240" w:lineRule="auto" w:before="128"/>
        <w:ind w:left="0" w:right="1131"/>
        <w:jc w:val="right"/>
      </w:pPr>
      <w:r>
        <w:rPr/>
        <w:t>单位：</w:t>
      </w:r>
      <w:r>
        <w:rPr>
          <w:spacing w:val="1"/>
        </w:rPr>
        <w:t> </w:t>
      </w:r>
      <w:r>
        <w:rPr/>
        <w:t>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097"/>
        <w:gridCol w:w="1286"/>
        <w:gridCol w:w="994"/>
        <w:gridCol w:w="991"/>
        <w:gridCol w:w="852"/>
        <w:gridCol w:w="850"/>
        <w:gridCol w:w="691"/>
        <w:gridCol w:w="797"/>
      </w:tblGrid>
      <w:tr>
        <w:trPr>
          <w:trHeight w:val="317" w:hRule="exact"/>
        </w:trPr>
        <w:tc>
          <w:tcPr>
            <w:tcW w:w="3097" w:type="dxa"/>
            <w:vMerge w:val="restart"/>
            <w:tcBorders>
              <w:top w:val="single" w:sz="4" w:space="0" w:color="000000"/>
              <w:left w:val="single" w:sz="4" w:space="0" w:color="000000"/>
              <w:right w:val="single" w:sz="4" w:space="0" w:color="000000"/>
            </w:tcBorders>
            <w:shd w:val="clear" w:color="auto" w:fill="D2D2D2"/>
          </w:tcPr>
          <w:p>
            <w:pPr/>
          </w:p>
        </w:tc>
        <w:tc>
          <w:tcPr>
            <w:tcW w:w="1286" w:type="dxa"/>
            <w:vMerge w:val="restart"/>
            <w:tcBorders>
              <w:top w:val="single" w:sz="4" w:space="0" w:color="000000"/>
              <w:left w:val="single" w:sz="4" w:space="0" w:color="000000"/>
              <w:right w:val="single" w:sz="4" w:space="0" w:color="000000"/>
            </w:tcBorders>
            <w:shd w:val="clear" w:color="auto" w:fill="D2D2D2"/>
          </w:tcPr>
          <w:p>
            <w:pPr/>
          </w:p>
        </w:tc>
        <w:tc>
          <w:tcPr>
            <w:tcW w:w="437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66" w:hRule="exact"/>
        </w:trPr>
        <w:tc>
          <w:tcPr>
            <w:tcW w:w="3097" w:type="dxa"/>
            <w:vMerge/>
            <w:tcBorders>
              <w:left w:val="single" w:sz="4" w:space="0" w:color="000000"/>
              <w:right w:val="single" w:sz="4" w:space="0" w:color="000000"/>
            </w:tcBorders>
            <w:shd w:val="clear" w:color="auto" w:fill="D2D2D2"/>
          </w:tcPr>
          <w:p>
            <w:pPr/>
          </w:p>
        </w:tc>
        <w:tc>
          <w:tcPr>
            <w:tcW w:w="1286" w:type="dxa"/>
            <w:vMerge/>
            <w:tcBorders>
              <w:left w:val="single" w:sz="4" w:space="0" w:color="000000"/>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3"/>
              <w:ind w:left="40" w:right="38"/>
              <w:jc w:val="center"/>
              <w:rPr>
                <w:rFonts w:ascii="宋体" w:hAnsi="宋体" w:cs="宋体" w:eastAsia="宋体" w:hint="default"/>
                <w:sz w:val="18"/>
                <w:szCs w:val="18"/>
              </w:rPr>
            </w:pPr>
            <w:r>
              <w:rPr>
                <w:rFonts w:ascii="宋体" w:hAnsi="宋体" w:cs="宋体" w:eastAsia="宋体" w:hint="default"/>
                <w:sz w:val="18"/>
                <w:szCs w:val="18"/>
              </w:rPr>
              <w:t>减：前期计 入其他综合 收益当期转 入损益</w:t>
            </w: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r>
      <w:tr>
        <w:trPr>
          <w:trHeight w:val="154" w:hRule="exact"/>
        </w:trPr>
        <w:tc>
          <w:tcPr>
            <w:tcW w:w="3097" w:type="dxa"/>
            <w:vMerge/>
            <w:tcBorders>
              <w:left w:val="single" w:sz="4" w:space="0" w:color="000000"/>
              <w:bottom w:val="nil" w:sz="6" w:space="0" w:color="auto"/>
              <w:right w:val="single" w:sz="4" w:space="0" w:color="000000"/>
            </w:tcBorders>
            <w:shd w:val="clear" w:color="auto" w:fill="D2D2D2"/>
          </w:tcPr>
          <w:p>
            <w:pPr/>
          </w:p>
        </w:tc>
        <w:tc>
          <w:tcPr>
            <w:tcW w:w="1286"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72" w:right="67"/>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11" w:hRule="exact"/>
        </w:trPr>
        <w:tc>
          <w:tcPr>
            <w:tcW w:w="30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4"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0"/>
              <w:ind w:left="131" w:right="41" w:hanging="92"/>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991"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1"/>
              <w:ind w:left="151" w:right="60" w:hanging="92"/>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1"/>
              <w:ind w:left="60" w:right="5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691"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9" w:space="0" w:color="D2D2D2"/>
              <w:bottom w:val="nil" w:sz="6" w:space="0" w:color="auto"/>
              <w:right w:val="single" w:sz="13" w:space="0" w:color="D2D2D2"/>
            </w:tcBorders>
          </w:tcPr>
          <w:p>
            <w:pPr>
              <w:pStyle w:val="TableParagraph"/>
              <w:spacing w:line="240" w:lineRule="auto" w:before="7"/>
              <w:ind w:left="2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期末余额</w:t>
            </w:r>
            <w:r>
              <w:rPr>
                <w:rFonts w:ascii="宋体" w:hAnsi="宋体" w:cs="宋体" w:eastAsia="宋体" w:hint="default"/>
                <w:sz w:val="18"/>
                <w:szCs w:val="18"/>
              </w:rPr>
            </w:r>
          </w:p>
        </w:tc>
      </w:tr>
      <w:tr>
        <w:trPr>
          <w:trHeight w:val="317" w:hRule="exact"/>
        </w:trPr>
        <w:tc>
          <w:tcPr>
            <w:tcW w:w="3097" w:type="dxa"/>
            <w:vMerge w:val="restart"/>
            <w:tcBorders>
              <w:top w:val="nil" w:sz="6" w:space="0" w:color="auto"/>
              <w:left w:val="single" w:sz="4" w:space="0" w:color="000000"/>
              <w:right w:val="single" w:sz="4" w:space="0" w:color="000000"/>
            </w:tcBorders>
            <w:shd w:val="clear" w:color="auto" w:fill="D2D2D2"/>
          </w:tcPr>
          <w:p>
            <w:pPr/>
          </w:p>
        </w:tc>
        <w:tc>
          <w:tcPr>
            <w:tcW w:w="1286" w:type="dxa"/>
            <w:vMerge w:val="restart"/>
            <w:tcBorders>
              <w:top w:val="nil" w:sz="6" w:space="0" w:color="auto"/>
              <w:left w:val="single" w:sz="4" w:space="0" w:color="000000"/>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691"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3097" w:type="dxa"/>
            <w:vMerge/>
            <w:tcBorders>
              <w:left w:val="single" w:sz="4" w:space="0" w:color="000000"/>
              <w:right w:val="single" w:sz="4" w:space="0" w:color="000000"/>
            </w:tcBorders>
            <w:shd w:val="clear" w:color="auto" w:fill="D2D2D2"/>
          </w:tcPr>
          <w:p>
            <w:pPr/>
          </w:p>
        </w:tc>
        <w:tc>
          <w:tcPr>
            <w:tcW w:w="1286" w:type="dxa"/>
            <w:vMerge/>
            <w:tcBorders>
              <w:left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r>
      <w:tr>
        <w:trPr>
          <w:trHeight w:val="163" w:hRule="exact"/>
        </w:trPr>
        <w:tc>
          <w:tcPr>
            <w:tcW w:w="3097" w:type="dxa"/>
            <w:vMerge/>
            <w:tcBorders>
              <w:left w:val="single" w:sz="4" w:space="0" w:color="000000"/>
              <w:bottom w:val="single" w:sz="4" w:space="0" w:color="000000"/>
              <w:right w:val="single" w:sz="4" w:space="0" w:color="000000"/>
            </w:tcBorders>
            <w:shd w:val="clear" w:color="auto" w:fill="D2D2D2"/>
          </w:tcPr>
          <w:p>
            <w:pPr/>
          </w:p>
        </w:tc>
        <w:tc>
          <w:tcPr>
            <w:tcW w:w="1286"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1286" w:type="dxa"/>
            <w:tcBorders>
              <w:top w:val="single" w:sz="4" w:space="0" w:color="000000"/>
              <w:left w:val="single" w:sz="13" w:space="0" w:color="D2D2D2"/>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其中：重新计量设定受益计划变动额</w:t>
            </w:r>
          </w:p>
        </w:tc>
        <w:tc>
          <w:tcPr>
            <w:tcW w:w="1286" w:type="dxa"/>
            <w:tcBorders>
              <w:top w:val="single" w:sz="4" w:space="0" w:color="000000"/>
              <w:left w:val="single" w:sz="13" w:space="0" w:color="D2D2D2"/>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2" w:right="0"/>
              <w:jc w:val="left"/>
              <w:rPr>
                <w:rFonts w:ascii="宋体" w:hAnsi="宋体" w:cs="宋体" w:eastAsia="宋体" w:hint="default"/>
                <w:sz w:val="18"/>
                <w:szCs w:val="18"/>
              </w:rPr>
            </w:pPr>
            <w:r>
              <w:rPr>
                <w:rFonts w:ascii="宋体" w:hAnsi="宋体" w:cs="宋体" w:eastAsia="宋体" w:hint="default"/>
                <w:sz w:val="18"/>
                <w:szCs w:val="18"/>
              </w:rPr>
              <w:t>权益法下不能转进损益的其他综</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1286" w:type="dxa"/>
            <w:tcBorders>
              <w:top w:val="single" w:sz="4" w:space="0" w:color="000000"/>
              <w:left w:val="single" w:sz="13" w:space="0" w:color="D2D2D2"/>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0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6" w:type="dxa"/>
            <w:vMerge w:val="restart"/>
            <w:tcBorders>
              <w:top w:val="single" w:sz="4" w:space="0" w:color="000000"/>
              <w:left w:val="single" w:sz="10" w:space="0" w:color="D2D2D2"/>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-92,846,447.41</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50"/>
              <w:ind w:left="88" w:right="0"/>
              <w:jc w:val="left"/>
              <w:rPr>
                <w:rFonts w:ascii="Times New Roman" w:hAnsi="Times New Roman" w:cs="Times New Roman" w:eastAsia="Times New Roman" w:hint="default"/>
                <w:sz w:val="18"/>
                <w:szCs w:val="18"/>
              </w:rPr>
            </w:pPr>
            <w:r>
              <w:rPr>
                <w:rFonts w:ascii="Times New Roman"/>
                <w:sz w:val="18"/>
              </w:rPr>
              <w:t>-324,032,64</w:t>
            </w:r>
          </w:p>
          <w:p>
            <w:pPr>
              <w:pStyle w:val="TableParagraph"/>
              <w:spacing w:line="240" w:lineRule="auto" w:before="105"/>
              <w:ind w:left="645" w:right="0"/>
              <w:jc w:val="left"/>
              <w:rPr>
                <w:rFonts w:ascii="Times New Roman" w:hAnsi="Times New Roman" w:cs="Times New Roman" w:eastAsia="Times New Roman" w:hint="default"/>
                <w:sz w:val="18"/>
                <w:szCs w:val="18"/>
              </w:rPr>
            </w:pPr>
            <w:r>
              <w:rPr>
                <w:rFonts w:ascii="Times New Roman"/>
                <w:sz w:val="18"/>
              </w:rPr>
              <w:t>4.36</w:t>
            </w:r>
          </w:p>
        </w:tc>
        <w:tc>
          <w:tcPr>
            <w:tcW w:w="991"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50"/>
              <w:ind w:left="38" w:right="0"/>
              <w:jc w:val="left"/>
              <w:rPr>
                <w:rFonts w:ascii="Times New Roman" w:hAnsi="Times New Roman" w:cs="Times New Roman" w:eastAsia="Times New Roman" w:hint="default"/>
                <w:sz w:val="18"/>
                <w:szCs w:val="18"/>
              </w:rPr>
            </w:pPr>
            <w:r>
              <w:rPr>
                <w:rFonts w:ascii="Times New Roman"/>
                <w:sz w:val="18"/>
              </w:rPr>
              <w:t>-48,599,41</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5.18</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50"/>
              <w:ind w:left="38" w:right="0"/>
              <w:jc w:val="left"/>
              <w:rPr>
                <w:rFonts w:ascii="Times New Roman" w:hAnsi="Times New Roman" w:cs="Times New Roman" w:eastAsia="Times New Roman" w:hint="default"/>
                <w:sz w:val="18"/>
                <w:szCs w:val="18"/>
              </w:rPr>
            </w:pPr>
            <w:r>
              <w:rPr>
                <w:rFonts w:ascii="Times New Roman"/>
                <w:sz w:val="18"/>
              </w:rPr>
              <w:t>-275,433,2</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29.18</w:t>
            </w:r>
          </w:p>
        </w:tc>
        <w:tc>
          <w:tcPr>
            <w:tcW w:w="691"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50"/>
              <w:ind w:left="51" w:right="0"/>
              <w:jc w:val="center"/>
              <w:rPr>
                <w:rFonts w:ascii="Times New Roman" w:hAnsi="Times New Roman" w:cs="Times New Roman" w:eastAsia="Times New Roman" w:hint="default"/>
                <w:sz w:val="18"/>
                <w:szCs w:val="18"/>
              </w:rPr>
            </w:pPr>
            <w:r>
              <w:rPr>
                <w:rFonts w:ascii="Times New Roman"/>
                <w:sz w:val="18"/>
              </w:rPr>
              <w:t>-368,279,</w:t>
            </w:r>
          </w:p>
          <w:p>
            <w:pPr>
              <w:pStyle w:val="TableParagraph"/>
              <w:spacing w:line="240" w:lineRule="auto" w:before="105"/>
              <w:ind w:left="245" w:right="0"/>
              <w:jc w:val="center"/>
              <w:rPr>
                <w:rFonts w:ascii="Times New Roman" w:hAnsi="Times New Roman" w:cs="Times New Roman" w:eastAsia="Times New Roman" w:hint="default"/>
                <w:sz w:val="18"/>
                <w:szCs w:val="18"/>
              </w:rPr>
            </w:pPr>
            <w:r>
              <w:rPr>
                <w:rFonts w:ascii="Times New Roman"/>
                <w:sz w:val="18"/>
              </w:rPr>
              <w:t>676.59</w:t>
            </w:r>
          </w:p>
        </w:tc>
      </w:tr>
      <w:tr>
        <w:trPr>
          <w:trHeight w:val="312" w:hRule="exact"/>
        </w:trPr>
        <w:tc>
          <w:tcPr>
            <w:tcW w:w="30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1286" w:type="dxa"/>
            <w:vMerge/>
            <w:tcBorders>
              <w:left w:val="single" w:sz="10" w:space="0" w:color="D2D2D2"/>
              <w:right w:val="single" w:sz="4" w:space="0" w:color="000000"/>
            </w:tcBorders>
          </w:tcPr>
          <w:p>
            <w:pP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69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30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6" w:type="dxa"/>
            <w:vMerge/>
            <w:tcBorders>
              <w:left w:val="single" w:sz="10" w:space="0" w:color="D2D2D2"/>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634"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13"/>
              <w:jc w:val="left"/>
              <w:rPr>
                <w:rFonts w:ascii="宋体" w:hAnsi="宋体" w:cs="宋体" w:eastAsia="宋体" w:hint="default"/>
                <w:sz w:val="18"/>
                <w:szCs w:val="18"/>
              </w:rPr>
            </w:pPr>
            <w:r>
              <w:rPr>
                <w:rFonts w:ascii="宋体" w:hAnsi="宋体" w:cs="宋体" w:eastAsia="宋体" w:hint="default"/>
                <w:sz w:val="18"/>
                <w:szCs w:val="18"/>
              </w:rPr>
              <w:t>其中：权益法下可转损益的其他综合收 益</w:t>
            </w:r>
          </w:p>
        </w:tc>
        <w:tc>
          <w:tcPr>
            <w:tcW w:w="1286" w:type="dxa"/>
            <w:tcBorders>
              <w:top w:val="single" w:sz="4" w:space="0" w:color="000000"/>
              <w:left w:val="single" w:sz="13" w:space="0" w:color="D2D2D2"/>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2" w:right="0"/>
              <w:jc w:val="left"/>
              <w:rPr>
                <w:rFonts w:ascii="宋体" w:hAnsi="宋体" w:cs="宋体" w:eastAsia="宋体" w:hint="default"/>
                <w:sz w:val="18"/>
                <w:szCs w:val="18"/>
              </w:rPr>
            </w:pPr>
            <w:r>
              <w:rPr>
                <w:rFonts w:ascii="宋体" w:hAnsi="宋体" w:cs="宋体" w:eastAsia="宋体" w:hint="default"/>
                <w:sz w:val="18"/>
                <w:szCs w:val="18"/>
              </w:rPr>
              <w:t>可供出售金融资产公允价值变动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损益</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-90,003,752.37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8" w:right="0"/>
              <w:jc w:val="left"/>
              <w:rPr>
                <w:rFonts w:ascii="Times New Roman" w:hAnsi="Times New Roman" w:cs="Times New Roman" w:eastAsia="Times New Roman" w:hint="default"/>
                <w:sz w:val="18"/>
                <w:szCs w:val="18"/>
              </w:rPr>
            </w:pPr>
            <w:r>
              <w:rPr>
                <w:rFonts w:ascii="Times New Roman"/>
                <w:sz w:val="18"/>
              </w:rPr>
              <w:t>-323,996,10</w:t>
            </w:r>
          </w:p>
          <w:p>
            <w:pPr>
              <w:pStyle w:val="TableParagraph"/>
              <w:spacing w:line="240" w:lineRule="auto" w:before="105"/>
              <w:ind w:left="645" w:right="0"/>
              <w:jc w:val="left"/>
              <w:rPr>
                <w:rFonts w:ascii="Times New Roman" w:hAnsi="Times New Roman" w:cs="Times New Roman" w:eastAsia="Times New Roman" w:hint="default"/>
                <w:sz w:val="18"/>
                <w:szCs w:val="18"/>
              </w:rPr>
            </w:pPr>
            <w:r>
              <w:rPr>
                <w:rFonts w:ascii="Times New Roman"/>
                <w:sz w:val="18"/>
              </w:rPr>
              <w:t>1.17</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 w:right="0"/>
              <w:jc w:val="left"/>
              <w:rPr>
                <w:rFonts w:ascii="Times New Roman" w:hAnsi="Times New Roman" w:cs="Times New Roman" w:eastAsia="Times New Roman" w:hint="default"/>
                <w:sz w:val="18"/>
                <w:szCs w:val="18"/>
              </w:rPr>
            </w:pPr>
            <w:r>
              <w:rPr>
                <w:rFonts w:ascii="Times New Roman"/>
                <w:sz w:val="18"/>
              </w:rPr>
              <w:t>-48,599,41</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5.18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 w:right="0"/>
              <w:jc w:val="left"/>
              <w:rPr>
                <w:rFonts w:ascii="Times New Roman" w:hAnsi="Times New Roman" w:cs="Times New Roman" w:eastAsia="Times New Roman" w:hint="default"/>
                <w:sz w:val="18"/>
                <w:szCs w:val="18"/>
              </w:rPr>
            </w:pPr>
            <w:r>
              <w:rPr>
                <w:rFonts w:ascii="Times New Roman"/>
                <w:sz w:val="18"/>
              </w:rPr>
              <w:t>-275,396,6</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85.99</w:t>
            </w:r>
          </w:p>
        </w:tc>
        <w:tc>
          <w:tcPr>
            <w:tcW w:w="69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1" w:right="0"/>
              <w:jc w:val="center"/>
              <w:rPr>
                <w:rFonts w:ascii="Times New Roman" w:hAnsi="Times New Roman" w:cs="Times New Roman" w:eastAsia="Times New Roman" w:hint="default"/>
                <w:sz w:val="18"/>
                <w:szCs w:val="18"/>
              </w:rPr>
            </w:pPr>
            <w:r>
              <w:rPr>
                <w:rFonts w:ascii="Times New Roman"/>
                <w:sz w:val="18"/>
              </w:rPr>
              <w:t>-365,400,</w:t>
            </w:r>
          </w:p>
          <w:p>
            <w:pPr>
              <w:pStyle w:val="TableParagraph"/>
              <w:spacing w:line="240" w:lineRule="auto" w:before="105"/>
              <w:ind w:left="245" w:right="0"/>
              <w:jc w:val="center"/>
              <w:rPr>
                <w:rFonts w:ascii="Times New Roman" w:hAnsi="Times New Roman" w:cs="Times New Roman" w:eastAsia="Times New Roman" w:hint="default"/>
                <w:sz w:val="18"/>
                <w:szCs w:val="18"/>
              </w:rPr>
            </w:pPr>
            <w:r>
              <w:rPr>
                <w:rFonts w:ascii="Times New Roman"/>
                <w:sz w:val="18"/>
              </w:rPr>
              <w:t>438.36</w:t>
            </w:r>
          </w:p>
        </w:tc>
      </w:tr>
      <w:tr>
        <w:trPr>
          <w:trHeight w:val="636"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2" w:right="12" w:firstLine="540"/>
              <w:jc w:val="left"/>
              <w:rPr>
                <w:rFonts w:ascii="宋体" w:hAnsi="宋体" w:cs="宋体" w:eastAsia="宋体" w:hint="default"/>
                <w:sz w:val="18"/>
                <w:szCs w:val="18"/>
              </w:rPr>
            </w:pPr>
            <w:r>
              <w:rPr>
                <w:rFonts w:ascii="宋体" w:hAnsi="宋体" w:cs="宋体" w:eastAsia="宋体" w:hint="default"/>
                <w:sz w:val="18"/>
                <w:szCs w:val="18"/>
              </w:rPr>
              <w:t>持有至到期投资重分类为可供出 售金融资产损益</w:t>
            </w:r>
          </w:p>
        </w:tc>
        <w:tc>
          <w:tcPr>
            <w:tcW w:w="1286" w:type="dxa"/>
            <w:tcBorders>
              <w:top w:val="single" w:sz="4" w:space="0" w:color="000000"/>
              <w:left w:val="single" w:sz="13" w:space="0" w:color="D2D2D2"/>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20"/>
        <w:gridCol w:w="1274"/>
        <w:gridCol w:w="994"/>
        <w:gridCol w:w="991"/>
        <w:gridCol w:w="852"/>
        <w:gridCol w:w="850"/>
        <w:gridCol w:w="691"/>
        <w:gridCol w:w="797"/>
      </w:tblGrid>
      <w:tr>
        <w:trPr>
          <w:trHeight w:val="322"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3" w:right="0"/>
              <w:jc w:val="left"/>
              <w:rPr>
                <w:rFonts w:ascii="宋体" w:hAnsi="宋体" w:cs="宋体" w:eastAsia="宋体" w:hint="default"/>
                <w:sz w:val="18"/>
                <w:szCs w:val="18"/>
              </w:rPr>
            </w:pPr>
            <w:r>
              <w:rPr>
                <w:rFonts w:ascii="宋体" w:hAnsi="宋体" w:cs="宋体" w:eastAsia="宋体" w:hint="default"/>
                <w:sz w:val="18"/>
                <w:szCs w:val="18"/>
              </w:rPr>
              <w:t>现金流量套期损益的有效部分</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-2,842,695.04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-36,543.19</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-36,543.19</w:t>
            </w:r>
          </w:p>
        </w:tc>
        <w:tc>
          <w:tcPr>
            <w:tcW w:w="69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4" w:right="0"/>
              <w:jc w:val="left"/>
              <w:rPr>
                <w:rFonts w:ascii="Times New Roman" w:hAnsi="Times New Roman" w:cs="Times New Roman" w:eastAsia="Times New Roman" w:hint="default"/>
                <w:sz w:val="18"/>
                <w:szCs w:val="18"/>
              </w:rPr>
            </w:pPr>
            <w:r>
              <w:rPr>
                <w:rFonts w:ascii="Times New Roman"/>
                <w:sz w:val="18"/>
              </w:rPr>
              <w:t>-2,879,23</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8.23</w:t>
            </w:r>
          </w:p>
        </w:tc>
      </w:tr>
      <w:tr>
        <w:trPr>
          <w:trHeight w:val="636"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-92,846,447.41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8" w:right="0"/>
              <w:jc w:val="left"/>
              <w:rPr>
                <w:rFonts w:ascii="Times New Roman" w:hAnsi="Times New Roman" w:cs="Times New Roman" w:eastAsia="Times New Roman" w:hint="default"/>
                <w:sz w:val="18"/>
                <w:szCs w:val="18"/>
              </w:rPr>
            </w:pPr>
            <w:r>
              <w:rPr>
                <w:rFonts w:ascii="Times New Roman"/>
                <w:sz w:val="18"/>
              </w:rPr>
              <w:t>-324,032,64</w:t>
            </w:r>
          </w:p>
          <w:p>
            <w:pPr>
              <w:pStyle w:val="TableParagraph"/>
              <w:spacing w:line="240" w:lineRule="auto" w:before="105"/>
              <w:ind w:left="645" w:right="0"/>
              <w:jc w:val="left"/>
              <w:rPr>
                <w:rFonts w:ascii="Times New Roman" w:hAnsi="Times New Roman" w:cs="Times New Roman" w:eastAsia="Times New Roman" w:hint="default"/>
                <w:sz w:val="18"/>
                <w:szCs w:val="18"/>
              </w:rPr>
            </w:pPr>
            <w:r>
              <w:rPr>
                <w:rFonts w:ascii="Times New Roman"/>
                <w:sz w:val="18"/>
              </w:rPr>
              <w:t>4.36</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 w:right="0"/>
              <w:jc w:val="left"/>
              <w:rPr>
                <w:rFonts w:ascii="Times New Roman" w:hAnsi="Times New Roman" w:cs="Times New Roman" w:eastAsia="Times New Roman" w:hint="default"/>
                <w:sz w:val="18"/>
                <w:szCs w:val="18"/>
              </w:rPr>
            </w:pPr>
            <w:r>
              <w:rPr>
                <w:rFonts w:ascii="Times New Roman"/>
                <w:sz w:val="18"/>
              </w:rPr>
              <w:t>-48,599,41</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5.18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 w:right="0"/>
              <w:jc w:val="left"/>
              <w:rPr>
                <w:rFonts w:ascii="Times New Roman" w:hAnsi="Times New Roman" w:cs="Times New Roman" w:eastAsia="Times New Roman" w:hint="default"/>
                <w:sz w:val="18"/>
                <w:szCs w:val="18"/>
              </w:rPr>
            </w:pPr>
            <w:r>
              <w:rPr>
                <w:rFonts w:ascii="Times New Roman"/>
                <w:sz w:val="18"/>
              </w:rPr>
              <w:t>-275,433,2</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29.18</w:t>
            </w:r>
          </w:p>
        </w:tc>
        <w:tc>
          <w:tcPr>
            <w:tcW w:w="69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1" w:right="0"/>
              <w:jc w:val="center"/>
              <w:rPr>
                <w:rFonts w:ascii="Times New Roman" w:hAnsi="Times New Roman" w:cs="Times New Roman" w:eastAsia="Times New Roman" w:hint="default"/>
                <w:sz w:val="18"/>
                <w:szCs w:val="18"/>
              </w:rPr>
            </w:pPr>
            <w:r>
              <w:rPr>
                <w:rFonts w:ascii="Times New Roman"/>
                <w:sz w:val="18"/>
              </w:rPr>
              <w:t>-368,279,</w:t>
            </w:r>
          </w:p>
          <w:p>
            <w:pPr>
              <w:pStyle w:val="TableParagraph"/>
              <w:spacing w:line="240" w:lineRule="auto" w:before="105"/>
              <w:ind w:left="245" w:right="0"/>
              <w:jc w:val="center"/>
              <w:rPr>
                <w:rFonts w:ascii="Times New Roman" w:hAnsi="Times New Roman" w:cs="Times New Roman" w:eastAsia="Times New Roman" w:hint="default"/>
                <w:sz w:val="18"/>
                <w:szCs w:val="18"/>
              </w:rPr>
            </w:pPr>
            <w:r>
              <w:rPr>
                <w:rFonts w:ascii="Times New Roman"/>
                <w:sz w:val="18"/>
              </w:rPr>
              <w:t>676.59</w:t>
            </w:r>
          </w:p>
        </w:tc>
      </w:tr>
    </w:tbl>
    <w:p>
      <w:pPr>
        <w:pStyle w:val="Heading4"/>
        <w:spacing w:line="240" w:lineRule="auto" w:before="71"/>
        <w:ind w:right="1034"/>
        <w:jc w:val="left"/>
        <w:rPr>
          <w:b w:val="0"/>
          <w:bCs w:val="0"/>
        </w:rPr>
      </w:pPr>
      <w:r>
        <w:rPr>
          <w:rFonts w:ascii="Times New Roman" w:hAnsi="Times New Roman" w:cs="Times New Roman" w:eastAsia="Times New Roman" w:hint="default"/>
        </w:rPr>
        <w:t>31</w:t>
      </w:r>
      <w:r>
        <w:rPr/>
        <w:t>、盈余公积</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7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615,079,483.51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13,514,099.90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628,593,583.41</w:t>
            </w:r>
          </w:p>
        </w:tc>
      </w:tr>
      <w:tr>
        <w:trPr>
          <w:trHeight w:val="47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615,079,483.51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13,514,099.90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628,593,583.41</w:t>
            </w:r>
          </w:p>
        </w:tc>
      </w:tr>
    </w:tbl>
    <w:p>
      <w:pPr>
        <w:pStyle w:val="Heading4"/>
        <w:spacing w:line="240" w:lineRule="auto" w:before="71"/>
        <w:ind w:right="1034"/>
        <w:jc w:val="left"/>
        <w:rPr>
          <w:b w:val="0"/>
          <w:bCs w:val="0"/>
        </w:rPr>
      </w:pPr>
      <w:r>
        <w:rPr>
          <w:rFonts w:ascii="Times New Roman" w:hAnsi="Times New Roman" w:cs="Times New Roman" w:eastAsia="Times New Roman" w:hint="default"/>
        </w:rPr>
        <w:t>32</w:t>
      </w:r>
      <w:r>
        <w:rPr/>
        <w:t>、未分配利润</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79"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79"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3,641,664,705.24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right"/>
              <w:rPr>
                <w:rFonts w:ascii="Times New Roman" w:hAnsi="Times New Roman" w:cs="Times New Roman" w:eastAsia="Times New Roman" w:hint="default"/>
                <w:sz w:val="18"/>
                <w:szCs w:val="18"/>
              </w:rPr>
            </w:pPr>
            <w:r>
              <w:rPr>
                <w:rFonts w:ascii="Times New Roman"/>
                <w:spacing w:val="-1"/>
                <w:sz w:val="18"/>
              </w:rPr>
              <w:t>2,980,301,309.66</w:t>
            </w:r>
          </w:p>
        </w:tc>
      </w:tr>
      <w:tr>
        <w:trPr>
          <w:trHeight w:val="478"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4"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3,641,664,705.24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pacing w:val="-1"/>
                <w:sz w:val="18"/>
              </w:rPr>
              <w:t>2,980,301,309.66</w:t>
            </w:r>
          </w:p>
        </w:tc>
      </w:tr>
      <w:tr>
        <w:trPr>
          <w:trHeight w:val="478"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670,297,043.52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pacing w:val="-1"/>
                <w:sz w:val="18"/>
              </w:rPr>
              <w:t>899,485,037.43</w:t>
            </w:r>
          </w:p>
        </w:tc>
      </w:tr>
      <w:tr>
        <w:trPr>
          <w:trHeight w:val="478"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13,514,099.90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pacing w:val="-1"/>
                <w:sz w:val="18"/>
              </w:rPr>
              <w:t>76,195,926.85</w:t>
            </w:r>
          </w:p>
        </w:tc>
      </w:tr>
      <w:tr>
        <w:trPr>
          <w:trHeight w:val="479"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37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34"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372"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934"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485,777,145.00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pacing w:val="-1"/>
                <w:sz w:val="18"/>
              </w:rPr>
              <w:t>161,925,715.00</w:t>
            </w:r>
          </w:p>
        </w:tc>
      </w:tr>
      <w:tr>
        <w:trPr>
          <w:trHeight w:val="478"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37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34"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3,812,670,503.86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pacing w:val="-1"/>
                <w:sz w:val="18"/>
              </w:rPr>
              <w:t>3,641,664,705.24</w:t>
            </w:r>
          </w:p>
        </w:tc>
      </w:tr>
    </w:tbl>
    <w:p>
      <w:pPr>
        <w:pStyle w:val="Heading4"/>
        <w:spacing w:line="240" w:lineRule="auto" w:before="71"/>
        <w:ind w:right="1034"/>
        <w:jc w:val="left"/>
        <w:rPr>
          <w:b w:val="0"/>
          <w:bCs w:val="0"/>
        </w:rPr>
      </w:pPr>
      <w:r>
        <w:rPr>
          <w:rFonts w:ascii="Times New Roman" w:hAnsi="Times New Roman" w:cs="Times New Roman" w:eastAsia="Times New Roman" w:hint="default"/>
        </w:rPr>
        <w:t>33</w:t>
      </w:r>
      <w:r>
        <w:rPr/>
        <w:t>、营业收入和营业成本</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45"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34"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7"/>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34"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8"/>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4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7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5,458,981,768.73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3,199,915,232.35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4,383,577,016.09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2,550,465,336.40</w:t>
            </w:r>
          </w:p>
        </w:tc>
      </w:tr>
      <w:tr>
        <w:trPr>
          <w:trHeight w:val="47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5,458,981,768.73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3,199,915,232.35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4,383,577,016.09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2,550,465,336.40</w:t>
            </w:r>
          </w:p>
        </w:tc>
      </w:tr>
    </w:tbl>
    <w:p>
      <w:pPr>
        <w:pStyle w:val="Heading4"/>
        <w:spacing w:line="240" w:lineRule="auto" w:before="71"/>
        <w:ind w:right="1034"/>
        <w:jc w:val="left"/>
        <w:rPr>
          <w:b w:val="0"/>
          <w:bCs w:val="0"/>
        </w:rPr>
      </w:pPr>
      <w:r>
        <w:rPr>
          <w:rFonts w:ascii="Times New Roman" w:hAnsi="Times New Roman" w:cs="Times New Roman" w:eastAsia="Times New Roman" w:hint="default"/>
        </w:rPr>
        <w:t>34</w:t>
      </w:r>
      <w:r>
        <w:rPr/>
        <w:t>、税金及附加</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16,659,566.90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14,527,025.33</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7,262,373.89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6,343,481.13</w:t>
            </w:r>
          </w:p>
        </w:tc>
      </w:tr>
      <w:tr>
        <w:trPr>
          <w:trHeight w:val="48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7,833,317.22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6,724,372.55</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1,194,387.19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965,637.64</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401,876.52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424,029.68</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3,744,513.44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3,329,789.78</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8"/>
              <w:ind w:left="24"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2,652,190.97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2,445,870.26</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247,672.84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243,278.57</w:t>
            </w:r>
          </w:p>
        </w:tc>
      </w:tr>
      <w:tr>
        <w:trPr>
          <w:trHeight w:val="480"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4,765,343.83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4,255,057.20</w:t>
            </w: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32,224.42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44,793,467.22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39,258,542.14</w:t>
            </w:r>
          </w:p>
        </w:tc>
      </w:tr>
    </w:tbl>
    <w:p>
      <w:pPr>
        <w:pStyle w:val="Heading4"/>
        <w:spacing w:line="240" w:lineRule="auto" w:before="71"/>
        <w:ind w:right="1034"/>
        <w:jc w:val="left"/>
        <w:rPr>
          <w:b w:val="0"/>
          <w:bCs w:val="0"/>
        </w:rPr>
      </w:pPr>
      <w:r>
        <w:rPr>
          <w:rFonts w:ascii="Times New Roman" w:hAnsi="Times New Roman" w:cs="Times New Roman" w:eastAsia="Times New Roman" w:hint="default"/>
        </w:rPr>
        <w:t>35</w:t>
      </w:r>
      <w:r>
        <w:rPr/>
        <w:t>、销售费用</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78" w:hRule="exact"/>
        </w:trPr>
        <w:tc>
          <w:tcPr>
            <w:tcW w:w="3189" w:type="dxa"/>
            <w:tcBorders>
              <w:top w:val="single" w:sz="4" w:space="0" w:color="000000"/>
              <w:left w:val="single" w:sz="4" w:space="0" w:color="000000"/>
              <w:bottom w:val="single" w:sz="4" w:space="0" w:color="000000"/>
              <w:right w:val="single" w:sz="10" w:space="0" w:color="D2D2D2"/>
            </w:tcBorders>
            <w:shd w:val="clear" w:color="auto" w:fill="D9D9D9"/>
          </w:tcPr>
          <w:p>
            <w:pPr>
              <w:pStyle w:val="TableParagraph"/>
              <w:spacing w:line="240" w:lineRule="auto" w:before="87"/>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8"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工资性费用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429,197,000.62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361,535,141.43</w:t>
            </w:r>
          </w:p>
        </w:tc>
      </w:tr>
      <w:tr>
        <w:trPr>
          <w:trHeight w:val="480"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64,503,324.07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59,474,187.60</w:t>
            </w:r>
          </w:p>
        </w:tc>
      </w:tr>
      <w:tr>
        <w:trPr>
          <w:trHeight w:val="478"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29,071,122.30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32,789,760.65</w:t>
            </w:r>
          </w:p>
        </w:tc>
      </w:tr>
      <w:tr>
        <w:trPr>
          <w:trHeight w:val="478"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43,268,562.03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42,706,634.31</w:t>
            </w:r>
          </w:p>
        </w:tc>
      </w:tr>
      <w:tr>
        <w:trPr>
          <w:trHeight w:val="478"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23,670,413.73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25,199,637.98</w:t>
            </w:r>
          </w:p>
        </w:tc>
      </w:tr>
      <w:tr>
        <w:trPr>
          <w:trHeight w:val="478"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房租及物业管理费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29,445,465.71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29,584,104.06</w:t>
            </w:r>
          </w:p>
        </w:tc>
      </w:tr>
      <w:tr>
        <w:trPr>
          <w:trHeight w:val="478"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代理费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10,533,794.41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9,078,254.92</w:t>
            </w:r>
          </w:p>
        </w:tc>
      </w:tr>
      <w:tr>
        <w:trPr>
          <w:trHeight w:val="480"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84,962,964.84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67,466,287.03</w:t>
            </w:r>
          </w:p>
        </w:tc>
      </w:tr>
      <w:tr>
        <w:trPr>
          <w:trHeight w:val="478"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714,652,647.71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627,834,007.98</w:t>
            </w:r>
          </w:p>
        </w:tc>
      </w:tr>
    </w:tbl>
    <w:p>
      <w:pPr>
        <w:pStyle w:val="Heading4"/>
        <w:spacing w:line="240" w:lineRule="auto" w:before="71"/>
        <w:ind w:right="1034"/>
        <w:jc w:val="left"/>
        <w:rPr>
          <w:b w:val="0"/>
          <w:bCs w:val="0"/>
        </w:rPr>
      </w:pPr>
      <w:r>
        <w:rPr>
          <w:rFonts w:ascii="Times New Roman" w:hAnsi="Times New Roman" w:cs="Times New Roman" w:eastAsia="Times New Roman" w:hint="default"/>
        </w:rPr>
        <w:t>36</w:t>
      </w:r>
      <w:r>
        <w:rPr/>
        <w:t>、管理费用</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78" w:hRule="exact"/>
        </w:trPr>
        <w:tc>
          <w:tcPr>
            <w:tcW w:w="3189" w:type="dxa"/>
            <w:tcBorders>
              <w:top w:val="single" w:sz="4" w:space="0" w:color="000000"/>
              <w:left w:val="single" w:sz="4" w:space="0" w:color="000000"/>
              <w:bottom w:val="single" w:sz="4" w:space="0" w:color="000000"/>
              <w:right w:val="single" w:sz="10" w:space="0" w:color="D2D2D2"/>
            </w:tcBorders>
            <w:shd w:val="clear" w:color="auto" w:fill="D9D9D9"/>
          </w:tcPr>
          <w:p>
            <w:pPr>
              <w:pStyle w:val="TableParagraph"/>
              <w:spacing w:line="240" w:lineRule="auto" w:before="87"/>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8"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工资性费用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236,202,917.88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203,974,193.23</w:t>
            </w:r>
          </w:p>
        </w:tc>
      </w:tr>
      <w:tr>
        <w:trPr>
          <w:trHeight w:val="480"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9,668,059.05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8,143,211.29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78"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23,358,440.24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21,000,078.44</w:t>
            </w:r>
          </w:p>
        </w:tc>
      </w:tr>
      <w:tr>
        <w:trPr>
          <w:trHeight w:val="478"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116,566,676.07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93,005,109.59</w:t>
            </w:r>
          </w:p>
        </w:tc>
      </w:tr>
      <w:tr>
        <w:trPr>
          <w:trHeight w:val="48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385,796,093.24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326,122,592.55</w:t>
            </w:r>
          </w:p>
        </w:tc>
      </w:tr>
    </w:tbl>
    <w:p>
      <w:pPr>
        <w:pStyle w:val="Heading4"/>
        <w:spacing w:line="240" w:lineRule="auto" w:before="71"/>
        <w:ind w:right="1034"/>
        <w:jc w:val="left"/>
        <w:rPr>
          <w:b w:val="0"/>
          <w:bCs w:val="0"/>
        </w:rPr>
      </w:pPr>
      <w:r>
        <w:rPr>
          <w:rFonts w:ascii="Times New Roman" w:hAnsi="Times New Roman" w:cs="Times New Roman" w:eastAsia="Times New Roman" w:hint="default"/>
        </w:rPr>
        <w:t>37</w:t>
      </w:r>
      <w:r>
        <w:rPr/>
        <w:t>、研发费用</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78" w:hRule="exact"/>
        </w:trPr>
        <w:tc>
          <w:tcPr>
            <w:tcW w:w="3189" w:type="dxa"/>
            <w:tcBorders>
              <w:top w:val="single" w:sz="4" w:space="0" w:color="000000"/>
              <w:left w:val="single" w:sz="4" w:space="0" w:color="000000"/>
              <w:bottom w:val="single" w:sz="4" w:space="0" w:color="000000"/>
              <w:right w:val="single" w:sz="10" w:space="0" w:color="D2D2D2"/>
            </w:tcBorders>
            <w:shd w:val="clear" w:color="auto" w:fill="D9D9D9"/>
          </w:tcPr>
          <w:p>
            <w:pPr>
              <w:pStyle w:val="TableParagraph"/>
              <w:spacing w:line="240" w:lineRule="auto" w:before="87"/>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8"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359,029,719.13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308,413,840.28</w:t>
            </w:r>
          </w:p>
        </w:tc>
      </w:tr>
      <w:tr>
        <w:trPr>
          <w:trHeight w:val="478"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359,029,719.13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308,413,840.28</w:t>
            </w:r>
          </w:p>
        </w:tc>
      </w:tr>
    </w:tbl>
    <w:p>
      <w:pPr>
        <w:pStyle w:val="Heading4"/>
        <w:spacing w:line="240" w:lineRule="auto" w:before="71"/>
        <w:ind w:right="1034"/>
        <w:jc w:val="left"/>
        <w:rPr>
          <w:b w:val="0"/>
          <w:bCs w:val="0"/>
        </w:rPr>
      </w:pPr>
      <w:r>
        <w:rPr>
          <w:rFonts w:ascii="Times New Roman" w:hAnsi="Times New Roman" w:cs="Times New Roman" w:eastAsia="Times New Roman" w:hint="default"/>
        </w:rPr>
        <w:t>38</w:t>
      </w:r>
      <w:r>
        <w:rPr/>
        <w:t>、财务费用</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78" w:hRule="exact"/>
        </w:trPr>
        <w:tc>
          <w:tcPr>
            <w:tcW w:w="3189" w:type="dxa"/>
            <w:tcBorders>
              <w:top w:val="single" w:sz="4" w:space="0" w:color="000000"/>
              <w:left w:val="single" w:sz="4" w:space="0" w:color="000000"/>
              <w:bottom w:val="single" w:sz="4" w:space="0" w:color="000000"/>
              <w:right w:val="single" w:sz="10" w:space="0" w:color="D2D2D2"/>
            </w:tcBorders>
            <w:shd w:val="clear" w:color="auto" w:fill="D9D9D9"/>
          </w:tcPr>
          <w:p>
            <w:pPr>
              <w:pStyle w:val="TableParagraph"/>
              <w:spacing w:line="240" w:lineRule="auto" w:before="87"/>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80"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3,230,209.16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2,272,436.75</w:t>
            </w:r>
          </w:p>
        </w:tc>
      </w:tr>
      <w:tr>
        <w:trPr>
          <w:trHeight w:val="478"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46,851,336.63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28,622,154.01</w:t>
            </w:r>
          </w:p>
        </w:tc>
      </w:tr>
      <w:tr>
        <w:trPr>
          <w:trHeight w:val="478"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-16,773,915.97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13,458,931.40</w:t>
            </w:r>
          </w:p>
        </w:tc>
      </w:tr>
      <w:tr>
        <w:trPr>
          <w:trHeight w:val="478"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2,986,252.24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2,111,464.30</w:t>
            </w:r>
          </w:p>
        </w:tc>
      </w:tr>
      <w:tr>
        <w:trPr>
          <w:trHeight w:val="47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-57,408,791.20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-10,779,321.56</w:t>
            </w:r>
          </w:p>
        </w:tc>
      </w:tr>
    </w:tbl>
    <w:p>
      <w:pPr>
        <w:pStyle w:val="Heading4"/>
        <w:spacing w:line="240" w:lineRule="auto" w:before="71"/>
        <w:ind w:right="1034"/>
        <w:jc w:val="left"/>
        <w:rPr>
          <w:b w:val="0"/>
          <w:bCs w:val="0"/>
        </w:rPr>
      </w:pPr>
      <w:r>
        <w:rPr>
          <w:rFonts w:ascii="Times New Roman" w:hAnsi="Times New Roman" w:cs="Times New Roman" w:eastAsia="Times New Roman" w:hint="default"/>
        </w:rPr>
        <w:t>39</w:t>
      </w:r>
      <w:r>
        <w:rPr/>
        <w:t>、资产减值损失</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80"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8"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35,406,010.57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4,694,333.98</w:t>
            </w:r>
          </w:p>
        </w:tc>
      </w:tr>
      <w:tr>
        <w:trPr>
          <w:trHeight w:val="478"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72,363,843.21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37,666,401.13</w:t>
            </w:r>
          </w:p>
        </w:tc>
      </w:tr>
      <w:tr>
        <w:trPr>
          <w:trHeight w:val="478"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四、持有至到期投资减值损失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2" w:right="0"/>
              <w:jc w:val="left"/>
              <w:rPr>
                <w:rFonts w:ascii="宋体" w:hAnsi="宋体" w:cs="宋体" w:eastAsia="宋体" w:hint="default"/>
                <w:sz w:val="18"/>
                <w:szCs w:val="18"/>
              </w:rPr>
            </w:pPr>
            <w:r>
              <w:rPr>
                <w:rFonts w:ascii="宋体" w:hAnsi="宋体" w:cs="宋体" w:eastAsia="宋体" w:hint="default"/>
                <w:sz w:val="18"/>
                <w:szCs w:val="18"/>
              </w:rPr>
              <w:t>六、投资性房地产减值损失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1,449,362.13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八、工程物资减值损失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十、生产性生物资产减值损失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7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十一、油气资产减值损失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43,499,934.70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32,676,926.40</w:t>
            </w:r>
          </w:p>
        </w:tc>
      </w:tr>
      <w:tr>
        <w:trPr>
          <w:trHeight w:val="48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4,784,788.02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157,503,938.63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75,037,661.51</w:t>
            </w:r>
          </w:p>
        </w:tc>
      </w:tr>
    </w:tbl>
    <w:p>
      <w:pPr>
        <w:pStyle w:val="Heading4"/>
        <w:spacing w:line="240" w:lineRule="auto" w:before="71"/>
        <w:ind w:right="1034"/>
        <w:jc w:val="left"/>
        <w:rPr>
          <w:b w:val="0"/>
          <w:bCs w:val="0"/>
        </w:rPr>
      </w:pPr>
      <w:r>
        <w:rPr>
          <w:rFonts w:ascii="Times New Roman" w:hAnsi="Times New Roman" w:cs="Times New Roman" w:eastAsia="Times New Roman" w:hint="default"/>
        </w:rPr>
        <w:t>40</w:t>
      </w:r>
      <w:r>
        <w:rPr/>
        <w:t>、其他收益</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78" w:hRule="exact"/>
        </w:trPr>
        <w:tc>
          <w:tcPr>
            <w:tcW w:w="3189" w:type="dxa"/>
            <w:tcBorders>
              <w:top w:val="single" w:sz="4" w:space="0" w:color="000000"/>
              <w:left w:val="single" w:sz="4" w:space="0" w:color="000000"/>
              <w:bottom w:val="single" w:sz="4" w:space="0" w:color="000000"/>
              <w:right w:val="single" w:sz="10" w:space="0" w:color="D2D2D2"/>
            </w:tcBorders>
            <w:shd w:val="clear" w:color="auto" w:fill="D9D9D9"/>
          </w:tcPr>
          <w:p>
            <w:pPr>
              <w:pStyle w:val="TableParagraph"/>
              <w:spacing w:line="240" w:lineRule="auto" w:before="88"/>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8"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93,234,712.92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102,228,372.64</w:t>
            </w:r>
          </w:p>
        </w:tc>
      </w:tr>
      <w:tr>
        <w:trPr>
          <w:trHeight w:val="478"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54,269,518.89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49,111,112.50</w:t>
            </w:r>
          </w:p>
        </w:tc>
      </w:tr>
      <w:tr>
        <w:trPr>
          <w:trHeight w:val="480"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147,504,231.81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151,339,485.14</w:t>
            </w:r>
          </w:p>
        </w:tc>
      </w:tr>
    </w:tbl>
    <w:p>
      <w:pPr>
        <w:pStyle w:val="Heading4"/>
        <w:spacing w:line="240" w:lineRule="auto" w:before="71"/>
        <w:ind w:right="1034"/>
        <w:jc w:val="left"/>
        <w:rPr>
          <w:b w:val="0"/>
          <w:bCs w:val="0"/>
        </w:rPr>
      </w:pPr>
      <w:r>
        <w:rPr>
          <w:rFonts w:ascii="Times New Roman" w:hAnsi="Times New Roman" w:cs="Times New Roman" w:eastAsia="Times New Roman" w:hint="default"/>
        </w:rPr>
        <w:t>41</w:t>
      </w:r>
      <w:r>
        <w:rPr/>
        <w:t>、投资收益</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3461"/>
        <w:gridCol w:w="3190"/>
        <w:gridCol w:w="2919"/>
      </w:tblGrid>
      <w:tr>
        <w:trPr>
          <w:trHeight w:val="478" w:hRule="exact"/>
        </w:trPr>
        <w:tc>
          <w:tcPr>
            <w:tcW w:w="34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8" w:hRule="exact"/>
        </w:trPr>
        <w:tc>
          <w:tcPr>
            <w:tcW w:w="34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14,230,072.81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15,680,637.10</w:t>
            </w:r>
          </w:p>
        </w:tc>
      </w:tr>
      <w:tr>
        <w:trPr>
          <w:trHeight w:val="478" w:hRule="exact"/>
        </w:trPr>
        <w:tc>
          <w:tcPr>
            <w:tcW w:w="34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-3,771,006.91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4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金融资产在持有期间的投资收益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34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益的金融资产取得的投资收益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4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4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1,100,000.00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267,000,000.00</w:t>
            </w:r>
          </w:p>
        </w:tc>
      </w:tr>
      <w:tr>
        <w:trPr>
          <w:trHeight w:val="478" w:hRule="exact"/>
        </w:trPr>
        <w:tc>
          <w:tcPr>
            <w:tcW w:w="34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-1,450,342.88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137,564,689.22</w:t>
            </w:r>
          </w:p>
        </w:tc>
      </w:tr>
      <w:tr>
        <w:trPr>
          <w:trHeight w:val="946" w:hRule="exact"/>
        </w:trPr>
        <w:tc>
          <w:tcPr>
            <w:tcW w:w="34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丧失控制权后，剩余股权按公允价值重新计</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量产生的利得</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4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理财投资收益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88,641,684.75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88,741,503.73</w:t>
            </w:r>
          </w:p>
        </w:tc>
      </w:tr>
      <w:tr>
        <w:trPr>
          <w:trHeight w:val="480" w:hRule="exact"/>
        </w:trPr>
        <w:tc>
          <w:tcPr>
            <w:tcW w:w="34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国债回购收益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165,062.55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1,964,405.93</w:t>
            </w:r>
          </w:p>
        </w:tc>
      </w:tr>
      <w:tr>
        <w:trPr>
          <w:trHeight w:val="478" w:hRule="exact"/>
        </w:trPr>
        <w:tc>
          <w:tcPr>
            <w:tcW w:w="34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5,057,714.64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4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103,973,184.96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510,951,235.98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2"/>
        <w:rPr>
          <w:rFonts w:ascii="宋体" w:hAnsi="宋体" w:cs="宋体" w:eastAsia="宋体" w:hint="default"/>
          <w:sz w:val="27"/>
          <w:szCs w:val="27"/>
        </w:rPr>
      </w:pPr>
    </w:p>
    <w:p>
      <w:pPr>
        <w:pStyle w:val="Heading4"/>
        <w:spacing w:line="240" w:lineRule="auto" w:before="37"/>
        <w:ind w:right="1034"/>
        <w:jc w:val="left"/>
        <w:rPr>
          <w:b w:val="0"/>
          <w:bCs w:val="0"/>
        </w:rPr>
      </w:pPr>
      <w:r>
        <w:rPr>
          <w:rFonts w:ascii="Times New Roman" w:hAnsi="Times New Roman" w:cs="Times New Roman" w:eastAsia="Times New Roman" w:hint="default"/>
        </w:rPr>
        <w:t>42</w:t>
      </w:r>
      <w:r>
        <w:rPr/>
        <w:t>、资产处置收益</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78" w:hRule="exact"/>
        </w:trPr>
        <w:tc>
          <w:tcPr>
            <w:tcW w:w="3189" w:type="dxa"/>
            <w:tcBorders>
              <w:top w:val="single" w:sz="4" w:space="0" w:color="000000"/>
              <w:left w:val="single" w:sz="4" w:space="0" w:color="000000"/>
              <w:bottom w:val="single" w:sz="4" w:space="0" w:color="000000"/>
              <w:right w:val="single" w:sz="10" w:space="0" w:color="D2D2D2"/>
            </w:tcBorders>
            <w:shd w:val="clear" w:color="auto" w:fill="D9D9D9"/>
          </w:tcPr>
          <w:p>
            <w:pPr>
              <w:pStyle w:val="TableParagraph"/>
              <w:spacing w:line="240" w:lineRule="auto" w:before="87"/>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8"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固定资产处置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826,749.98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1,747,844.72</w:t>
            </w:r>
          </w:p>
        </w:tc>
      </w:tr>
      <w:tr>
        <w:trPr>
          <w:trHeight w:val="480"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826,749.98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1,747,844.72</w:t>
            </w:r>
          </w:p>
        </w:tc>
      </w:tr>
    </w:tbl>
    <w:p>
      <w:pPr>
        <w:pStyle w:val="Heading4"/>
        <w:spacing w:line="240" w:lineRule="auto" w:before="71"/>
        <w:ind w:right="1034"/>
        <w:jc w:val="left"/>
        <w:rPr>
          <w:b w:val="0"/>
          <w:bCs w:val="0"/>
        </w:rPr>
      </w:pPr>
      <w:r>
        <w:rPr>
          <w:rFonts w:ascii="Times New Roman" w:hAnsi="Times New Roman" w:cs="Times New Roman" w:eastAsia="Times New Roman" w:hint="default"/>
        </w:rPr>
        <w:t>43</w:t>
      </w:r>
      <w:r>
        <w:rPr/>
        <w:t>、营业外收入</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946"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计入当期非经常性损益的金</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478"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处置固定资产利得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6"/>
              <w:jc w:val="right"/>
              <w:rPr>
                <w:rFonts w:ascii="Times New Roman" w:hAnsi="Times New Roman" w:cs="Times New Roman" w:eastAsia="Times New Roman" w:hint="default"/>
                <w:sz w:val="18"/>
                <w:szCs w:val="18"/>
              </w:rPr>
            </w:pPr>
            <w:r>
              <w:rPr>
                <w:rFonts w:ascii="Times New Roman"/>
                <w:spacing w:val="-1"/>
                <w:sz w:val="18"/>
              </w:rPr>
              <w:t>85,021.79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85,021.79</w:t>
            </w:r>
          </w:p>
        </w:tc>
      </w:tr>
      <w:tr>
        <w:trPr>
          <w:trHeight w:val="478"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罚款及违约金赔款利得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6"/>
              <w:jc w:val="right"/>
              <w:rPr>
                <w:rFonts w:ascii="Times New Roman" w:hAnsi="Times New Roman" w:cs="Times New Roman" w:eastAsia="Times New Roman" w:hint="default"/>
                <w:sz w:val="18"/>
                <w:szCs w:val="18"/>
              </w:rPr>
            </w:pPr>
            <w:r>
              <w:rPr>
                <w:rFonts w:ascii="Times New Roman"/>
                <w:spacing w:val="-1"/>
                <w:sz w:val="18"/>
              </w:rPr>
              <w:t>183,772.30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74,396.08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183,772.30</w:t>
            </w:r>
          </w:p>
        </w:tc>
      </w:tr>
      <w:tr>
        <w:trPr>
          <w:trHeight w:val="478"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pacing w:val="-1"/>
                <w:sz w:val="18"/>
              </w:rPr>
              <w:t>5,845,886.13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3,118,289.45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5,845,886.13</w:t>
            </w:r>
          </w:p>
        </w:tc>
      </w:tr>
      <w:tr>
        <w:trPr>
          <w:trHeight w:val="480"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pacing w:val="-1"/>
                <w:sz w:val="18"/>
              </w:rPr>
              <w:t>6,114,680.22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3,192,685.53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6,114,680.22</w:t>
            </w:r>
          </w:p>
        </w:tc>
      </w:tr>
    </w:tbl>
    <w:p>
      <w:pPr>
        <w:pStyle w:val="Heading4"/>
        <w:spacing w:line="240" w:lineRule="auto" w:before="71"/>
        <w:ind w:right="1034"/>
        <w:jc w:val="left"/>
        <w:rPr>
          <w:b w:val="0"/>
          <w:bCs w:val="0"/>
        </w:rPr>
      </w:pPr>
      <w:r>
        <w:rPr>
          <w:rFonts w:ascii="Times New Roman" w:hAnsi="Times New Roman" w:cs="Times New Roman" w:eastAsia="Times New Roman" w:hint="default"/>
        </w:rPr>
        <w:t>44</w:t>
      </w:r>
      <w:r>
        <w:rPr/>
        <w:t>、营业外支出</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946"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计入当期非经常性损益的金</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478"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6"/>
              <w:jc w:val="right"/>
              <w:rPr>
                <w:rFonts w:ascii="Times New Roman" w:hAnsi="Times New Roman" w:cs="Times New Roman" w:eastAsia="Times New Roman" w:hint="default"/>
                <w:sz w:val="18"/>
                <w:szCs w:val="18"/>
              </w:rPr>
            </w:pPr>
            <w:r>
              <w:rPr>
                <w:rFonts w:ascii="Times New Roman"/>
                <w:spacing w:val="-1"/>
                <w:sz w:val="18"/>
              </w:rPr>
              <w:t>27,435.00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220,000.00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27,435.00</w:t>
            </w:r>
          </w:p>
        </w:tc>
      </w:tr>
      <w:tr>
        <w:trPr>
          <w:trHeight w:val="478"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pacing w:val="-1"/>
                <w:sz w:val="18"/>
              </w:rPr>
              <w:t>1,174,253.45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w w:val="95"/>
                <w:sz w:val="18"/>
              </w:rPr>
              <w:t>5,397.00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1,174,253.45</w:t>
            </w:r>
          </w:p>
        </w:tc>
      </w:tr>
      <w:tr>
        <w:trPr>
          <w:trHeight w:val="478"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罚款及滞纳金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pacing w:val="-1"/>
                <w:sz w:val="18"/>
              </w:rPr>
              <w:t>2,443,739.17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1,250,340.63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2,443,739.17</w:t>
            </w:r>
          </w:p>
        </w:tc>
      </w:tr>
      <w:tr>
        <w:trPr>
          <w:trHeight w:val="478"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流动资产处置损失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pacing w:val="-1"/>
                <w:sz w:val="18"/>
              </w:rPr>
              <w:t>8,377,262.11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6,926,735.36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8,377,262.11</w:t>
            </w:r>
          </w:p>
        </w:tc>
      </w:tr>
      <w:tr>
        <w:trPr>
          <w:trHeight w:val="480"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赔款支出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6"/>
              <w:jc w:val="right"/>
              <w:rPr>
                <w:rFonts w:ascii="Times New Roman" w:hAnsi="Times New Roman" w:cs="Times New Roman" w:eastAsia="Times New Roman" w:hint="default"/>
                <w:sz w:val="18"/>
                <w:szCs w:val="18"/>
              </w:rPr>
            </w:pPr>
            <w:r>
              <w:rPr>
                <w:rFonts w:ascii="Times New Roman"/>
                <w:spacing w:val="-1"/>
                <w:sz w:val="18"/>
              </w:rPr>
              <w:t>514,253.04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1,293,522.06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514,253.04</w:t>
            </w:r>
          </w:p>
        </w:tc>
      </w:tr>
      <w:tr>
        <w:trPr>
          <w:trHeight w:val="478"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6"/>
              <w:jc w:val="right"/>
              <w:rPr>
                <w:rFonts w:ascii="Times New Roman" w:hAnsi="Times New Roman" w:cs="Times New Roman" w:eastAsia="Times New Roman" w:hint="default"/>
                <w:sz w:val="18"/>
                <w:szCs w:val="18"/>
              </w:rPr>
            </w:pPr>
            <w:r>
              <w:rPr>
                <w:rFonts w:ascii="Times New Roman"/>
                <w:spacing w:val="-1"/>
                <w:sz w:val="18"/>
              </w:rPr>
              <w:t>896,189.04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2,761,522.44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896,189.04</w:t>
            </w:r>
          </w:p>
        </w:tc>
      </w:tr>
      <w:tr>
        <w:trPr>
          <w:trHeight w:val="478"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pacing w:val="-1"/>
                <w:sz w:val="18"/>
              </w:rPr>
              <w:t>13,433,131.81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12,457,517.49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13,433,131.81</w:t>
            </w:r>
          </w:p>
        </w:tc>
      </w:tr>
    </w:tbl>
    <w:p>
      <w:pPr>
        <w:pStyle w:val="Heading4"/>
        <w:spacing w:line="240" w:lineRule="auto" w:before="71"/>
        <w:ind w:right="1034"/>
        <w:jc w:val="left"/>
        <w:rPr>
          <w:b w:val="0"/>
          <w:bCs w:val="0"/>
        </w:rPr>
      </w:pPr>
      <w:r>
        <w:rPr>
          <w:rFonts w:ascii="Times New Roman" w:hAnsi="Times New Roman" w:cs="Times New Roman" w:eastAsia="Times New Roman" w:hint="default"/>
        </w:rPr>
        <w:t>45</w:t>
      </w:r>
      <w:r>
        <w:rPr/>
        <w:t>、所得税费用</w:t>
      </w:r>
      <w:r>
        <w:rPr>
          <w:b w:val="0"/>
          <w:bCs w:val="0"/>
        </w:rPr>
      </w:r>
    </w:p>
    <w:p>
      <w:pPr>
        <w:spacing w:line="240" w:lineRule="auto" w:before="8"/>
        <w:rPr>
          <w:rFonts w:ascii="宋体" w:hAnsi="宋体" w:cs="宋体" w:eastAsia="宋体" w:hint="default"/>
          <w:b/>
          <w:bCs/>
          <w:sz w:val="14"/>
          <w:szCs w:val="14"/>
        </w:rPr>
      </w:pPr>
    </w:p>
    <w:p>
      <w:pPr>
        <w:pStyle w:val="Heading4"/>
        <w:spacing w:line="240" w:lineRule="auto"/>
        <w:ind w:right="1034"/>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78"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80"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035" w:right="0"/>
              <w:jc w:val="left"/>
              <w:rPr>
                <w:rFonts w:ascii="Times New Roman" w:hAnsi="Times New Roman" w:cs="Times New Roman" w:eastAsia="Times New Roman" w:hint="default"/>
                <w:sz w:val="18"/>
                <w:szCs w:val="18"/>
              </w:rPr>
            </w:pPr>
            <w:r>
              <w:rPr>
                <w:rFonts w:ascii="Times New Roman"/>
                <w:sz w:val="18"/>
              </w:rPr>
              <w:t>135,114,713.63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030" w:right="0"/>
              <w:jc w:val="left"/>
              <w:rPr>
                <w:rFonts w:ascii="Times New Roman" w:hAnsi="Times New Roman" w:cs="Times New Roman" w:eastAsia="Times New Roman" w:hint="default"/>
                <w:sz w:val="18"/>
                <w:szCs w:val="18"/>
              </w:rPr>
            </w:pPr>
            <w:r>
              <w:rPr>
                <w:rFonts w:ascii="Times New Roman"/>
                <w:sz w:val="18"/>
              </w:rPr>
              <w:t>143,681,759.52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78"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-11,977,192.31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30,690,980.96</w:t>
            </w:r>
          </w:p>
        </w:tc>
      </w:tr>
      <w:tr>
        <w:trPr>
          <w:trHeight w:val="478"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上年企业所得税汇算清缴补计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-7,457,637.68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-16,374,549.85</w:t>
            </w:r>
          </w:p>
        </w:tc>
      </w:tr>
      <w:tr>
        <w:trPr>
          <w:trHeight w:val="480"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115,679,883.64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157,998,190.63</w:t>
            </w:r>
          </w:p>
        </w:tc>
      </w:tr>
    </w:tbl>
    <w:p>
      <w:pPr>
        <w:pStyle w:val="Heading4"/>
        <w:spacing w:line="240" w:lineRule="auto" w:before="71"/>
        <w:ind w:right="1034"/>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73"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82" w:hRule="exact"/>
        </w:trPr>
        <w:tc>
          <w:tcPr>
            <w:tcW w:w="47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2"/>
              <w:jc w:val="right"/>
              <w:rPr>
                <w:rFonts w:ascii="Times New Roman" w:hAnsi="Times New Roman" w:cs="Times New Roman" w:eastAsia="Times New Roman" w:hint="default"/>
                <w:sz w:val="18"/>
                <w:szCs w:val="18"/>
              </w:rPr>
            </w:pPr>
            <w:r>
              <w:rPr>
                <w:rFonts w:ascii="Times New Roman"/>
                <w:spacing w:val="-1"/>
                <w:sz w:val="18"/>
              </w:rPr>
              <w:t>899,685,176.81</w:t>
            </w:r>
          </w:p>
        </w:tc>
      </w:tr>
      <w:tr>
        <w:trPr>
          <w:trHeight w:val="478" w:hRule="exact"/>
        </w:trPr>
        <w:tc>
          <w:tcPr>
            <w:tcW w:w="47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134,952,776.52</w:t>
            </w:r>
          </w:p>
        </w:tc>
      </w:tr>
      <w:tr>
        <w:trPr>
          <w:trHeight w:val="478" w:hRule="exact"/>
        </w:trPr>
        <w:tc>
          <w:tcPr>
            <w:tcW w:w="47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13,875,610.14</w:t>
            </w:r>
          </w:p>
        </w:tc>
      </w:tr>
      <w:tr>
        <w:trPr>
          <w:trHeight w:val="479" w:hRule="exact"/>
        </w:trPr>
        <w:tc>
          <w:tcPr>
            <w:tcW w:w="47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-7,457,637.68</w:t>
            </w:r>
          </w:p>
        </w:tc>
      </w:tr>
      <w:tr>
        <w:trPr>
          <w:trHeight w:val="479" w:hRule="exact"/>
        </w:trPr>
        <w:tc>
          <w:tcPr>
            <w:tcW w:w="47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pacing w:val="-1"/>
                <w:sz w:val="18"/>
              </w:rPr>
              <w:t>-3,075,128.83</w:t>
            </w:r>
          </w:p>
        </w:tc>
      </w:tr>
      <w:tr>
        <w:trPr>
          <w:trHeight w:val="478" w:hRule="exact"/>
        </w:trPr>
        <w:tc>
          <w:tcPr>
            <w:tcW w:w="47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12,345,333.81</w:t>
            </w:r>
          </w:p>
        </w:tc>
      </w:tr>
      <w:tr>
        <w:trPr>
          <w:trHeight w:val="478" w:hRule="exact"/>
        </w:trPr>
        <w:tc>
          <w:tcPr>
            <w:tcW w:w="47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利用以前年度可抵扣亏损对税额的影响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-1,355,889.56</w:t>
            </w:r>
          </w:p>
        </w:tc>
      </w:tr>
      <w:tr>
        <w:trPr>
          <w:trHeight w:val="946" w:hRule="exact"/>
        </w:trPr>
        <w:tc>
          <w:tcPr>
            <w:tcW w:w="47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4,661,107.41</w:t>
            </w:r>
          </w:p>
        </w:tc>
      </w:tr>
      <w:tr>
        <w:trPr>
          <w:trHeight w:val="478" w:hRule="exact"/>
        </w:trPr>
        <w:tc>
          <w:tcPr>
            <w:tcW w:w="47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加计扣除的成本、费用的影响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-36,271,524.32</w:t>
            </w:r>
          </w:p>
        </w:tc>
      </w:tr>
      <w:tr>
        <w:trPr>
          <w:trHeight w:val="479" w:hRule="exact"/>
        </w:trPr>
        <w:tc>
          <w:tcPr>
            <w:tcW w:w="47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税率变动影响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-1,994,763.85</w:t>
            </w:r>
          </w:p>
        </w:tc>
      </w:tr>
      <w:tr>
        <w:trPr>
          <w:trHeight w:val="479"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pacing w:val="-1"/>
                <w:sz w:val="18"/>
              </w:rPr>
              <w:t>115,679,883.64</w:t>
            </w:r>
          </w:p>
        </w:tc>
      </w:tr>
    </w:tbl>
    <w:p>
      <w:pPr>
        <w:pStyle w:val="Heading4"/>
        <w:spacing w:line="240" w:lineRule="auto" w:before="71"/>
        <w:ind w:right="1034"/>
        <w:jc w:val="left"/>
        <w:rPr>
          <w:b w:val="0"/>
          <w:bCs w:val="0"/>
        </w:rPr>
      </w:pPr>
      <w:r>
        <w:rPr>
          <w:rFonts w:ascii="Times New Roman" w:hAnsi="Times New Roman" w:cs="Times New Roman" w:eastAsia="Times New Roman" w:hint="default"/>
        </w:rPr>
        <w:t>46</w:t>
      </w:r>
      <w:r>
        <w:rPr/>
        <w:t>、现金流量表项目</w:t>
      </w:r>
      <w:r>
        <w:rPr>
          <w:b w:val="0"/>
          <w:bCs w:val="0"/>
        </w:rPr>
      </w:r>
    </w:p>
    <w:p>
      <w:pPr>
        <w:spacing w:line="240" w:lineRule="auto" w:before="8"/>
        <w:rPr>
          <w:rFonts w:ascii="宋体" w:hAnsi="宋体" w:cs="宋体" w:eastAsia="宋体" w:hint="default"/>
          <w:b/>
          <w:bCs/>
          <w:sz w:val="14"/>
          <w:szCs w:val="14"/>
        </w:rPr>
      </w:pPr>
    </w:p>
    <w:p>
      <w:pPr>
        <w:pStyle w:val="Heading4"/>
        <w:spacing w:line="240" w:lineRule="auto"/>
        <w:ind w:right="1034"/>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78"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8"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政府补助或专项拨款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91,698,906.89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100,321,672.37</w:t>
            </w:r>
          </w:p>
        </w:tc>
      </w:tr>
      <w:tr>
        <w:trPr>
          <w:trHeight w:val="478"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收回员工借款等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18,179,310.26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12,533,767.27</w:t>
            </w:r>
          </w:p>
        </w:tc>
      </w:tr>
      <w:tr>
        <w:trPr>
          <w:trHeight w:val="478"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46,851,336.63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28,365,179.93</w:t>
            </w:r>
          </w:p>
        </w:tc>
      </w:tr>
      <w:tr>
        <w:trPr>
          <w:trHeight w:val="480"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退押金保证金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40,520,510.69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19,252,652.98</w:t>
            </w:r>
          </w:p>
        </w:tc>
      </w:tr>
      <w:tr>
        <w:trPr>
          <w:trHeight w:val="478"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236,245,607.76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107,542,358.11</w:t>
            </w:r>
          </w:p>
        </w:tc>
      </w:tr>
      <w:tr>
        <w:trPr>
          <w:trHeight w:val="478"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433,495,672.23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268,015,630.66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2"/>
        <w:rPr>
          <w:rFonts w:ascii="宋体" w:hAnsi="宋体" w:cs="宋体" w:eastAsia="宋体" w:hint="default"/>
          <w:sz w:val="27"/>
          <w:szCs w:val="27"/>
        </w:rPr>
      </w:pPr>
    </w:p>
    <w:p>
      <w:pPr>
        <w:pStyle w:val="Heading4"/>
        <w:spacing w:line="240" w:lineRule="auto" w:before="37"/>
        <w:ind w:right="1034"/>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78"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8"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450,803,238.73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445,577,178.41</w:t>
            </w:r>
          </w:p>
        </w:tc>
      </w:tr>
      <w:tr>
        <w:trPr>
          <w:trHeight w:val="478"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职工借款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33,669,441.39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35,349,209.29</w:t>
            </w:r>
          </w:p>
        </w:tc>
      </w:tr>
      <w:tr>
        <w:trPr>
          <w:trHeight w:val="480"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支付押金保证金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70,553,231.18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30,539,334.74</w:t>
            </w:r>
          </w:p>
        </w:tc>
      </w:tr>
      <w:tr>
        <w:trPr>
          <w:trHeight w:val="478"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304,161,678.36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182,523,731.33</w:t>
            </w:r>
          </w:p>
        </w:tc>
      </w:tr>
      <w:tr>
        <w:trPr>
          <w:trHeight w:val="478"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859,187,589.66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693,989,453.77</w:t>
            </w:r>
          </w:p>
        </w:tc>
      </w:tr>
    </w:tbl>
    <w:p>
      <w:pPr>
        <w:pStyle w:val="Heading4"/>
        <w:spacing w:line="240" w:lineRule="auto" w:before="71"/>
        <w:ind w:right="1034"/>
        <w:jc w:val="left"/>
        <w:rPr>
          <w:b w:val="0"/>
          <w:bCs w:val="0"/>
        </w:rPr>
      </w:pPr>
      <w:r>
        <w:rPr/>
        <w:t>（</w:t>
      </w:r>
      <w:r>
        <w:rPr>
          <w:rFonts w:ascii="Times New Roman" w:hAnsi="Times New Roman" w:cs="Times New Roman" w:eastAsia="Times New Roman" w:hint="default"/>
        </w:rPr>
        <w:t>3</w:t>
      </w:r>
      <w:r>
        <w:rPr/>
        <w:t>）支付的其他与筹资活动有关的现金</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78"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8"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回购股份</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113,006,514.72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113,006,514.72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Heading4"/>
        <w:spacing w:line="240" w:lineRule="auto" w:before="71"/>
        <w:ind w:right="1034"/>
        <w:jc w:val="left"/>
        <w:rPr>
          <w:b w:val="0"/>
          <w:bCs w:val="0"/>
        </w:rPr>
      </w:pPr>
      <w:r>
        <w:rPr>
          <w:rFonts w:ascii="Times New Roman" w:hAnsi="Times New Roman" w:cs="Times New Roman" w:eastAsia="Times New Roman" w:hint="default"/>
        </w:rPr>
        <w:t>47</w:t>
      </w:r>
      <w:r>
        <w:rPr/>
        <w:t>、现金流量表补充资料</w:t>
      </w:r>
      <w:r>
        <w:rPr>
          <w:b w:val="0"/>
          <w:bCs w:val="0"/>
        </w:rPr>
      </w:r>
    </w:p>
    <w:p>
      <w:pPr>
        <w:spacing w:line="240" w:lineRule="auto" w:before="8"/>
        <w:rPr>
          <w:rFonts w:ascii="宋体" w:hAnsi="宋体" w:cs="宋体" w:eastAsia="宋体" w:hint="default"/>
          <w:b/>
          <w:bCs/>
          <w:sz w:val="14"/>
          <w:szCs w:val="14"/>
        </w:rPr>
      </w:pPr>
    </w:p>
    <w:p>
      <w:pPr>
        <w:pStyle w:val="Heading4"/>
        <w:spacing w:line="240" w:lineRule="auto"/>
        <w:ind w:right="1034"/>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7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7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w:t>
            </w:r>
          </w:p>
        </w:tc>
      </w:tr>
      <w:tr>
        <w:trPr>
          <w:trHeight w:val="47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784,005,293.17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963,999,900.04</w:t>
            </w:r>
          </w:p>
        </w:tc>
      </w:tr>
      <w:tr>
        <w:trPr>
          <w:trHeight w:val="47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157,503,938.63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75,037,661.51</w:t>
            </w:r>
          </w:p>
        </w:tc>
      </w:tr>
      <w:tr>
        <w:trPr>
          <w:trHeight w:val="94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w:t>
            </w: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Times New Roman" w:hAnsi="Times New Roman" w:cs="Times New Roman" w:eastAsia="Times New Roman" w:hint="default"/>
                <w:sz w:val="18"/>
                <w:szCs w:val="18"/>
              </w:rPr>
            </w:pPr>
            <w:r>
              <w:rPr>
                <w:rFonts w:ascii="Times New Roman"/>
                <w:spacing w:val="-1"/>
                <w:sz w:val="18"/>
              </w:rPr>
              <w:t>143,206,594.76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129,331,863.10</w:t>
            </w:r>
          </w:p>
        </w:tc>
      </w:tr>
      <w:tr>
        <w:trPr>
          <w:trHeight w:val="47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8,586,591.19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6,261,503.88</w:t>
            </w:r>
          </w:p>
        </w:tc>
      </w:tr>
      <w:tr>
        <w:trPr>
          <w:trHeight w:val="47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11,475,524.06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11,593,262.56</w:t>
            </w:r>
          </w:p>
        </w:tc>
      </w:tr>
      <w:tr>
        <w:trPr>
          <w:trHeight w:val="94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-826,749.98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-1,747,844.72</w:t>
            </w:r>
          </w:p>
        </w:tc>
      </w:tr>
      <w:tr>
        <w:trPr>
          <w:trHeight w:val="47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1,089,231.66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w w:val="95"/>
                <w:sz w:val="18"/>
              </w:rPr>
              <w:t>5,397.00</w:t>
            </w:r>
          </w:p>
        </w:tc>
      </w:tr>
      <w:tr>
        <w:trPr>
          <w:trHeight w:val="47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-12,166,772.22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16,395,835.43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r>
        <w:rPr/>
        <w:pict>
          <v:group style="position:absolute;margin-left:223.369995pt;margin-top:97.759979pt;width:151.25pt;height:20.65pt;mso-position-horizontal-relative:page;mso-position-vertical-relative:page;z-index:-1289032" coordorigin="4467,1955" coordsize="3025,413">
            <v:group style="position:absolute;left:4478;top:1966;width:2;height:392" coordorigin="4478,1966" coordsize="2,392">
              <v:shape style="position:absolute;left:4478;top:1966;width:2;height:392" coordorigin="4478,1966" coordsize="0,392" path="m4478,1966l4478,2357e" filled="false" stroked="true" strokeweight="1.08pt" strokecolor="#ffffff">
                <v:path arrowok="t"/>
              </v:shape>
            </v:group>
            <v:group style="position:absolute;left:4489;top:1966;width:3003;height:392" coordorigin="4489,1966" coordsize="3003,392">
              <v:shape style="position:absolute;left:4489;top:1966;width:3003;height:392" coordorigin="4489,1966" coordsize="3003,392" path="m4489,2357l7492,2357,7492,1966,4489,1966,4489,2357xe" filled="true" fillcolor="#ffffff" stroked="false">
                <v:path arrowok="t"/>
                <v:fill type="solid"/>
              </v:shape>
            </v:group>
            <w10:wrap type="none"/>
          </v:group>
        </w:pict>
      </w:r>
      <w:r>
        <w:rPr/>
        <w:pict>
          <v:group style="position:absolute;margin-left:223.369995pt;margin-top:121.639984pt;width:151.25pt;height:20.8pt;mso-position-horizontal-relative:page;mso-position-vertical-relative:page;z-index:-1289008" coordorigin="4467,2433" coordsize="3025,416">
            <v:group style="position:absolute;left:4478;top:2444;width:2;height:394" coordorigin="4478,2444" coordsize="2,394">
              <v:shape style="position:absolute;left:4478;top:2444;width:2;height:394" coordorigin="4478,2444" coordsize="0,394" path="m4478,2444l4478,2837e" filled="false" stroked="true" strokeweight="1.08pt" strokecolor="#ffffff">
                <v:path arrowok="t"/>
              </v:shape>
            </v:group>
            <v:group style="position:absolute;left:4489;top:2444;width:3003;height:394" coordorigin="4489,2444" coordsize="3003,394">
              <v:shape style="position:absolute;left:4489;top:2444;width:3003;height:394" coordorigin="4489,2444" coordsize="3003,394" path="m4489,2837l7492,2837,7492,2444,4489,2444,4489,2837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09"/>
        <w:gridCol w:w="2060"/>
        <w:gridCol w:w="3185"/>
      </w:tblGrid>
      <w:tr>
        <w:trPr>
          <w:trHeight w:val="47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0"/>
              <w:ind w:left="1842" w:right="0"/>
              <w:jc w:val="left"/>
              <w:rPr>
                <w:rFonts w:ascii="Times New Roman" w:hAnsi="Times New Roman" w:cs="Times New Roman" w:eastAsia="Times New Roman" w:hint="default"/>
                <w:sz w:val="18"/>
                <w:szCs w:val="18"/>
              </w:rPr>
            </w:pPr>
            <w:r>
              <w:rPr>
                <w:rFonts w:ascii="Times New Roman"/>
                <w:sz w:val="18"/>
              </w:rPr>
              <w:t>-103,973,184.96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-510,951,235.98</w:t>
            </w:r>
          </w:p>
        </w:tc>
      </w:tr>
      <w:tr>
        <w:trPr>
          <w:trHeight w:val="47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09"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87"/>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-59,558,817.24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-22,290,722.34</w:t>
            </w:r>
          </w:p>
        </w:tc>
      </w:tr>
      <w:tr>
        <w:trPr>
          <w:trHeight w:val="47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09"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87"/>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0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-16,512,640.25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18,361,980.35</w:t>
            </w:r>
          </w:p>
        </w:tc>
      </w:tr>
      <w:tr>
        <w:trPr>
          <w:trHeight w:val="480"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9"/>
              <w:ind w:left="1993" w:right="0"/>
              <w:jc w:val="left"/>
              <w:rPr>
                <w:rFonts w:ascii="Times New Roman" w:hAnsi="Times New Roman" w:cs="Times New Roman" w:eastAsia="Times New Roman" w:hint="default"/>
                <w:sz w:val="18"/>
                <w:szCs w:val="18"/>
              </w:rPr>
            </w:pPr>
            <w:r>
              <w:rPr>
                <w:rFonts w:ascii="Times New Roman"/>
                <w:sz w:val="18"/>
              </w:rPr>
              <w:t>53,039,946.36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-41,532,058.06</w:t>
            </w:r>
          </w:p>
        </w:tc>
      </w:tr>
      <w:tr>
        <w:trPr>
          <w:trHeight w:val="94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7"/>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842" w:right="0"/>
              <w:jc w:val="left"/>
              <w:rPr>
                <w:rFonts w:ascii="Times New Roman" w:hAnsi="Times New Roman" w:cs="Times New Roman" w:eastAsia="Times New Roman" w:hint="default"/>
                <w:sz w:val="18"/>
                <w:szCs w:val="18"/>
              </w:rPr>
            </w:pPr>
            <w:r>
              <w:rPr>
                <w:rFonts w:ascii="Times New Roman"/>
                <w:sz w:val="18"/>
              </w:rPr>
              <w:t>-191,727,603.41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42,504,788.37</w:t>
            </w:r>
          </w:p>
        </w:tc>
      </w:tr>
      <w:tr>
        <w:trPr>
          <w:trHeight w:val="94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7"/>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902" w:right="0"/>
              <w:jc w:val="left"/>
              <w:rPr>
                <w:rFonts w:ascii="Times New Roman" w:hAnsi="Times New Roman" w:cs="Times New Roman" w:eastAsia="Times New Roman" w:hint="default"/>
                <w:sz w:val="18"/>
                <w:szCs w:val="18"/>
              </w:rPr>
            </w:pPr>
            <w:r>
              <w:rPr>
                <w:rFonts w:ascii="Times New Roman"/>
                <w:sz w:val="18"/>
              </w:rPr>
              <w:t>192,792,456.44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-14,520,197.79</w:t>
            </w:r>
          </w:p>
        </w:tc>
      </w:tr>
      <w:tr>
        <w:trPr>
          <w:trHeight w:val="47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7"/>
              <w:ind w:left="1902" w:right="0"/>
              <w:jc w:val="left"/>
              <w:rPr>
                <w:rFonts w:ascii="Times New Roman" w:hAnsi="Times New Roman" w:cs="Times New Roman" w:eastAsia="Times New Roman" w:hint="default"/>
                <w:sz w:val="18"/>
                <w:szCs w:val="18"/>
              </w:rPr>
            </w:pPr>
            <w:r>
              <w:rPr>
                <w:rFonts w:ascii="Times New Roman"/>
                <w:sz w:val="18"/>
              </w:rPr>
              <w:t>966,933,808.21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672,450,133.35</w:t>
            </w:r>
          </w:p>
        </w:tc>
      </w:tr>
      <w:tr>
        <w:trPr>
          <w:trHeight w:val="240"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451" w:lineRule="auto" w:before="87"/>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468"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7"/>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7"/>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238"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80"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7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7"/>
              <w:ind w:left="1767" w:right="0"/>
              <w:jc w:val="left"/>
              <w:rPr>
                <w:rFonts w:ascii="Times New Roman" w:hAnsi="Times New Roman" w:cs="Times New Roman" w:eastAsia="Times New Roman" w:hint="default"/>
                <w:sz w:val="18"/>
                <w:szCs w:val="18"/>
              </w:rPr>
            </w:pPr>
            <w:r>
              <w:rPr>
                <w:rFonts w:ascii="Times New Roman"/>
                <w:sz w:val="18"/>
              </w:rPr>
              <w:t>4,234,069,111.22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3,701,187,691.11</w:t>
            </w:r>
          </w:p>
        </w:tc>
      </w:tr>
      <w:tr>
        <w:trPr>
          <w:trHeight w:val="47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7"/>
              <w:ind w:left="1767" w:right="0"/>
              <w:jc w:val="left"/>
              <w:rPr>
                <w:rFonts w:ascii="Times New Roman" w:hAnsi="Times New Roman" w:cs="Times New Roman" w:eastAsia="Times New Roman" w:hint="default"/>
                <w:sz w:val="18"/>
                <w:szCs w:val="18"/>
              </w:rPr>
            </w:pPr>
            <w:r>
              <w:rPr>
                <w:rFonts w:ascii="Times New Roman"/>
                <w:sz w:val="18"/>
              </w:rPr>
              <w:t>3,701,187,691.11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3,205,127,343.18</w:t>
            </w:r>
          </w:p>
        </w:tc>
      </w:tr>
      <w:tr>
        <w:trPr>
          <w:trHeight w:val="480"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7"/>
              <w:ind w:left="1902" w:right="0"/>
              <w:jc w:val="left"/>
              <w:rPr>
                <w:rFonts w:ascii="Times New Roman" w:hAnsi="Times New Roman" w:cs="Times New Roman" w:eastAsia="Times New Roman" w:hint="default"/>
                <w:sz w:val="18"/>
                <w:szCs w:val="18"/>
              </w:rPr>
            </w:pPr>
            <w:r>
              <w:rPr>
                <w:rFonts w:ascii="Times New Roman"/>
                <w:sz w:val="18"/>
              </w:rPr>
              <w:t>532,881,420.11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496,060,347.93</w:t>
            </w:r>
          </w:p>
        </w:tc>
      </w:tr>
    </w:tbl>
    <w:p>
      <w:pPr>
        <w:pStyle w:val="Heading4"/>
        <w:spacing w:line="240" w:lineRule="auto" w:before="71"/>
        <w:ind w:right="1034"/>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4976"/>
        <w:gridCol w:w="4583"/>
      </w:tblGrid>
      <w:tr>
        <w:trPr>
          <w:trHeight w:val="478"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79"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698,045,600.00</w:t>
            </w:r>
          </w:p>
        </w:tc>
      </w:tr>
      <w:tr>
        <w:trPr>
          <w:trHeight w:val="479"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w:t>
            </w:r>
          </w:p>
        </w:tc>
      </w:tr>
      <w:tr>
        <w:trPr>
          <w:trHeight w:val="478" w:hRule="exact"/>
        </w:trPr>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北京中科江南信息技术股份有限公司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312,800,000.00</w:t>
            </w:r>
          </w:p>
        </w:tc>
      </w:tr>
      <w:tr>
        <w:trPr>
          <w:trHeight w:val="478" w:hRule="exact"/>
        </w:trPr>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深圳市信义科技有限公司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327,250,000.00</w:t>
            </w:r>
          </w:p>
        </w:tc>
      </w:tr>
      <w:tr>
        <w:trPr>
          <w:trHeight w:val="478" w:hRule="exact"/>
        </w:trPr>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锡林郭勒盟金盾保安服务有限公司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27,295,600.00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78"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湖北融信押运保安服务有限公司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30,700,000.00</w:t>
            </w:r>
          </w:p>
        </w:tc>
      </w:tr>
      <w:tr>
        <w:trPr>
          <w:trHeight w:val="47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179,922,744.74</w:t>
            </w:r>
          </w:p>
        </w:tc>
      </w:tr>
      <w:tr>
        <w:trPr>
          <w:trHeight w:val="47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80"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北京中科江南信息技术股份有限公司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121,269,963.95</w:t>
            </w:r>
          </w:p>
        </w:tc>
      </w:tr>
      <w:tr>
        <w:trPr>
          <w:trHeight w:val="478"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深圳市信义科技有限公司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54,807,489.65</w:t>
            </w:r>
          </w:p>
        </w:tc>
      </w:tr>
      <w:tr>
        <w:trPr>
          <w:trHeight w:val="478"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锡林郭勒盟金盾保安服务有限公司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3,543,176.15</w:t>
            </w:r>
          </w:p>
        </w:tc>
      </w:tr>
      <w:tr>
        <w:trPr>
          <w:trHeight w:val="478"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湖北融信押运保安服务有限公司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302,114.99</w:t>
            </w:r>
          </w:p>
        </w:tc>
      </w:tr>
      <w:tr>
        <w:trPr>
          <w:trHeight w:val="47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4"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
        </w:tc>
      </w:tr>
      <w:tr>
        <w:trPr>
          <w:trHeight w:val="479"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79"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pacing w:val="-1"/>
                <w:sz w:val="18"/>
              </w:rPr>
              <w:t>518,122,855.26</w:t>
            </w:r>
          </w:p>
        </w:tc>
      </w:tr>
    </w:tbl>
    <w:p>
      <w:pPr>
        <w:pStyle w:val="Heading4"/>
        <w:spacing w:line="240" w:lineRule="auto" w:before="71"/>
        <w:ind w:right="1034"/>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7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4,234,069,111.22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3,701,187,691.11</w:t>
            </w:r>
          </w:p>
        </w:tc>
      </w:tr>
      <w:tr>
        <w:trPr>
          <w:trHeight w:val="47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5,579,516.05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3,403,471.34</w:t>
            </w:r>
          </w:p>
        </w:tc>
      </w:tr>
      <w:tr>
        <w:trPr>
          <w:trHeight w:val="47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4,228,489,595.17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3,697,784,219.77</w:t>
            </w:r>
          </w:p>
        </w:tc>
      </w:tr>
      <w:tr>
        <w:trPr>
          <w:trHeight w:val="480"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220"/>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220"/>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55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55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4,234,069,111.22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3,701,187,691.11</w:t>
            </w:r>
          </w:p>
        </w:tc>
      </w:tr>
      <w:tr>
        <w:trPr>
          <w:trHeight w:val="94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的现金和现金等价物</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15,719,362.11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161,153.52</w:t>
            </w:r>
          </w:p>
        </w:tc>
      </w:tr>
    </w:tbl>
    <w:p>
      <w:pPr>
        <w:pStyle w:val="Heading4"/>
        <w:spacing w:line="240" w:lineRule="auto" w:before="71"/>
        <w:ind w:right="1034"/>
        <w:jc w:val="left"/>
        <w:rPr>
          <w:b w:val="0"/>
          <w:bCs w:val="0"/>
        </w:rPr>
      </w:pPr>
      <w:r>
        <w:rPr>
          <w:rFonts w:ascii="Times New Roman" w:hAnsi="Times New Roman" w:cs="Times New Roman" w:eastAsia="Times New Roman" w:hint="default"/>
        </w:rPr>
        <w:t>48</w:t>
      </w:r>
      <w:r>
        <w:rPr/>
        <w:t>、所有者权益变动表项目注释</w:t>
      </w:r>
      <w:r>
        <w:rPr>
          <w:b w:val="0"/>
          <w:bCs w:val="0"/>
        </w:rPr>
      </w:r>
    </w:p>
    <w:p>
      <w:pPr>
        <w:spacing w:line="240" w:lineRule="auto" w:before="1"/>
        <w:rPr>
          <w:rFonts w:ascii="宋体" w:hAnsi="宋体" w:cs="宋体" w:eastAsia="宋体" w:hint="default"/>
          <w:b/>
          <w:bCs/>
          <w:sz w:val="14"/>
          <w:szCs w:val="14"/>
        </w:rPr>
      </w:pPr>
    </w:p>
    <w:p>
      <w:pPr>
        <w:pStyle w:val="Heading3"/>
        <w:spacing w:line="240" w:lineRule="auto" w:before="0"/>
        <w:ind w:left="513" w:right="1034"/>
        <w:jc w:val="left"/>
      </w:pPr>
      <w:r>
        <w:rPr/>
        <w:t>本期没有对上年期末余额进行调整的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w:t>
      </w:r>
    </w:p>
    <w:p>
      <w:pPr>
        <w:pStyle w:val="Heading4"/>
        <w:spacing w:line="240" w:lineRule="auto" w:before="184"/>
        <w:ind w:right="1034"/>
        <w:jc w:val="left"/>
        <w:rPr>
          <w:b w:val="0"/>
          <w:bCs w:val="0"/>
        </w:rPr>
      </w:pPr>
      <w:r>
        <w:rPr>
          <w:rFonts w:ascii="Times New Roman" w:hAnsi="Times New Roman" w:cs="Times New Roman" w:eastAsia="Times New Roman" w:hint="default"/>
        </w:rPr>
        <w:t>49</w:t>
      </w:r>
      <w:r>
        <w:rPr/>
        <w:t>、所有权或使用权受到限制的资产</w:t>
      </w:r>
      <w:r>
        <w:rPr>
          <w:b w:val="0"/>
          <w:bCs w:val="0"/>
        </w:rPr>
      </w:r>
    </w:p>
    <w:p>
      <w:pPr>
        <w:pStyle w:val="BodyText"/>
        <w:spacing w:line="240" w:lineRule="auto" w:before="128"/>
        <w:ind w:left="0" w:right="1131"/>
        <w:jc w:val="right"/>
      </w:pPr>
      <w:r>
        <w:rPr/>
        <w:t>单位：</w:t>
      </w:r>
      <w:r>
        <w:rPr>
          <w:spacing w:val="1"/>
        </w:rPr>
        <w:t> </w:t>
      </w:r>
      <w:r>
        <w:rPr/>
        <w:t>元</w:t>
      </w:r>
    </w:p>
    <w:p>
      <w:pPr>
        <w:spacing w:after="0" w:line="240" w:lineRule="auto"/>
        <w:jc w:val="right"/>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327"/>
        <w:gridCol w:w="2770"/>
        <w:gridCol w:w="3473"/>
      </w:tblGrid>
      <w:tr>
        <w:trPr>
          <w:trHeight w:val="32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40"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101" w:hRule="exact"/>
        </w:trPr>
        <w:tc>
          <w:tcPr>
            <w:tcW w:w="3327" w:type="dxa"/>
            <w:tcBorders>
              <w:top w:val="single" w:sz="4" w:space="0" w:color="000000"/>
              <w:left w:val="single" w:sz="4" w:space="0" w:color="000000"/>
              <w:bottom w:val="nil" w:sz="6" w:space="0" w:color="auto"/>
              <w:right w:val="single" w:sz="4" w:space="0" w:color="000000"/>
            </w:tcBorders>
            <w:shd w:val="clear" w:color="auto" w:fill="D2D2D2"/>
          </w:tcPr>
          <w:p>
            <w:pPr/>
          </w:p>
        </w:tc>
        <w:tc>
          <w:tcPr>
            <w:tcW w:w="2770" w:type="dxa"/>
            <w:vMerge w:val="restart"/>
            <w:tcBorders>
              <w:top w:val="single" w:sz="4" w:space="0" w:color="000000"/>
              <w:left w:val="single" w:sz="10" w:space="0" w:color="D2D2D2"/>
              <w:right w:val="single" w:sz="4" w:space="0" w:color="000000"/>
            </w:tcBorders>
          </w:tcPr>
          <w:p>
            <w:pPr>
              <w:pStyle w:val="TableParagraph"/>
              <w:spacing w:line="240" w:lineRule="auto" w:before="146"/>
              <w:ind w:left="1694" w:right="0"/>
              <w:jc w:val="left"/>
              <w:rPr>
                <w:rFonts w:ascii="Times New Roman" w:hAnsi="Times New Roman" w:cs="Times New Roman" w:eastAsia="Times New Roman" w:hint="default"/>
                <w:sz w:val="18"/>
                <w:szCs w:val="18"/>
              </w:rPr>
            </w:pPr>
            <w:r>
              <w:rPr>
                <w:rFonts w:ascii="Times New Roman"/>
                <w:sz w:val="18"/>
              </w:rPr>
              <w:t>15,719,362.11</w:t>
            </w:r>
          </w:p>
        </w:tc>
        <w:tc>
          <w:tcPr>
            <w:tcW w:w="3473" w:type="dxa"/>
            <w:vMerge w:val="restart"/>
            <w:tcBorders>
              <w:top w:val="single" w:sz="4" w:space="0" w:color="000000"/>
              <w:left w:val="single" w:sz="4" w:space="0" w:color="000000"/>
              <w:right w:val="single" w:sz="4" w:space="0" w:color="000000"/>
            </w:tcBorders>
          </w:tcPr>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银行保证金、履约保证金和财政监管资金</w:t>
            </w:r>
          </w:p>
        </w:tc>
      </w:tr>
      <w:tr>
        <w:trPr>
          <w:trHeight w:val="445" w:hRule="exact"/>
        </w:trPr>
        <w:tc>
          <w:tcPr>
            <w:tcW w:w="3327" w:type="dxa"/>
            <w:tcBorders>
              <w:top w:val="nil" w:sz="6" w:space="0" w:color="auto"/>
              <w:left w:val="single" w:sz="4" w:space="0" w:color="000000"/>
              <w:bottom w:val="single" w:sz="4" w:space="0" w:color="FFFFFF"/>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770" w:type="dxa"/>
            <w:vMerge/>
            <w:tcBorders>
              <w:left w:val="single" w:sz="10" w:space="0" w:color="D2D2D2"/>
              <w:bottom w:val="single" w:sz="4" w:space="0" w:color="FFFFFF"/>
              <w:right w:val="single" w:sz="4" w:space="0" w:color="000000"/>
            </w:tcBorders>
          </w:tcPr>
          <w:p>
            <w:pPr/>
          </w:p>
        </w:tc>
        <w:tc>
          <w:tcPr>
            <w:tcW w:w="3473" w:type="dxa"/>
            <w:vMerge/>
            <w:tcBorders>
              <w:left w:val="single" w:sz="4" w:space="0" w:color="000000"/>
              <w:bottom w:val="single" w:sz="4" w:space="0" w:color="FFFFFF"/>
              <w:right w:val="single" w:sz="4" w:space="0" w:color="000000"/>
            </w:tcBorders>
          </w:tcPr>
          <w:p>
            <w:pPr/>
          </w:p>
        </w:tc>
      </w:tr>
      <w:tr>
        <w:trPr>
          <w:trHeight w:val="414" w:hRule="exact"/>
        </w:trPr>
        <w:tc>
          <w:tcPr>
            <w:tcW w:w="3327"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38"/>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770" w:type="dxa"/>
            <w:tcBorders>
              <w:top w:val="single" w:sz="4" w:space="0" w:color="FFFFFF"/>
              <w:left w:val="single" w:sz="10" w:space="0" w:color="D2D2D2"/>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18"/>
                <w:szCs w:val="18"/>
              </w:rPr>
            </w:pPr>
            <w:r>
              <w:rPr>
                <w:rFonts w:ascii="Times New Roman"/>
                <w:spacing w:val="-1"/>
                <w:sz w:val="18"/>
              </w:rPr>
              <w:t>11,302,650.00</w:t>
            </w:r>
          </w:p>
        </w:tc>
        <w:tc>
          <w:tcPr>
            <w:tcW w:w="347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38"/>
              <w:ind w:left="23" w:right="0"/>
              <w:jc w:val="left"/>
              <w:rPr>
                <w:rFonts w:ascii="宋体" w:hAnsi="宋体" w:cs="宋体" w:eastAsia="宋体" w:hint="default"/>
                <w:sz w:val="18"/>
                <w:szCs w:val="18"/>
              </w:rPr>
            </w:pPr>
            <w:r>
              <w:rPr>
                <w:rFonts w:ascii="宋体" w:hAnsi="宋体" w:cs="宋体" w:eastAsia="宋体" w:hint="default"/>
                <w:sz w:val="18"/>
                <w:szCs w:val="18"/>
              </w:rPr>
              <w:t>银行质押</w:t>
            </w:r>
          </w:p>
        </w:tc>
      </w:tr>
      <w:tr>
        <w:trPr>
          <w:trHeight w:val="478"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70"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127"/>
              <w:ind w:right="10"/>
              <w:jc w:val="right"/>
              <w:rPr>
                <w:rFonts w:ascii="Times New Roman" w:hAnsi="Times New Roman" w:cs="Times New Roman" w:eastAsia="Times New Roman" w:hint="default"/>
                <w:sz w:val="18"/>
                <w:szCs w:val="18"/>
              </w:rPr>
            </w:pPr>
            <w:r>
              <w:rPr>
                <w:rFonts w:ascii="Times New Roman"/>
                <w:spacing w:val="-1"/>
                <w:sz w:val="18"/>
              </w:rPr>
              <w:t>27,022,012.11</w:t>
            </w:r>
          </w:p>
        </w:tc>
        <w:tc>
          <w:tcPr>
            <w:tcW w:w="3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w:t>
            </w:r>
          </w:p>
        </w:tc>
      </w:tr>
    </w:tbl>
    <w:p>
      <w:pPr>
        <w:pStyle w:val="Heading4"/>
        <w:spacing w:line="240" w:lineRule="auto" w:before="71"/>
        <w:ind w:right="1034"/>
        <w:jc w:val="left"/>
        <w:rPr>
          <w:b w:val="0"/>
          <w:bCs w:val="0"/>
        </w:rPr>
      </w:pPr>
      <w:r>
        <w:rPr>
          <w:rFonts w:ascii="Times New Roman" w:hAnsi="Times New Roman" w:cs="Times New Roman" w:eastAsia="Times New Roman" w:hint="default"/>
        </w:rPr>
        <w:t>50</w:t>
      </w:r>
      <w:r>
        <w:rPr/>
        <w:t>、外币货币性项目</w:t>
      </w:r>
      <w:r>
        <w:rPr>
          <w:b w:val="0"/>
          <w:bCs w:val="0"/>
        </w:rPr>
      </w:r>
    </w:p>
    <w:p>
      <w:pPr>
        <w:spacing w:line="240" w:lineRule="auto" w:before="8"/>
        <w:rPr>
          <w:rFonts w:ascii="宋体" w:hAnsi="宋体" w:cs="宋体" w:eastAsia="宋体" w:hint="default"/>
          <w:b/>
          <w:bCs/>
          <w:sz w:val="14"/>
          <w:szCs w:val="14"/>
        </w:rPr>
      </w:pPr>
    </w:p>
    <w:p>
      <w:pPr>
        <w:pStyle w:val="Heading4"/>
        <w:spacing w:line="240" w:lineRule="auto"/>
        <w:ind w:right="1034"/>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2483"/>
        <w:gridCol w:w="2305"/>
        <w:gridCol w:w="2391"/>
        <w:gridCol w:w="2391"/>
      </w:tblGrid>
      <w:tr>
        <w:trPr>
          <w:trHeight w:val="481" w:hRule="exact"/>
        </w:trPr>
        <w:tc>
          <w:tcPr>
            <w:tcW w:w="2483"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90"/>
              <w:ind w:right="1037"/>
              <w:jc w:val="right"/>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10" w:space="0" w:color="D9D9D9"/>
              <w:bottom w:val="single" w:sz="4" w:space="0" w:color="000000"/>
              <w:right w:val="single" w:sz="4" w:space="0" w:color="000000"/>
            </w:tcBorders>
            <w:shd w:val="clear" w:color="auto" w:fill="D2D2D2"/>
          </w:tcPr>
          <w:p>
            <w:pPr>
              <w:pStyle w:val="TableParagraph"/>
              <w:spacing w:line="240" w:lineRule="auto" w:before="90"/>
              <w:ind w:left="607"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78" w:hRule="exact"/>
        </w:trPr>
        <w:tc>
          <w:tcPr>
            <w:tcW w:w="2483"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10" w:space="0" w:color="D9D9D9"/>
              <w:bottom w:val="single" w:sz="4" w:space="0" w:color="000000"/>
              <w:right w:val="single" w:sz="4" w:space="0" w:color="000000"/>
            </w:tcBorders>
            <w:shd w:val="clear" w:color="auto" w:fill="D2D2D2"/>
          </w:tcPr>
          <w:p>
            <w:pPr>
              <w:pStyle w:val="TableParagraph"/>
              <w:spacing w:line="240" w:lineRule="auto" w:before="127"/>
              <w:ind w:left="7"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896,941,714.74</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103,193,322.48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708,236,410.84</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10,897,079.78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1"/>
              <w:jc w:val="right"/>
              <w:rPr>
                <w:rFonts w:ascii="Times New Roman" w:hAnsi="Times New Roman" w:cs="Times New Roman" w:eastAsia="Times New Roman" w:hint="default"/>
                <w:sz w:val="18"/>
                <w:szCs w:val="18"/>
              </w:rPr>
            </w:pPr>
            <w:r>
              <w:rPr>
                <w:rFonts w:ascii="Times New Roman"/>
                <w:spacing w:val="-1"/>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2"/>
              <w:jc w:val="right"/>
              <w:rPr>
                <w:rFonts w:ascii="Times New Roman" w:hAnsi="Times New Roman" w:cs="Times New Roman" w:eastAsia="Times New Roman" w:hint="default"/>
                <w:sz w:val="18"/>
                <w:szCs w:val="18"/>
              </w:rPr>
            </w:pPr>
            <w:r>
              <w:rPr>
                <w:rFonts w:ascii="Times New Roman"/>
                <w:spacing w:val="-1"/>
                <w:sz w:val="18"/>
              </w:rPr>
              <w:t>85,512,654.16</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47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88,160,057.50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1"/>
              <w:jc w:val="right"/>
              <w:rPr>
                <w:rFonts w:ascii="Times New Roman" w:hAnsi="Times New Roman" w:cs="Times New Roman" w:eastAsia="Times New Roman" w:hint="default"/>
                <w:sz w:val="18"/>
                <w:szCs w:val="18"/>
              </w:rPr>
            </w:pPr>
            <w:r>
              <w:rPr>
                <w:rFonts w:ascii="Times New Roman"/>
                <w:spacing w:val="-1"/>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2"/>
              <w:jc w:val="right"/>
              <w:rPr>
                <w:rFonts w:ascii="Times New Roman" w:hAnsi="Times New Roman" w:cs="Times New Roman" w:eastAsia="Times New Roman" w:hint="default"/>
                <w:sz w:val="18"/>
                <w:szCs w:val="18"/>
              </w:rPr>
            </w:pPr>
            <w:r>
              <w:rPr>
                <w:rFonts w:ascii="Times New Roman"/>
                <w:spacing w:val="-1"/>
                <w:sz w:val="18"/>
              </w:rPr>
              <w:t>77,245,842.38</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474" w:right="0"/>
              <w:jc w:val="left"/>
              <w:rPr>
                <w:rFonts w:ascii="宋体" w:hAnsi="宋体" w:cs="宋体" w:eastAsia="宋体" w:hint="default"/>
                <w:sz w:val="18"/>
                <w:szCs w:val="18"/>
              </w:rPr>
            </w:pPr>
            <w:r>
              <w:rPr>
                <w:rFonts w:ascii="宋体" w:hAnsi="宋体" w:cs="宋体" w:eastAsia="宋体" w:hint="default"/>
                <w:sz w:val="18"/>
                <w:szCs w:val="18"/>
              </w:rPr>
              <w:t>墨西哥比索</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2,638,102.24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0.3514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927,029.13</w:t>
            </w:r>
          </w:p>
        </w:tc>
      </w:tr>
      <w:tr>
        <w:trPr>
          <w:trHeight w:val="480"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474" w:right="0"/>
              <w:jc w:val="left"/>
              <w:rPr>
                <w:rFonts w:ascii="宋体" w:hAnsi="宋体" w:cs="宋体" w:eastAsia="宋体" w:hint="default"/>
                <w:sz w:val="18"/>
                <w:szCs w:val="18"/>
              </w:rPr>
            </w:pPr>
            <w:r>
              <w:rPr>
                <w:rFonts w:ascii="宋体" w:hAnsi="宋体" w:cs="宋体" w:eastAsia="宋体" w:hint="default"/>
                <w:sz w:val="18"/>
                <w:szCs w:val="18"/>
              </w:rPr>
              <w:t>新加坡币</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900,016.82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5.0062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4,505,664.20</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474" w:right="0"/>
              <w:jc w:val="left"/>
              <w:rPr>
                <w:rFonts w:ascii="宋体" w:hAnsi="宋体" w:cs="宋体" w:eastAsia="宋体" w:hint="default"/>
                <w:sz w:val="18"/>
                <w:szCs w:val="18"/>
              </w:rPr>
            </w:pPr>
            <w:r>
              <w:rPr>
                <w:rFonts w:ascii="宋体" w:hAnsi="宋体" w:cs="宋体" w:eastAsia="宋体" w:hint="default"/>
                <w:sz w:val="18"/>
                <w:szCs w:val="18"/>
              </w:rPr>
              <w:t>土耳其里拉</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15,220,230.63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1.2962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19,728,462.94</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47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44,872.10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8.6762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389,319.31</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383"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9.41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6.9494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65.39</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383" w:right="0"/>
              <w:jc w:val="left"/>
              <w:rPr>
                <w:rFonts w:ascii="宋体" w:hAnsi="宋体" w:cs="宋体" w:eastAsia="宋体" w:hint="default"/>
                <w:sz w:val="18"/>
                <w:szCs w:val="18"/>
              </w:rPr>
            </w:pPr>
            <w:r>
              <w:rPr>
                <w:rFonts w:ascii="宋体" w:hAnsi="宋体" w:cs="宋体" w:eastAsia="宋体" w:hint="default"/>
                <w:sz w:val="18"/>
                <w:szCs w:val="18"/>
              </w:rPr>
              <w:t>俄罗斯卢布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4,000,035.62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0.0986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394,403.51</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383"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400.00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0.2110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84.40</w:t>
            </w:r>
          </w:p>
        </w:tc>
      </w:tr>
      <w:tr>
        <w:trPr>
          <w:trHeight w:val="480"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294" w:right="0"/>
              <w:jc w:val="left"/>
              <w:rPr>
                <w:rFonts w:ascii="宋体" w:hAnsi="宋体" w:cs="宋体" w:eastAsia="宋体" w:hint="default"/>
                <w:sz w:val="18"/>
                <w:szCs w:val="18"/>
              </w:rPr>
            </w:pPr>
            <w:r>
              <w:rPr>
                <w:rFonts w:ascii="宋体" w:hAnsi="宋体" w:cs="宋体" w:eastAsia="宋体" w:hint="default"/>
                <w:sz w:val="18"/>
                <w:szCs w:val="18"/>
              </w:rPr>
              <w:t>印尼卢比</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3,760,000.00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0.0005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w w:val="95"/>
                <w:sz w:val="18"/>
              </w:rPr>
              <w:t>1,778.48</w:t>
            </w:r>
          </w:p>
        </w:tc>
      </w:tr>
      <w:tr>
        <w:trPr>
          <w:trHeight w:val="478" w:hRule="exact"/>
        </w:trPr>
        <w:tc>
          <w:tcPr>
            <w:tcW w:w="2483"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10" w:space="0" w:color="D9D9D9"/>
              <w:bottom w:val="single" w:sz="4" w:space="0" w:color="000000"/>
              <w:right w:val="single" w:sz="4" w:space="0" w:color="000000"/>
            </w:tcBorders>
            <w:shd w:val="clear" w:color="auto" w:fill="D2D2D2"/>
          </w:tcPr>
          <w:p>
            <w:pPr>
              <w:pStyle w:val="TableParagraph"/>
              <w:spacing w:line="240" w:lineRule="auto" w:before="127"/>
              <w:ind w:left="7"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99,502,436.28</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10,871,555.17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74,613,657.44</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1,228,885.08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1"/>
              <w:jc w:val="right"/>
              <w:rPr>
                <w:rFonts w:ascii="Times New Roman" w:hAnsi="Times New Roman" w:cs="Times New Roman" w:eastAsia="Times New Roman" w:hint="default"/>
                <w:sz w:val="18"/>
                <w:szCs w:val="18"/>
              </w:rPr>
            </w:pPr>
            <w:r>
              <w:rPr>
                <w:rFonts w:ascii="Times New Roman"/>
                <w:spacing w:val="-1"/>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1"/>
              <w:jc w:val="right"/>
              <w:rPr>
                <w:rFonts w:ascii="Times New Roman" w:hAnsi="Times New Roman" w:cs="Times New Roman" w:eastAsia="Times New Roman" w:hint="default"/>
                <w:sz w:val="18"/>
                <w:szCs w:val="18"/>
              </w:rPr>
            </w:pPr>
            <w:r>
              <w:rPr>
                <w:rFonts w:ascii="Times New Roman"/>
                <w:spacing w:val="-1"/>
                <w:sz w:val="18"/>
              </w:rPr>
              <w:t>9,643,429.89</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8,485,378.49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1"/>
              <w:jc w:val="right"/>
              <w:rPr>
                <w:rFonts w:ascii="Times New Roman" w:hAnsi="Times New Roman" w:cs="Times New Roman" w:eastAsia="Times New Roman" w:hint="default"/>
                <w:sz w:val="18"/>
                <w:szCs w:val="18"/>
              </w:rPr>
            </w:pPr>
            <w:r>
              <w:rPr>
                <w:rFonts w:ascii="Times New Roman"/>
                <w:spacing w:val="-1"/>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1"/>
              <w:jc w:val="right"/>
              <w:rPr>
                <w:rFonts w:ascii="Times New Roman" w:hAnsi="Times New Roman" w:cs="Times New Roman" w:eastAsia="Times New Roman" w:hint="default"/>
                <w:sz w:val="18"/>
                <w:szCs w:val="18"/>
              </w:rPr>
            </w:pPr>
            <w:r>
              <w:rPr>
                <w:rFonts w:ascii="Times New Roman"/>
                <w:spacing w:val="-1"/>
                <w:sz w:val="18"/>
              </w:rPr>
              <w:t>7,434,888.64</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right="1008"/>
              <w:jc w:val="right"/>
              <w:rPr>
                <w:rFonts w:ascii="宋体" w:hAnsi="宋体" w:cs="宋体" w:eastAsia="宋体" w:hint="default"/>
                <w:sz w:val="18"/>
                <w:szCs w:val="18"/>
              </w:rPr>
            </w:pPr>
            <w:r>
              <w:rPr>
                <w:rFonts w:ascii="宋体" w:hAnsi="宋体" w:cs="宋体" w:eastAsia="宋体" w:hint="default"/>
                <w:sz w:val="18"/>
                <w:szCs w:val="18"/>
              </w:rPr>
              <w:t>土耳其里拉</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6,025,659.86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1.2962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7,810,460.31</w:t>
            </w:r>
          </w:p>
        </w:tc>
      </w:tr>
      <w:tr>
        <w:trPr>
          <w:trHeight w:val="480"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305" w:type="dxa"/>
            <w:tcBorders>
              <w:top w:val="single" w:sz="4" w:space="0" w:color="000000"/>
              <w:left w:val="single" w:sz="10"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6,494,305.96</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875,308.98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6,007,420.59</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455,059.96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1"/>
              <w:jc w:val="right"/>
              <w:rPr>
                <w:rFonts w:ascii="Times New Roman" w:hAnsi="Times New Roman" w:cs="Times New Roman" w:eastAsia="Times New Roman" w:hint="default"/>
                <w:sz w:val="18"/>
                <w:szCs w:val="18"/>
              </w:rPr>
            </w:pPr>
            <w:r>
              <w:rPr>
                <w:rFonts w:ascii="Times New Roman"/>
                <w:spacing w:val="-1"/>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1"/>
              <w:jc w:val="right"/>
              <w:rPr>
                <w:rFonts w:ascii="Times New Roman" w:hAnsi="Times New Roman" w:cs="Times New Roman" w:eastAsia="Times New Roman" w:hint="default"/>
                <w:sz w:val="18"/>
                <w:szCs w:val="18"/>
              </w:rPr>
            </w:pPr>
            <w:r>
              <w:rPr>
                <w:rFonts w:ascii="Times New Roman"/>
                <w:spacing w:val="-1"/>
                <w:sz w:val="18"/>
              </w:rPr>
              <w:t>398,723.54</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11,234.67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88,161.83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483"/>
        <w:gridCol w:w="2305"/>
        <w:gridCol w:w="2391"/>
        <w:gridCol w:w="2391"/>
      </w:tblGrid>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05" w:type="dxa"/>
            <w:tcBorders>
              <w:top w:val="single" w:sz="4" w:space="0" w:color="000000"/>
              <w:left w:val="single" w:sz="10"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3,825,287.68</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469,808.01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3,224,386.33</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187,058.43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163,900.60</w:t>
            </w:r>
          </w:p>
        </w:tc>
      </w:tr>
      <w:tr>
        <w:trPr>
          <w:trHeight w:val="480"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16,582.00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130,123.93</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563" w:right="0"/>
              <w:jc w:val="left"/>
              <w:rPr>
                <w:rFonts w:ascii="宋体" w:hAnsi="宋体" w:cs="宋体" w:eastAsia="宋体" w:hint="default"/>
                <w:sz w:val="18"/>
                <w:szCs w:val="18"/>
              </w:rPr>
            </w:pPr>
            <w:r>
              <w:rPr>
                <w:rFonts w:ascii="宋体" w:hAnsi="宋体" w:cs="宋体" w:eastAsia="宋体" w:hint="default"/>
                <w:sz w:val="18"/>
                <w:szCs w:val="18"/>
              </w:rPr>
              <w:t>新加坡币</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20.00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5.0062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100.12</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right="1008"/>
              <w:jc w:val="right"/>
              <w:rPr>
                <w:rFonts w:ascii="宋体" w:hAnsi="宋体" w:cs="宋体" w:eastAsia="宋体" w:hint="default"/>
                <w:sz w:val="18"/>
                <w:szCs w:val="18"/>
              </w:rPr>
            </w:pPr>
            <w:r>
              <w:rPr>
                <w:rFonts w:ascii="宋体" w:hAnsi="宋体" w:cs="宋体" w:eastAsia="宋体" w:hint="default"/>
                <w:sz w:val="18"/>
                <w:szCs w:val="18"/>
              </w:rPr>
              <w:t>土耳其里拉</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88,646.06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1.2962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114,903.02</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right="1008"/>
              <w:jc w:val="right"/>
              <w:rPr>
                <w:rFonts w:ascii="宋体" w:hAnsi="宋体" w:cs="宋体" w:eastAsia="宋体" w:hint="default"/>
                <w:sz w:val="18"/>
                <w:szCs w:val="18"/>
              </w:rPr>
            </w:pPr>
            <w:r>
              <w:rPr>
                <w:rFonts w:ascii="宋体" w:hAnsi="宋体" w:cs="宋体" w:eastAsia="宋体" w:hint="default"/>
                <w:sz w:val="18"/>
                <w:szCs w:val="18"/>
              </w:rPr>
              <w:t>俄罗斯卢布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1,945,980.49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0.0986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191,873.68</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305" w:type="dxa"/>
            <w:tcBorders>
              <w:top w:val="single" w:sz="4" w:space="0" w:color="000000"/>
              <w:left w:val="single" w:sz="10"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5,459,210.35</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150,610.75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131,965.14</w:t>
            </w:r>
          </w:p>
        </w:tc>
      </w:tr>
      <w:tr>
        <w:trPr>
          <w:trHeight w:val="480"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right="1008"/>
              <w:jc w:val="right"/>
              <w:rPr>
                <w:rFonts w:ascii="宋体" w:hAnsi="宋体" w:cs="宋体" w:eastAsia="宋体" w:hint="default"/>
                <w:sz w:val="18"/>
                <w:szCs w:val="18"/>
              </w:rPr>
            </w:pPr>
            <w:r>
              <w:rPr>
                <w:rFonts w:ascii="宋体" w:hAnsi="宋体" w:cs="宋体" w:eastAsia="宋体" w:hint="default"/>
                <w:sz w:val="18"/>
                <w:szCs w:val="18"/>
              </w:rPr>
              <w:t>墨西哥比索</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15,160,060.35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0.3514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5,327,245.21</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05" w:type="dxa"/>
            <w:tcBorders>
              <w:top w:val="single" w:sz="4" w:space="0" w:color="000000"/>
              <w:left w:val="single" w:sz="10"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7,505,563.55</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382,145.40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2,622,740.32</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5,373,472.39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4,708,236.50</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22,248.00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174,586.73</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05" w:type="dxa"/>
            <w:tcBorders>
              <w:top w:val="single" w:sz="4" w:space="0" w:color="000000"/>
              <w:left w:val="single" w:sz="10"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774,937.79</w:t>
            </w:r>
          </w:p>
        </w:tc>
      </w:tr>
      <w:tr>
        <w:trPr>
          <w:trHeight w:val="480"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w w:val="95"/>
                <w:sz w:val="18"/>
              </w:rPr>
              <w:t>3,500.00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24,021.20</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98,534.28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86,335.74</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84,689.11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664,580.85</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305" w:type="dxa"/>
            <w:tcBorders>
              <w:top w:val="single" w:sz="4" w:space="0" w:color="000000"/>
              <w:left w:val="single" w:sz="10"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2,006,435.94</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10,822.00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74,273.55</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1,051,440.00</w:t>
            </w:r>
          </w:p>
        </w:tc>
      </w:tr>
      <w:tr>
        <w:trPr>
          <w:trHeight w:val="480"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383" w:right="0"/>
              <w:jc w:val="left"/>
              <w:rPr>
                <w:rFonts w:ascii="宋体" w:hAnsi="宋体" w:cs="宋体" w:eastAsia="宋体" w:hint="default"/>
                <w:sz w:val="18"/>
                <w:szCs w:val="18"/>
              </w:rPr>
            </w:pPr>
            <w:r>
              <w:rPr>
                <w:rFonts w:ascii="宋体" w:hAnsi="宋体" w:cs="宋体" w:eastAsia="宋体" w:hint="default"/>
                <w:sz w:val="18"/>
                <w:szCs w:val="18"/>
              </w:rPr>
              <w:t>土耳其里拉</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425,223.16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1.2962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551,174.26</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383" w:right="0"/>
              <w:jc w:val="left"/>
              <w:rPr>
                <w:rFonts w:ascii="宋体" w:hAnsi="宋体" w:cs="宋体" w:eastAsia="宋体" w:hint="default"/>
                <w:sz w:val="18"/>
                <w:szCs w:val="18"/>
              </w:rPr>
            </w:pPr>
            <w:r>
              <w:rPr>
                <w:rFonts w:ascii="宋体" w:hAnsi="宋体" w:cs="宋体" w:eastAsia="宋体" w:hint="default"/>
                <w:sz w:val="18"/>
                <w:szCs w:val="18"/>
              </w:rPr>
              <w:t>新加坡币</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65,828.00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5.0062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329,548.13</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305" w:type="dxa"/>
            <w:tcBorders>
              <w:top w:val="single" w:sz="4" w:space="0" w:color="000000"/>
              <w:left w:val="single" w:sz="10"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911,933.77</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5"/>
                <w:sz w:val="18"/>
              </w:rPr>
              <w:t>1,120.00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w w:val="95"/>
                <w:sz w:val="18"/>
              </w:rPr>
              <w:t>7,686.78</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19,850.92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17,393.38</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18,912.63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148,413.08</w:t>
            </w:r>
          </w:p>
        </w:tc>
      </w:tr>
      <w:tr>
        <w:trPr>
          <w:trHeight w:val="480"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0"/>
              <w:ind w:right="1008"/>
              <w:jc w:val="right"/>
              <w:rPr>
                <w:rFonts w:ascii="宋体" w:hAnsi="宋体" w:cs="宋体" w:eastAsia="宋体" w:hint="default"/>
                <w:sz w:val="18"/>
                <w:szCs w:val="18"/>
              </w:rPr>
            </w:pPr>
            <w:r>
              <w:rPr>
                <w:rFonts w:ascii="宋体" w:hAnsi="宋体" w:cs="宋体" w:eastAsia="宋体" w:hint="default"/>
                <w:sz w:val="18"/>
                <w:szCs w:val="18"/>
              </w:rPr>
              <w:t>土耳其里拉</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30"/>
              <w:ind w:right="19"/>
              <w:jc w:val="right"/>
              <w:rPr>
                <w:rFonts w:ascii="Times New Roman" w:hAnsi="Times New Roman" w:cs="Times New Roman" w:eastAsia="Times New Roman" w:hint="default"/>
                <w:sz w:val="18"/>
                <w:szCs w:val="18"/>
              </w:rPr>
            </w:pPr>
            <w:r>
              <w:rPr>
                <w:rFonts w:ascii="Times New Roman"/>
                <w:spacing w:val="-1"/>
                <w:sz w:val="18"/>
              </w:rPr>
              <w:t>425,223.16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pacing w:val="-1"/>
                <w:sz w:val="18"/>
              </w:rPr>
              <w:t>1.2962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pacing w:val="-1"/>
                <w:sz w:val="18"/>
              </w:rPr>
              <w:t>551,174.26</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563" w:right="0"/>
              <w:jc w:val="left"/>
              <w:rPr>
                <w:rFonts w:ascii="宋体" w:hAnsi="宋体" w:cs="宋体" w:eastAsia="宋体" w:hint="default"/>
                <w:sz w:val="18"/>
                <w:szCs w:val="18"/>
              </w:rPr>
            </w:pPr>
            <w:r>
              <w:rPr>
                <w:rFonts w:ascii="宋体" w:hAnsi="宋体" w:cs="宋体" w:eastAsia="宋体" w:hint="default"/>
                <w:sz w:val="18"/>
                <w:szCs w:val="18"/>
              </w:rPr>
              <w:t>新加坡币</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37,406.87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5.0062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187,266.27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483"/>
        <w:gridCol w:w="2305"/>
        <w:gridCol w:w="2391"/>
        <w:gridCol w:w="2391"/>
      </w:tblGrid>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05" w:type="dxa"/>
            <w:tcBorders>
              <w:top w:val="single" w:sz="4" w:space="0" w:color="000000"/>
              <w:left w:val="single" w:sz="10"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13,234,426.02</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976,994.82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6,705,310.85</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2,562,844.57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2,245,564.41</w:t>
            </w:r>
          </w:p>
        </w:tc>
      </w:tr>
      <w:tr>
        <w:trPr>
          <w:trHeight w:val="480"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36,723.30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288,178.75</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563"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5"/>
                <w:sz w:val="18"/>
              </w:rPr>
              <w:t>5,057.35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8.6762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43,878.58</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563" w:right="0"/>
              <w:jc w:val="left"/>
              <w:rPr>
                <w:rFonts w:ascii="宋体" w:hAnsi="宋体" w:cs="宋体" w:eastAsia="宋体" w:hint="default"/>
                <w:sz w:val="18"/>
                <w:szCs w:val="18"/>
              </w:rPr>
            </w:pPr>
            <w:r>
              <w:rPr>
                <w:rFonts w:ascii="宋体" w:hAnsi="宋体" w:cs="宋体" w:eastAsia="宋体" w:hint="default"/>
                <w:sz w:val="18"/>
                <w:szCs w:val="18"/>
              </w:rPr>
              <w:t>新加坡币</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5"/>
                <w:sz w:val="18"/>
              </w:rPr>
              <w:t>4,283.12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5.0062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21,442.16</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563" w:right="0"/>
              <w:jc w:val="left"/>
              <w:rPr>
                <w:rFonts w:ascii="宋体" w:hAnsi="宋体" w:cs="宋体" w:eastAsia="宋体" w:hint="default"/>
                <w:sz w:val="18"/>
                <w:szCs w:val="18"/>
              </w:rPr>
            </w:pPr>
            <w:r>
              <w:rPr>
                <w:rFonts w:ascii="宋体" w:hAnsi="宋体" w:cs="宋体" w:eastAsia="宋体" w:hint="default"/>
                <w:sz w:val="18"/>
                <w:szCs w:val="18"/>
              </w:rPr>
              <w:t>越南盾</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2,857,943,254.00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0.0003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857,382.98</w:t>
            </w:r>
          </w:p>
        </w:tc>
      </w:tr>
      <w:tr>
        <w:trPr>
          <w:trHeight w:val="478"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8"/>
              <w:ind w:right="1008"/>
              <w:jc w:val="right"/>
              <w:rPr>
                <w:rFonts w:ascii="宋体" w:hAnsi="宋体" w:cs="宋体" w:eastAsia="宋体" w:hint="default"/>
                <w:sz w:val="18"/>
                <w:szCs w:val="18"/>
              </w:rPr>
            </w:pPr>
            <w:r>
              <w:rPr>
                <w:rFonts w:ascii="宋体" w:hAnsi="宋体" w:cs="宋体" w:eastAsia="宋体" w:hint="default"/>
                <w:sz w:val="18"/>
                <w:szCs w:val="18"/>
              </w:rPr>
              <w:t>土耳其里拉</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918,478.83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1.2962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1,190,532.26</w:t>
            </w:r>
          </w:p>
        </w:tc>
      </w:tr>
      <w:tr>
        <w:trPr>
          <w:trHeight w:val="480"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right="1008"/>
              <w:jc w:val="right"/>
              <w:rPr>
                <w:rFonts w:ascii="宋体" w:hAnsi="宋体" w:cs="宋体" w:eastAsia="宋体" w:hint="default"/>
                <w:sz w:val="18"/>
                <w:szCs w:val="18"/>
              </w:rPr>
            </w:pPr>
            <w:r>
              <w:rPr>
                <w:rFonts w:ascii="宋体" w:hAnsi="宋体" w:cs="宋体" w:eastAsia="宋体" w:hint="default"/>
                <w:sz w:val="18"/>
                <w:szCs w:val="18"/>
              </w:rPr>
              <w:t>墨西哥比索</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5,356,107.10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0.3514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1,882,136.03</w:t>
            </w:r>
          </w:p>
        </w:tc>
      </w:tr>
    </w:tbl>
    <w:p>
      <w:pPr>
        <w:pStyle w:val="Heading4"/>
        <w:spacing w:line="405" w:lineRule="auto" w:before="71"/>
        <w:ind w:right="1034"/>
        <w:jc w:val="left"/>
        <w:rPr>
          <w:b w:val="0"/>
          <w:bCs w:val="0"/>
        </w:rPr>
      </w:pPr>
      <w:r>
        <w:rPr>
          <w:w w:val="95"/>
        </w:rPr>
        <w:t>（</w:t>
      </w:r>
      <w:r>
        <w:rPr>
          <w:rFonts w:ascii="Times New Roman" w:hAnsi="Times New Roman" w:cs="Times New Roman" w:eastAsia="Times New Roman" w:hint="default"/>
          <w:w w:val="95"/>
        </w:rPr>
        <w:t>2</w:t>
      </w:r>
      <w:r>
        <w:rPr>
          <w:w w:val="95"/>
        </w:rPr>
        <w:t>）境外经营实体说明，包括对于重要的境外经营实体，应披露其境外主要经营地、记账本位币及选择依据，</w:t>
      </w:r>
      <w:r>
        <w:rPr>
          <w:spacing w:val="90"/>
          <w:w w:val="95"/>
        </w:rPr>
        <w:t> </w:t>
      </w:r>
      <w:r>
        <w:rPr>
          <w:spacing w:val="90"/>
          <w:w w:val="95"/>
        </w:rPr>
      </w:r>
      <w:r>
        <w:rPr/>
        <w:t>记账本位币发生变化的还应披露原因。</w:t>
      </w:r>
      <w:r>
        <w:rPr>
          <w:b w:val="0"/>
          <w:bCs w:val="0"/>
        </w:rPr>
      </w:r>
    </w:p>
    <w:p>
      <w:pPr>
        <w:pStyle w:val="Heading3"/>
        <w:spacing w:line="386" w:lineRule="auto" w:before="61"/>
        <w:ind w:left="152" w:right="0" w:firstLine="420"/>
        <w:jc w:val="left"/>
      </w:pPr>
      <w:r>
        <w:rPr>
          <w:spacing w:val="-2"/>
        </w:rPr>
        <w:t>本公司的重要境外经营实体是全资子公司</w:t>
      </w:r>
      <w:r>
        <w:rPr>
          <w:rFonts w:ascii="Times New Roman" w:hAnsi="Times New Roman" w:cs="Times New Roman" w:eastAsia="Times New Roman" w:hint="default"/>
          <w:spacing w:val="-2"/>
        </w:rPr>
        <w:t>GRG</w:t>
      </w:r>
      <w:r>
        <w:rPr>
          <w:rFonts w:ascii="Times New Roman" w:hAnsi="Times New Roman" w:cs="Times New Roman" w:eastAsia="Times New Roman" w:hint="default"/>
        </w:rPr>
        <w:t> </w:t>
      </w:r>
      <w:r>
        <w:rPr>
          <w:rFonts w:ascii="Times New Roman" w:hAnsi="Times New Roman" w:cs="Times New Roman" w:eastAsia="Times New Roman" w:hint="default"/>
          <w:spacing w:val="-1"/>
        </w:rPr>
        <w:t>Banking</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2"/>
        </w:rPr>
        <w:t>Equipment(HK)Co.Limited</w:t>
      </w:r>
      <w:r>
        <w:rPr>
          <w:spacing w:val="-2"/>
        </w:rPr>
        <w:t>，主要经营地是香港，</w:t>
      </w:r>
      <w:r>
        <w:rPr>
          <w:w w:val="100"/>
        </w:rPr>
        <w:t> </w:t>
      </w:r>
      <w:r>
        <w:rPr/>
        <w:t>记账本位币是港元。</w:t>
      </w:r>
    </w:p>
    <w:p>
      <w:pPr>
        <w:pStyle w:val="Heading4"/>
        <w:spacing w:line="240" w:lineRule="auto" w:before="72"/>
        <w:ind w:right="1034"/>
        <w:jc w:val="left"/>
        <w:rPr>
          <w:b w:val="0"/>
          <w:bCs w:val="0"/>
        </w:rPr>
      </w:pPr>
      <w:r>
        <w:rPr>
          <w:rFonts w:ascii="Times New Roman" w:hAnsi="Times New Roman" w:cs="Times New Roman" w:eastAsia="Times New Roman" w:hint="default"/>
        </w:rPr>
        <w:t>51</w:t>
      </w:r>
      <w:r>
        <w:rPr/>
        <w:t>、政府补助</w:t>
      </w:r>
      <w:r>
        <w:rPr>
          <w:b w:val="0"/>
          <w:bCs w:val="0"/>
        </w:rPr>
      </w:r>
    </w:p>
    <w:p>
      <w:pPr>
        <w:spacing w:line="240" w:lineRule="auto" w:before="8"/>
        <w:rPr>
          <w:rFonts w:ascii="宋体" w:hAnsi="宋体" w:cs="宋体" w:eastAsia="宋体" w:hint="default"/>
          <w:b/>
          <w:bCs/>
          <w:sz w:val="14"/>
          <w:szCs w:val="14"/>
        </w:rPr>
      </w:pPr>
    </w:p>
    <w:p>
      <w:pPr>
        <w:pStyle w:val="Heading4"/>
        <w:spacing w:line="240" w:lineRule="auto"/>
        <w:ind w:right="1034"/>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11"/>
        <w:rPr>
          <w:rFonts w:ascii="宋体" w:hAnsi="宋体" w:cs="宋体" w:eastAsia="宋体" w:hint="default"/>
          <w:b/>
          <w:bCs/>
          <w:sz w:val="15"/>
          <w:szCs w:val="15"/>
        </w:rPr>
      </w:pPr>
    </w:p>
    <w:p>
      <w:pPr>
        <w:pStyle w:val="BodyText"/>
        <w:spacing w:line="240" w:lineRule="auto"/>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2696"/>
        <w:gridCol w:w="2407"/>
        <w:gridCol w:w="2074"/>
        <w:gridCol w:w="2393"/>
      </w:tblGrid>
      <w:tr>
        <w:trPr>
          <w:trHeight w:val="478"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672"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10"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0"/>
              <w:jc w:val="left"/>
              <w:rPr>
                <w:rFonts w:ascii="宋体" w:hAnsi="宋体" w:cs="宋体" w:eastAsia="宋体" w:hint="default"/>
                <w:sz w:val="18"/>
                <w:szCs w:val="18"/>
              </w:rPr>
            </w:pPr>
            <w:r>
              <w:rPr>
                <w:rFonts w:ascii="宋体" w:hAnsi="宋体" w:cs="宋体" w:eastAsia="宋体" w:hint="default"/>
                <w:sz w:val="18"/>
                <w:szCs w:val="18"/>
              </w:rPr>
              <w:t>递延收益摊销转入科技三项费用</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39,423,275.23</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7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spacing w:val="-1"/>
                <w:sz w:val="18"/>
              </w:rPr>
              <w:t>39,423,275.23</w:t>
            </w:r>
          </w:p>
        </w:tc>
      </w:tr>
      <w:tr>
        <w:trPr>
          <w:trHeight w:val="408"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0"/>
              <w:jc w:val="left"/>
              <w:rPr>
                <w:rFonts w:ascii="宋体" w:hAnsi="宋体" w:cs="宋体" w:eastAsia="宋体" w:hint="default"/>
                <w:sz w:val="18"/>
                <w:szCs w:val="18"/>
              </w:rPr>
            </w:pPr>
            <w:r>
              <w:rPr>
                <w:rFonts w:ascii="宋体" w:hAnsi="宋体" w:cs="宋体" w:eastAsia="宋体" w:hint="default"/>
                <w:sz w:val="18"/>
                <w:szCs w:val="18"/>
              </w:rPr>
              <w:t>增值税退税收入</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54,269,518.89</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7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spacing w:val="-1"/>
                <w:sz w:val="18"/>
              </w:rPr>
              <w:t>54,269,518.89</w:t>
            </w:r>
          </w:p>
        </w:tc>
      </w:tr>
      <w:tr>
        <w:trPr>
          <w:trHeight w:val="410"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其他政府补助项目</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53,811,437.69</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7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4"/>
              <w:jc w:val="right"/>
              <w:rPr>
                <w:rFonts w:ascii="Times New Roman" w:hAnsi="Times New Roman" w:cs="Times New Roman" w:eastAsia="Times New Roman" w:hint="default"/>
                <w:sz w:val="18"/>
                <w:szCs w:val="18"/>
              </w:rPr>
            </w:pPr>
            <w:r>
              <w:rPr>
                <w:rFonts w:ascii="Times New Roman"/>
                <w:spacing w:val="-1"/>
                <w:sz w:val="18"/>
              </w:rPr>
              <w:t>53,811,437.69</w:t>
            </w:r>
          </w:p>
        </w:tc>
      </w:tr>
      <w:tr>
        <w:trPr>
          <w:trHeight w:val="410"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147,504,231.81</w:t>
            </w:r>
          </w:p>
        </w:tc>
        <w:tc>
          <w:tcPr>
            <w:tcW w:w="2074"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147,504,231.81</w:t>
            </w:r>
          </w:p>
        </w:tc>
      </w:tr>
    </w:tbl>
    <w:p>
      <w:pPr>
        <w:pStyle w:val="Heading4"/>
        <w:spacing w:line="240" w:lineRule="auto" w:before="72"/>
        <w:ind w:right="1034"/>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pStyle w:val="BodyText"/>
        <w:spacing w:line="240" w:lineRule="auto" w:before="169"/>
        <w:ind w:left="0" w:right="7014"/>
        <w:jc w:val="center"/>
      </w:pPr>
      <w:r>
        <w:rPr/>
        <w:t>本公司不存在政府补助退回情况。</w:t>
      </w:r>
    </w:p>
    <w:p>
      <w:pPr>
        <w:pStyle w:val="Heading2"/>
        <w:spacing w:line="240" w:lineRule="auto" w:before="148"/>
        <w:ind w:right="1034"/>
        <w:jc w:val="left"/>
        <w:rPr>
          <w:b w:val="0"/>
          <w:bCs w:val="0"/>
        </w:rPr>
      </w:pPr>
      <w:r>
        <w:rPr/>
        <w:t>八、合并范围的变更</w:t>
      </w:r>
      <w:r>
        <w:rPr>
          <w:b w:val="0"/>
          <w:bCs w:val="0"/>
        </w:rPr>
      </w:r>
    </w:p>
    <w:p>
      <w:pPr>
        <w:pStyle w:val="Heading4"/>
        <w:spacing w:line="240" w:lineRule="auto" w:before="186"/>
        <w:ind w:right="1034"/>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14"/>
          <w:szCs w:val="14"/>
        </w:rPr>
      </w:pPr>
    </w:p>
    <w:p>
      <w:pPr>
        <w:pStyle w:val="Heading4"/>
        <w:spacing w:line="240" w:lineRule="auto"/>
        <w:ind w:right="1034"/>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pStyle w:val="BodyText"/>
        <w:spacing w:line="240" w:lineRule="auto" w:before="128"/>
        <w:ind w:left="0" w:right="1131"/>
        <w:jc w:val="right"/>
      </w:pPr>
      <w:r>
        <w:rPr/>
        <w:t>单位：</w:t>
      </w:r>
      <w:r>
        <w:rPr>
          <w:spacing w:val="1"/>
        </w:rPr>
        <w:t> </w:t>
      </w:r>
      <w:r>
        <w:rPr/>
        <w:t>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702"/>
        <w:gridCol w:w="1275"/>
        <w:gridCol w:w="1135"/>
        <w:gridCol w:w="708"/>
        <w:gridCol w:w="711"/>
        <w:gridCol w:w="850"/>
        <w:gridCol w:w="852"/>
        <w:gridCol w:w="1277"/>
        <w:gridCol w:w="1061"/>
      </w:tblGrid>
      <w:tr>
        <w:trPr>
          <w:trHeight w:val="946"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股权取得时点</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475" w:right="108"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股权取 得比例</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79" w:right="81"/>
              <w:jc w:val="left"/>
              <w:rPr>
                <w:rFonts w:ascii="宋体" w:hAnsi="宋体" w:cs="宋体" w:eastAsia="宋体" w:hint="default"/>
                <w:sz w:val="18"/>
                <w:szCs w:val="18"/>
              </w:rPr>
            </w:pPr>
            <w:r>
              <w:rPr>
                <w:rFonts w:ascii="宋体" w:hAnsi="宋体" w:cs="宋体" w:eastAsia="宋体" w:hint="default"/>
                <w:sz w:val="18"/>
                <w:szCs w:val="18"/>
              </w:rPr>
              <w:t>股权取 得方式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59" w:right="60"/>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92"/>
              <w:jc w:val="center"/>
              <w:rPr>
                <w:rFonts w:ascii="宋体" w:hAnsi="宋体" w:cs="宋体" w:eastAsia="宋体" w:hint="default"/>
                <w:sz w:val="18"/>
                <w:szCs w:val="18"/>
              </w:rPr>
            </w:pPr>
            <w:r>
              <w:rPr>
                <w:rFonts w:ascii="宋体" w:hAnsi="宋体" w:cs="宋体" w:eastAsia="宋体" w:hint="default"/>
                <w:sz w:val="18"/>
                <w:szCs w:val="18"/>
              </w:rPr>
              <w:t>购买日至期末 被购买方的收 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63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6"/>
              <w:jc w:val="left"/>
              <w:rPr>
                <w:rFonts w:ascii="宋体" w:hAnsi="宋体" w:cs="宋体" w:eastAsia="宋体" w:hint="default"/>
                <w:sz w:val="18"/>
                <w:szCs w:val="18"/>
              </w:rPr>
            </w:pPr>
            <w:r>
              <w:rPr>
                <w:rFonts w:ascii="宋体" w:hAnsi="宋体" w:cs="宋体" w:eastAsia="宋体" w:hint="default"/>
                <w:sz w:val="18"/>
                <w:szCs w:val="18"/>
              </w:rPr>
              <w:t>北京中科江南信息技 术股份有限公司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312,800,000.0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46.00%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35"/>
              <w:jc w:val="left"/>
              <w:rPr>
                <w:rFonts w:ascii="宋体" w:hAnsi="宋体" w:cs="宋体" w:eastAsia="宋体" w:hint="default"/>
                <w:sz w:val="18"/>
                <w:szCs w:val="18"/>
              </w:rPr>
            </w:pPr>
            <w:r>
              <w:rPr>
                <w:rFonts w:ascii="宋体" w:hAnsi="宋体" w:cs="宋体" w:eastAsia="宋体" w:hint="default"/>
                <w:sz w:val="18"/>
                <w:szCs w:val="18"/>
              </w:rPr>
              <w:t>现金支 付</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6"/>
              <w:jc w:val="left"/>
              <w:rPr>
                <w:rFonts w:ascii="宋体" w:hAnsi="宋体" w:cs="宋体" w:eastAsia="宋体" w:hint="default"/>
                <w:sz w:val="18"/>
                <w:szCs w:val="18"/>
              </w:rPr>
            </w:pPr>
            <w:r>
              <w:rPr>
                <w:rFonts w:ascii="宋体" w:hAnsi="宋体" w:cs="宋体" w:eastAsia="宋体" w:hint="default"/>
                <w:sz w:val="18"/>
                <w:szCs w:val="18"/>
              </w:rPr>
              <w:t>股权变更 登记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241,504,289.13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56,603,796.0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702"/>
        <w:gridCol w:w="1275"/>
        <w:gridCol w:w="1135"/>
        <w:gridCol w:w="708"/>
        <w:gridCol w:w="711"/>
        <w:gridCol w:w="850"/>
        <w:gridCol w:w="852"/>
        <w:gridCol w:w="1277"/>
        <w:gridCol w:w="1061"/>
      </w:tblGrid>
      <w:tr>
        <w:trPr>
          <w:trHeight w:val="63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6"/>
              <w:jc w:val="left"/>
              <w:rPr>
                <w:rFonts w:ascii="宋体" w:hAnsi="宋体" w:cs="宋体" w:eastAsia="宋体" w:hint="default"/>
                <w:sz w:val="18"/>
                <w:szCs w:val="18"/>
              </w:rPr>
            </w:pPr>
            <w:r>
              <w:rPr>
                <w:rFonts w:ascii="宋体" w:hAnsi="宋体" w:cs="宋体" w:eastAsia="宋体" w:hint="default"/>
                <w:sz w:val="18"/>
                <w:szCs w:val="18"/>
              </w:rPr>
              <w:t>深圳市信义科技有限 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327,250,000.0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85.00%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35"/>
              <w:jc w:val="left"/>
              <w:rPr>
                <w:rFonts w:ascii="宋体" w:hAnsi="宋体" w:cs="宋体" w:eastAsia="宋体" w:hint="default"/>
                <w:sz w:val="18"/>
                <w:szCs w:val="18"/>
              </w:rPr>
            </w:pPr>
            <w:r>
              <w:rPr>
                <w:rFonts w:ascii="宋体" w:hAnsi="宋体" w:cs="宋体" w:eastAsia="宋体" w:hint="default"/>
                <w:sz w:val="18"/>
                <w:szCs w:val="18"/>
              </w:rPr>
              <w:t>现金支 付</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6"/>
              <w:jc w:val="left"/>
              <w:rPr>
                <w:rFonts w:ascii="宋体" w:hAnsi="宋体" w:cs="宋体" w:eastAsia="宋体" w:hint="default"/>
                <w:sz w:val="18"/>
                <w:szCs w:val="18"/>
              </w:rPr>
            </w:pPr>
            <w:r>
              <w:rPr>
                <w:rFonts w:ascii="宋体" w:hAnsi="宋体" w:cs="宋体" w:eastAsia="宋体" w:hint="default"/>
                <w:sz w:val="18"/>
                <w:szCs w:val="18"/>
              </w:rPr>
              <w:t>股权变更 登记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466,633,695.03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53,316,637.3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63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6"/>
              <w:jc w:val="left"/>
              <w:rPr>
                <w:rFonts w:ascii="宋体" w:hAnsi="宋体" w:cs="宋体" w:eastAsia="宋体" w:hint="default"/>
                <w:sz w:val="18"/>
                <w:szCs w:val="18"/>
              </w:rPr>
            </w:pPr>
            <w:r>
              <w:rPr>
                <w:rFonts w:ascii="宋体" w:hAnsi="宋体" w:cs="宋体" w:eastAsia="宋体" w:hint="default"/>
                <w:sz w:val="18"/>
                <w:szCs w:val="18"/>
              </w:rPr>
              <w:t>锡林郭勒盟金盾保安 服务有限公司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27,295,600.00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100.00%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35"/>
              <w:jc w:val="left"/>
              <w:rPr>
                <w:rFonts w:ascii="宋体" w:hAnsi="宋体" w:cs="宋体" w:eastAsia="宋体" w:hint="default"/>
                <w:sz w:val="18"/>
                <w:szCs w:val="18"/>
              </w:rPr>
            </w:pPr>
            <w:r>
              <w:rPr>
                <w:rFonts w:ascii="宋体" w:hAnsi="宋体" w:cs="宋体" w:eastAsia="宋体" w:hint="default"/>
                <w:sz w:val="18"/>
                <w:szCs w:val="18"/>
              </w:rPr>
              <w:t>现金支 付</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6"/>
              <w:jc w:val="left"/>
              <w:rPr>
                <w:rFonts w:ascii="宋体" w:hAnsi="宋体" w:cs="宋体" w:eastAsia="宋体" w:hint="default"/>
                <w:sz w:val="18"/>
                <w:szCs w:val="18"/>
              </w:rPr>
            </w:pPr>
            <w:r>
              <w:rPr>
                <w:rFonts w:ascii="宋体" w:hAnsi="宋体" w:cs="宋体" w:eastAsia="宋体" w:hint="default"/>
                <w:sz w:val="18"/>
                <w:szCs w:val="18"/>
              </w:rPr>
              <w:t>股权变更 登记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8" w:right="0"/>
              <w:jc w:val="center"/>
              <w:rPr>
                <w:rFonts w:ascii="Times New Roman" w:hAnsi="Times New Roman" w:cs="Times New Roman" w:eastAsia="Times New Roman" w:hint="default"/>
                <w:sz w:val="18"/>
                <w:szCs w:val="18"/>
              </w:rPr>
            </w:pPr>
            <w:r>
              <w:rPr>
                <w:rFonts w:ascii="Times New Roman"/>
                <w:sz w:val="18"/>
              </w:rPr>
              <w:t>29,232,690.77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-763,494.88</w:t>
            </w:r>
          </w:p>
        </w:tc>
      </w:tr>
      <w:tr>
        <w:trPr>
          <w:trHeight w:val="63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6"/>
              <w:jc w:val="left"/>
              <w:rPr>
                <w:rFonts w:ascii="宋体" w:hAnsi="宋体" w:cs="宋体" w:eastAsia="宋体" w:hint="default"/>
                <w:sz w:val="18"/>
                <w:szCs w:val="18"/>
              </w:rPr>
            </w:pPr>
            <w:r>
              <w:rPr>
                <w:rFonts w:ascii="宋体" w:hAnsi="宋体" w:cs="宋体" w:eastAsia="宋体" w:hint="default"/>
                <w:sz w:val="18"/>
                <w:szCs w:val="18"/>
              </w:rPr>
              <w:t>湖北融信押运保安服 务有限公司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30,700,000.00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51.00%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35"/>
              <w:jc w:val="left"/>
              <w:rPr>
                <w:rFonts w:ascii="宋体" w:hAnsi="宋体" w:cs="宋体" w:eastAsia="宋体" w:hint="default"/>
                <w:sz w:val="18"/>
                <w:szCs w:val="18"/>
              </w:rPr>
            </w:pPr>
            <w:r>
              <w:rPr>
                <w:rFonts w:ascii="宋体" w:hAnsi="宋体" w:cs="宋体" w:eastAsia="宋体" w:hint="default"/>
                <w:sz w:val="18"/>
                <w:szCs w:val="18"/>
              </w:rPr>
              <w:t>现金支 付</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6"/>
              <w:jc w:val="left"/>
              <w:rPr>
                <w:rFonts w:ascii="宋体" w:hAnsi="宋体" w:cs="宋体" w:eastAsia="宋体" w:hint="default"/>
                <w:sz w:val="18"/>
                <w:szCs w:val="18"/>
              </w:rPr>
            </w:pPr>
            <w:r>
              <w:rPr>
                <w:rFonts w:ascii="宋体" w:hAnsi="宋体" w:cs="宋体" w:eastAsia="宋体" w:hint="default"/>
                <w:sz w:val="18"/>
                <w:szCs w:val="18"/>
              </w:rPr>
              <w:t>股权变更 登记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8" w:right="0"/>
              <w:jc w:val="center"/>
              <w:rPr>
                <w:rFonts w:ascii="Times New Roman" w:hAnsi="Times New Roman" w:cs="Times New Roman" w:eastAsia="Times New Roman" w:hint="default"/>
                <w:sz w:val="18"/>
                <w:szCs w:val="18"/>
              </w:rPr>
            </w:pPr>
            <w:r>
              <w:rPr>
                <w:rFonts w:ascii="Times New Roman"/>
                <w:sz w:val="18"/>
              </w:rPr>
              <w:t>28,310,526.92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-3,844,104.73</w:t>
            </w:r>
          </w:p>
        </w:tc>
      </w:tr>
    </w:tbl>
    <w:p>
      <w:pPr>
        <w:pStyle w:val="Heading4"/>
        <w:spacing w:line="240" w:lineRule="auto" w:before="71"/>
        <w:ind w:right="1034"/>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pStyle w:val="BodyText"/>
        <w:spacing w:line="240" w:lineRule="auto" w:before="128"/>
        <w:ind w:left="0" w:right="1131"/>
        <w:jc w:val="right"/>
      </w:pPr>
      <w:r>
        <w:rPr/>
        <w:t>单位：</w:t>
      </w:r>
      <w:r>
        <w:rPr>
          <w:spacing w:val="1"/>
        </w:rPr>
        <w:t> </w:t>
      </w:r>
      <w:r>
        <w:rPr/>
        <w:t>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634"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412" w:right="50" w:hanging="360"/>
              <w:jc w:val="left"/>
              <w:rPr>
                <w:rFonts w:ascii="宋体" w:hAnsi="宋体" w:cs="宋体" w:eastAsia="宋体" w:hint="default"/>
                <w:sz w:val="18"/>
                <w:szCs w:val="18"/>
              </w:rPr>
            </w:pPr>
            <w:r>
              <w:rPr>
                <w:rFonts w:ascii="宋体" w:hAnsi="宋体" w:cs="宋体" w:eastAsia="宋体" w:hint="default"/>
                <w:sz w:val="18"/>
                <w:szCs w:val="18"/>
              </w:rPr>
              <w:t>北京中科江南信息技术 股份有限公司</w:t>
            </w:r>
          </w:p>
        </w:tc>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861" w:right="51" w:hanging="809"/>
              <w:jc w:val="left"/>
              <w:rPr>
                <w:rFonts w:ascii="宋体" w:hAnsi="宋体" w:cs="宋体" w:eastAsia="宋体" w:hint="default"/>
                <w:sz w:val="18"/>
                <w:szCs w:val="18"/>
              </w:rPr>
            </w:pPr>
            <w:r>
              <w:rPr>
                <w:rFonts w:ascii="宋体" w:hAnsi="宋体" w:cs="宋体" w:eastAsia="宋体" w:hint="default"/>
                <w:sz w:val="18"/>
                <w:szCs w:val="18"/>
              </w:rPr>
              <w:t>深圳市信义科技有限公 司</w:t>
            </w:r>
          </w:p>
        </w:tc>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501" w:right="48" w:hanging="449"/>
              <w:jc w:val="left"/>
              <w:rPr>
                <w:rFonts w:ascii="宋体" w:hAnsi="宋体" w:cs="宋体" w:eastAsia="宋体" w:hint="default"/>
                <w:sz w:val="18"/>
                <w:szCs w:val="18"/>
              </w:rPr>
            </w:pPr>
            <w:r>
              <w:rPr>
                <w:rFonts w:ascii="宋体" w:hAnsi="宋体" w:cs="宋体" w:eastAsia="宋体" w:hint="default"/>
                <w:sz w:val="18"/>
                <w:szCs w:val="18"/>
              </w:rPr>
              <w:t>锡林郭勒盟金盾保安服 务有限公司</w:t>
            </w:r>
          </w:p>
        </w:tc>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593" w:right="51" w:hanging="541"/>
              <w:jc w:val="left"/>
              <w:rPr>
                <w:rFonts w:ascii="宋体" w:hAnsi="宋体" w:cs="宋体" w:eastAsia="宋体" w:hint="default"/>
                <w:sz w:val="18"/>
                <w:szCs w:val="18"/>
              </w:rPr>
            </w:pPr>
            <w:r>
              <w:rPr>
                <w:rFonts w:ascii="宋体" w:hAnsi="宋体" w:cs="宋体" w:eastAsia="宋体" w:hint="default"/>
                <w:sz w:val="18"/>
                <w:szCs w:val="18"/>
              </w:rPr>
              <w:t>湖北融信押运保安服务 有限公司</w:t>
            </w:r>
          </w:p>
        </w:tc>
      </w:tr>
      <w:tr>
        <w:trPr>
          <w:trHeight w:val="32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312,800,000.00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327,250,000.00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27,295,600.00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30,700,000.00</w:t>
            </w:r>
          </w:p>
        </w:tc>
      </w:tr>
      <w:tr>
        <w:trPr>
          <w:trHeight w:val="63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13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w:t>
            </w:r>
            <w:r>
              <w:rPr>
                <w:rFonts w:ascii="宋体" w:hAnsi="宋体" w:cs="宋体" w:eastAsia="宋体" w:hint="default"/>
                <w:w w:val="99"/>
                <w:sz w:val="18"/>
                <w:szCs w:val="18"/>
              </w:rPr>
              <w:t> </w:t>
            </w:r>
            <w:r>
              <w:rPr>
                <w:rFonts w:ascii="宋体" w:hAnsi="宋体" w:cs="宋体" w:eastAsia="宋体" w:hint="default"/>
                <w:sz w:val="18"/>
                <w:szCs w:val="18"/>
              </w:rPr>
              <w:t>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13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发行或承担的债务的</w:t>
            </w:r>
            <w:r>
              <w:rPr>
                <w:rFonts w:ascii="宋体" w:hAnsi="宋体" w:cs="宋体" w:eastAsia="宋体" w:hint="default"/>
                <w:w w:val="99"/>
                <w:sz w:val="18"/>
                <w:szCs w:val="18"/>
              </w:rPr>
              <w:t> </w:t>
            </w: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13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w:t>
            </w:r>
            <w:r>
              <w:rPr>
                <w:rFonts w:ascii="宋体" w:hAnsi="宋体" w:cs="宋体" w:eastAsia="宋体" w:hint="default"/>
                <w:w w:val="99"/>
                <w:sz w:val="18"/>
                <w:szCs w:val="18"/>
              </w:rPr>
              <w:t> </w:t>
            </w: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或有对价的公允价值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w:t>
            </w:r>
            <w:r>
              <w:rPr>
                <w:rFonts w:ascii="宋体" w:hAnsi="宋体" w:cs="宋体" w:eastAsia="宋体" w:hint="default"/>
                <w:w w:val="99"/>
                <w:sz w:val="18"/>
                <w:szCs w:val="18"/>
              </w:rPr>
              <w:t> </w:t>
            </w:r>
            <w:r>
              <w:rPr>
                <w:rFonts w:ascii="宋体" w:hAnsi="宋体" w:cs="宋体" w:eastAsia="宋体" w:hint="default"/>
                <w:sz w:val="18"/>
                <w:szCs w:val="18"/>
              </w:rPr>
              <w:t>权于购买日的公允价值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29,496,078.44</w:t>
            </w:r>
          </w:p>
        </w:tc>
      </w:tr>
      <w:tr>
        <w:trPr>
          <w:trHeight w:val="53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312,800,000.00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2"/>
              <w:jc w:val="right"/>
              <w:rPr>
                <w:rFonts w:ascii="Times New Roman" w:hAnsi="Times New Roman" w:cs="Times New Roman" w:eastAsia="Times New Roman" w:hint="default"/>
                <w:sz w:val="18"/>
                <w:szCs w:val="18"/>
              </w:rPr>
            </w:pPr>
            <w:r>
              <w:rPr>
                <w:rFonts w:ascii="Times New Roman"/>
                <w:spacing w:val="-1"/>
                <w:sz w:val="18"/>
              </w:rPr>
              <w:t>327,250,000.00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27,295,600.00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2"/>
              <w:jc w:val="right"/>
              <w:rPr>
                <w:rFonts w:ascii="Times New Roman" w:hAnsi="Times New Roman" w:cs="Times New Roman" w:eastAsia="Times New Roman" w:hint="default"/>
                <w:sz w:val="18"/>
                <w:szCs w:val="18"/>
              </w:rPr>
            </w:pPr>
            <w:r>
              <w:rPr>
                <w:rFonts w:ascii="Times New Roman"/>
                <w:spacing w:val="-1"/>
                <w:sz w:val="18"/>
              </w:rPr>
              <w:t>60,196,078.44</w:t>
            </w:r>
          </w:p>
        </w:tc>
      </w:tr>
      <w:tr>
        <w:trPr>
          <w:trHeight w:val="63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81"/>
              <w:jc w:val="left"/>
              <w:rPr>
                <w:rFonts w:ascii="宋体" w:hAnsi="宋体" w:cs="宋体" w:eastAsia="宋体" w:hint="default"/>
                <w:sz w:val="18"/>
                <w:szCs w:val="18"/>
              </w:rPr>
            </w:pPr>
            <w:r>
              <w:rPr>
                <w:rFonts w:ascii="宋体" w:hAnsi="宋体" w:cs="宋体" w:eastAsia="宋体" w:hint="default"/>
                <w:sz w:val="18"/>
                <w:szCs w:val="18"/>
              </w:rPr>
              <w:t>减：取得的可辨认净资 产公允价值份额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90,444,086.02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69,111,933.51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25,336,388.23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11,859,728.95</w:t>
            </w:r>
          </w:p>
        </w:tc>
      </w:tr>
      <w:tr>
        <w:trPr>
          <w:trHeight w:val="94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22" w:right="29"/>
              <w:jc w:val="both"/>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 的可辨认净资产公允价 值份额的金额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222,355,913.98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258,138,066.49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1,959,211.77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48,336,349.49</w:t>
            </w:r>
          </w:p>
        </w:tc>
      </w:tr>
    </w:tbl>
    <w:p>
      <w:pPr>
        <w:pStyle w:val="Heading4"/>
        <w:spacing w:line="240" w:lineRule="auto" w:before="71"/>
        <w:ind w:right="1034"/>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pStyle w:val="BodyText"/>
        <w:spacing w:line="240" w:lineRule="auto" w:before="128"/>
        <w:ind w:left="0" w:right="1131"/>
        <w:jc w:val="right"/>
      </w:pPr>
      <w:r>
        <w:rPr/>
        <w:t>单位：</w:t>
      </w:r>
      <w:r>
        <w:rPr>
          <w:spacing w:val="1"/>
        </w:rPr>
        <w:t> </w:t>
      </w:r>
      <w:r>
        <w:rPr/>
        <w:t>元</w:t>
      </w:r>
    </w:p>
    <w:p>
      <w:pPr>
        <w:spacing w:line="240" w:lineRule="auto" w:before="4"/>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4"/>
        <w:gridCol w:w="1063"/>
      </w:tblGrid>
      <w:tr>
        <w:trPr>
          <w:trHeight w:val="635"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9"/>
              <w:ind w:left="609" w:right="65" w:hanging="540"/>
              <w:jc w:val="left"/>
              <w:rPr>
                <w:rFonts w:ascii="宋体" w:hAnsi="宋体" w:cs="宋体" w:eastAsia="宋体" w:hint="default"/>
                <w:sz w:val="18"/>
                <w:szCs w:val="18"/>
              </w:rPr>
            </w:pPr>
            <w:r>
              <w:rPr>
                <w:rFonts w:ascii="宋体" w:hAnsi="宋体" w:cs="宋体" w:eastAsia="宋体" w:hint="default"/>
                <w:sz w:val="18"/>
                <w:szCs w:val="18"/>
              </w:rPr>
              <w:t>北京中科江南信息技术股 份有限公司</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深圳市信义科技有限公司</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9"/>
              <w:ind w:left="698" w:right="62" w:hanging="629"/>
              <w:jc w:val="left"/>
              <w:rPr>
                <w:rFonts w:ascii="宋体" w:hAnsi="宋体" w:cs="宋体" w:eastAsia="宋体" w:hint="default"/>
                <w:sz w:val="18"/>
                <w:szCs w:val="18"/>
              </w:rPr>
            </w:pPr>
            <w:r>
              <w:rPr>
                <w:rFonts w:ascii="宋体" w:hAnsi="宋体" w:cs="宋体" w:eastAsia="宋体" w:hint="default"/>
                <w:sz w:val="18"/>
                <w:szCs w:val="18"/>
              </w:rPr>
              <w:t>锡林郭勒盟金盾保安服务 有限公司</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9"/>
              <w:ind w:left="792" w:right="63" w:hanging="721"/>
              <w:jc w:val="left"/>
              <w:rPr>
                <w:rFonts w:ascii="宋体" w:hAnsi="宋体" w:cs="宋体" w:eastAsia="宋体" w:hint="default"/>
                <w:sz w:val="18"/>
                <w:szCs w:val="18"/>
              </w:rPr>
            </w:pPr>
            <w:r>
              <w:rPr>
                <w:rFonts w:ascii="宋体" w:hAnsi="宋体" w:cs="宋体" w:eastAsia="宋体" w:hint="default"/>
                <w:sz w:val="18"/>
                <w:szCs w:val="18"/>
              </w:rPr>
              <w:t>湖北融信押运保安服务有 限公司</w:t>
            </w:r>
          </w:p>
        </w:tc>
      </w:tr>
      <w:tr>
        <w:trPr>
          <w:trHeight w:val="634"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47" w:right="74" w:hanging="272"/>
              <w:jc w:val="left"/>
              <w:rPr>
                <w:rFonts w:ascii="宋体" w:hAnsi="宋体" w:cs="宋体" w:eastAsia="宋体" w:hint="default"/>
                <w:sz w:val="18"/>
                <w:szCs w:val="18"/>
              </w:rPr>
            </w:pPr>
            <w:r>
              <w:rPr>
                <w:rFonts w:ascii="宋体" w:hAnsi="宋体" w:cs="宋体" w:eastAsia="宋体" w:hint="default"/>
                <w:sz w:val="18"/>
                <w:szCs w:val="18"/>
              </w:rPr>
              <w:t>购买日公允 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47" w:right="75" w:hanging="272"/>
              <w:jc w:val="left"/>
              <w:rPr>
                <w:rFonts w:ascii="宋体" w:hAnsi="宋体" w:cs="宋体" w:eastAsia="宋体" w:hint="default"/>
                <w:sz w:val="18"/>
                <w:szCs w:val="18"/>
              </w:rPr>
            </w:pPr>
            <w:r>
              <w:rPr>
                <w:rFonts w:ascii="宋体" w:hAnsi="宋体" w:cs="宋体" w:eastAsia="宋体" w:hint="default"/>
                <w:sz w:val="18"/>
                <w:szCs w:val="18"/>
              </w:rPr>
              <w:t>购买日账面 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47" w:right="74" w:hanging="272"/>
              <w:jc w:val="left"/>
              <w:rPr>
                <w:rFonts w:ascii="宋体" w:hAnsi="宋体" w:cs="宋体" w:eastAsia="宋体" w:hint="default"/>
                <w:sz w:val="18"/>
                <w:szCs w:val="18"/>
              </w:rPr>
            </w:pPr>
            <w:r>
              <w:rPr>
                <w:rFonts w:ascii="宋体" w:hAnsi="宋体" w:cs="宋体" w:eastAsia="宋体" w:hint="default"/>
                <w:sz w:val="18"/>
                <w:szCs w:val="18"/>
              </w:rPr>
              <w:t>购买日公允 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48" w:right="75" w:hanging="272"/>
              <w:jc w:val="left"/>
              <w:rPr>
                <w:rFonts w:ascii="宋体" w:hAnsi="宋体" w:cs="宋体" w:eastAsia="宋体" w:hint="default"/>
                <w:sz w:val="18"/>
                <w:szCs w:val="18"/>
              </w:rPr>
            </w:pPr>
            <w:r>
              <w:rPr>
                <w:rFonts w:ascii="宋体" w:hAnsi="宋体" w:cs="宋体" w:eastAsia="宋体" w:hint="default"/>
                <w:sz w:val="18"/>
                <w:szCs w:val="18"/>
              </w:rPr>
              <w:t>购买日账面 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47" w:right="74" w:hanging="272"/>
              <w:jc w:val="left"/>
              <w:rPr>
                <w:rFonts w:ascii="宋体" w:hAnsi="宋体" w:cs="宋体" w:eastAsia="宋体" w:hint="default"/>
                <w:sz w:val="18"/>
                <w:szCs w:val="18"/>
              </w:rPr>
            </w:pPr>
            <w:r>
              <w:rPr>
                <w:rFonts w:ascii="宋体" w:hAnsi="宋体" w:cs="宋体" w:eastAsia="宋体" w:hint="default"/>
                <w:sz w:val="18"/>
                <w:szCs w:val="18"/>
              </w:rPr>
              <w:t>购买日公允 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47" w:right="72" w:hanging="272"/>
              <w:jc w:val="left"/>
              <w:rPr>
                <w:rFonts w:ascii="宋体" w:hAnsi="宋体" w:cs="宋体" w:eastAsia="宋体" w:hint="default"/>
                <w:sz w:val="18"/>
                <w:szCs w:val="18"/>
              </w:rPr>
            </w:pPr>
            <w:r>
              <w:rPr>
                <w:rFonts w:ascii="宋体" w:hAnsi="宋体" w:cs="宋体" w:eastAsia="宋体" w:hint="default"/>
                <w:sz w:val="18"/>
                <w:szCs w:val="18"/>
              </w:rPr>
              <w:t>购买日账面 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51" w:right="74" w:hanging="272"/>
              <w:jc w:val="left"/>
              <w:rPr>
                <w:rFonts w:ascii="宋体" w:hAnsi="宋体" w:cs="宋体" w:eastAsia="宋体" w:hint="default"/>
                <w:sz w:val="18"/>
                <w:szCs w:val="18"/>
              </w:rPr>
            </w:pPr>
            <w:r>
              <w:rPr>
                <w:rFonts w:ascii="宋体" w:hAnsi="宋体" w:cs="宋体" w:eastAsia="宋体" w:hint="default"/>
                <w:sz w:val="18"/>
                <w:szCs w:val="18"/>
              </w:rPr>
              <w:t>购买日公允 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47" w:right="74" w:hanging="272"/>
              <w:jc w:val="left"/>
              <w:rPr>
                <w:rFonts w:ascii="宋体" w:hAnsi="宋体" w:cs="宋体" w:eastAsia="宋体" w:hint="default"/>
                <w:sz w:val="18"/>
                <w:szCs w:val="18"/>
              </w:rPr>
            </w:pPr>
            <w:r>
              <w:rPr>
                <w:rFonts w:ascii="宋体" w:hAnsi="宋体" w:cs="宋体" w:eastAsia="宋体" w:hint="default"/>
                <w:sz w:val="18"/>
                <w:szCs w:val="18"/>
              </w:rPr>
              <w:t>购买日账面 价值</w:t>
            </w:r>
          </w:p>
        </w:tc>
      </w:tr>
      <w:tr>
        <w:trPr>
          <w:trHeight w:val="634"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327,834,620.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328,245,744.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347,201,462.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347,582,801.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46,180,099.0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66,226,180.3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25,095,934.3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25,476,346.9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634"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121,269,963.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121,269,963.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67,176,207.0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67,176,207.0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3,543,176.15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3,543,176.15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302,114.99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302,114.99</w:t>
            </w:r>
          </w:p>
        </w:tc>
      </w:tr>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151,558,145.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151,558,145.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258,730,539.</w:t>
            </w:r>
          </w:p>
          <w:p>
            <w:pPr>
              <w:pStyle w:val="TableParagraph"/>
              <w:spacing w:line="240" w:lineRule="auto" w:before="83"/>
              <w:ind w:right="17"/>
              <w:jc w:val="right"/>
              <w:rPr>
                <w:rFonts w:ascii="Times New Roman" w:hAnsi="Times New Roman" w:cs="Times New Roman" w:eastAsia="Times New Roman" w:hint="default"/>
                <w:sz w:val="18"/>
                <w:szCs w:val="18"/>
              </w:rPr>
            </w:pPr>
            <w:r>
              <w:rPr>
                <w:rFonts w:ascii="Times New Roman"/>
                <w:sz w:val="18"/>
              </w:rPr>
              <w:t>61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258,730,539.</w:t>
            </w:r>
          </w:p>
          <w:p>
            <w:pPr>
              <w:pStyle w:val="TableParagraph"/>
              <w:spacing w:line="240" w:lineRule="auto" w:before="83"/>
              <w:ind w:right="17"/>
              <w:jc w:val="right"/>
              <w:rPr>
                <w:rFonts w:ascii="Times New Roman" w:hAnsi="Times New Roman" w:cs="Times New Roman" w:eastAsia="Times New Roman" w:hint="default"/>
                <w:sz w:val="18"/>
                <w:szCs w:val="18"/>
              </w:rPr>
            </w:pPr>
            <w:r>
              <w:rPr>
                <w:rFonts w:ascii="Times New Roman"/>
                <w:sz w:val="18"/>
              </w:rPr>
              <w:t>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5,331,571.49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5,331,571.49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6,739,406.99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6,739,406.99</w:t>
            </w:r>
          </w:p>
        </w:tc>
      </w:tr>
      <w:tr>
        <w:trPr>
          <w:trHeight w:val="322"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6" w:right="0"/>
              <w:jc w:val="left"/>
              <w:rPr>
                <w:rFonts w:ascii="Times New Roman" w:hAnsi="Times New Roman" w:cs="Times New Roman" w:eastAsia="Times New Roman" w:hint="default"/>
                <w:sz w:val="18"/>
                <w:szCs w:val="18"/>
              </w:rPr>
            </w:pPr>
            <w:r>
              <w:rPr>
                <w:rFonts w:ascii="Times New Roman"/>
                <w:sz w:val="18"/>
              </w:rPr>
              <w:t>24,375,340.1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6" w:right="0"/>
              <w:jc w:val="left"/>
              <w:rPr>
                <w:rFonts w:ascii="Times New Roman" w:hAnsi="Times New Roman" w:cs="Times New Roman" w:eastAsia="Times New Roman" w:hint="default"/>
                <w:sz w:val="18"/>
                <w:szCs w:val="18"/>
              </w:rPr>
            </w:pPr>
            <w:r>
              <w:rPr>
                <w:rFonts w:ascii="Times New Roman"/>
                <w:sz w:val="18"/>
              </w:rPr>
              <w:t>24,375,340.1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6" w:right="0"/>
              <w:jc w:val="left"/>
              <w:rPr>
                <w:rFonts w:ascii="Times New Roman" w:hAnsi="Times New Roman" w:cs="Times New Roman" w:eastAsia="Times New Roman" w:hint="default"/>
                <w:sz w:val="18"/>
                <w:szCs w:val="18"/>
              </w:rPr>
            </w:pPr>
            <w:r>
              <w:rPr>
                <w:rFonts w:ascii="Times New Roman"/>
                <w:sz w:val="18"/>
              </w:rPr>
              <w:t>7,543,512.82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6" w:right="0"/>
              <w:jc w:val="left"/>
              <w:rPr>
                <w:rFonts w:ascii="Times New Roman" w:hAnsi="Times New Roman" w:cs="Times New Roman" w:eastAsia="Times New Roman" w:hint="default"/>
                <w:sz w:val="18"/>
                <w:szCs w:val="18"/>
              </w:rPr>
            </w:pPr>
            <w:r>
              <w:rPr>
                <w:rFonts w:ascii="Times New Roman"/>
                <w:sz w:val="18"/>
              </w:rPr>
              <w:t>7,543,512.82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390,174.36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pacing w:val="-1"/>
                <w:sz w:val="18"/>
              </w:rPr>
              <w:t>390,174.36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4"/>
        <w:gridCol w:w="1063"/>
      </w:tblGrid>
      <w:tr>
        <w:trPr>
          <w:trHeight w:val="322"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62" w:type="dxa"/>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06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546,511.79</w:t>
            </w:r>
          </w:p>
        </w:tc>
        <w:tc>
          <w:tcPr>
            <w:tcW w:w="106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767,857.31</w:t>
            </w:r>
          </w:p>
        </w:tc>
        <w:tc>
          <w:tcPr>
            <w:tcW w:w="106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779,871.66</w:t>
            </w:r>
          </w:p>
        </w:tc>
        <w:tc>
          <w:tcPr>
            <w:tcW w:w="106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885,939.16</w:t>
            </w:r>
          </w:p>
        </w:tc>
        <w:tc>
          <w:tcPr>
            <w:tcW w:w="106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32,734,666.7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49,671,281.3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12,495,988.2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12,876,400.8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406" w:hRule="exact"/>
        </w:trPr>
        <w:tc>
          <w:tcPr>
            <w:tcW w:w="1062" w:type="dxa"/>
            <w:tcBorders>
              <w:top w:val="single" w:sz="4" w:space="0" w:color="FFFFFF"/>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06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400,191.50</w:t>
            </w:r>
          </w:p>
        </w:tc>
        <w:tc>
          <w:tcPr>
            <w:tcW w:w="106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589,970.67</w:t>
            </w:r>
          </w:p>
        </w:tc>
        <w:tc>
          <w:tcPr>
            <w:tcW w:w="106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195,507.13</w:t>
            </w:r>
          </w:p>
        </w:tc>
        <w:tc>
          <w:tcPr>
            <w:tcW w:w="106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470,779.55</w:t>
            </w:r>
          </w:p>
        </w:tc>
        <w:tc>
          <w:tcPr>
            <w:tcW w:w="106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816,435.68</w:t>
            </w:r>
          </w:p>
        </w:tc>
        <w:tc>
          <w:tcPr>
            <w:tcW w:w="106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3,925,902.41</w:t>
            </w:r>
          </w:p>
        </w:tc>
        <w:tc>
          <w:tcPr>
            <w:tcW w:w="1064" w:type="dxa"/>
            <w:tcBorders>
              <w:top w:val="single" w:sz="4" w:space="0" w:color="FFFFFF"/>
              <w:left w:val="single" w:sz="4" w:space="0" w:color="000000"/>
              <w:bottom w:val="single" w:sz="4" w:space="0" w:color="000000"/>
              <w:right w:val="single" w:sz="4" w:space="0" w:color="000000"/>
            </w:tcBorders>
          </w:tcPr>
          <w:p>
            <w:pPr/>
          </w:p>
        </w:tc>
        <w:tc>
          <w:tcPr>
            <w:tcW w:w="1063" w:type="dxa"/>
            <w:tcBorders>
              <w:top w:val="single" w:sz="4" w:space="0" w:color="FFFFFF"/>
              <w:left w:val="single" w:sz="4" w:space="0" w:color="000000"/>
              <w:bottom w:val="single" w:sz="4" w:space="0" w:color="000000"/>
              <w:right w:val="single" w:sz="4" w:space="0" w:color="000000"/>
            </w:tcBorders>
          </w:tcPr>
          <w:p>
            <w:pPr/>
          </w:p>
        </w:tc>
      </w:tr>
      <w:tr>
        <w:trPr>
          <w:trHeight w:val="406"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1"/>
              <w:jc w:val="right"/>
              <w:rPr>
                <w:rFonts w:ascii="Times New Roman" w:hAnsi="Times New Roman" w:cs="Times New Roman" w:eastAsia="Times New Roman" w:hint="default"/>
                <w:sz w:val="18"/>
                <w:szCs w:val="18"/>
              </w:rPr>
            </w:pPr>
            <w:r>
              <w:rPr>
                <w:rFonts w:ascii="Times New Roman"/>
                <w:spacing w:val="-1"/>
                <w:sz w:val="18"/>
              </w:rPr>
              <w:t>5,161,856.16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5,161,856.16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2,717,133.64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2"/>
              <w:jc w:val="right"/>
              <w:rPr>
                <w:rFonts w:ascii="Times New Roman" w:hAnsi="Times New Roman" w:cs="Times New Roman" w:eastAsia="Times New Roman" w:hint="default"/>
                <w:sz w:val="18"/>
                <w:szCs w:val="18"/>
              </w:rPr>
            </w:pPr>
            <w:r>
              <w:rPr>
                <w:rFonts w:ascii="Times New Roman"/>
                <w:spacing w:val="-1"/>
                <w:sz w:val="18"/>
              </w:rPr>
              <w:t>2,717,133.64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9"/>
              <w:jc w:val="right"/>
              <w:rPr>
                <w:rFonts w:ascii="Times New Roman" w:hAnsi="Times New Roman" w:cs="Times New Roman" w:eastAsia="Times New Roman" w:hint="default"/>
                <w:sz w:val="18"/>
                <w:szCs w:val="18"/>
              </w:rPr>
            </w:pPr>
            <w:r>
              <w:rPr>
                <w:rFonts w:ascii="Times New Roman"/>
                <w:spacing w:val="-1"/>
                <w:sz w:val="18"/>
              </w:rPr>
              <w:t>1,649,185.04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7"/>
              <w:jc w:val="right"/>
              <w:rPr>
                <w:rFonts w:ascii="Times New Roman" w:hAnsi="Times New Roman" w:cs="Times New Roman" w:eastAsia="Times New Roman" w:hint="default"/>
                <w:sz w:val="18"/>
                <w:szCs w:val="18"/>
              </w:rPr>
            </w:pPr>
            <w:r>
              <w:rPr>
                <w:rFonts w:ascii="Times New Roman"/>
                <w:spacing w:val="-1"/>
                <w:sz w:val="18"/>
              </w:rPr>
              <w:t>1,649,185.04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318,835.48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318,835.48</w:t>
            </w:r>
          </w:p>
        </w:tc>
      </w:tr>
      <w:tr>
        <w:trPr>
          <w:trHeight w:val="634"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11,687,841.7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11,687,841.7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5,571,822.66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5,571,822.66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143,050.00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143,050.00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191,491.08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191,491.08</w:t>
            </w:r>
          </w:p>
        </w:tc>
      </w:tr>
      <w:tr>
        <w:trPr>
          <w:trHeight w:val="634"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22" w:right="129"/>
              <w:jc w:val="left"/>
              <w:rPr>
                <w:rFonts w:ascii="宋体" w:hAnsi="宋体" w:cs="宋体" w:eastAsia="宋体" w:hint="default"/>
                <w:sz w:val="18"/>
                <w:szCs w:val="18"/>
              </w:rPr>
            </w:pPr>
            <w:r>
              <w:rPr>
                <w:rFonts w:ascii="宋体" w:hAnsi="宋体" w:cs="宋体" w:eastAsia="宋体" w:hint="default"/>
                <w:sz w:val="18"/>
                <w:szCs w:val="18"/>
              </w:rPr>
              <w:t>长期待摊费 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175,984.28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175,984.28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3,206,509.42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3,206,509.42</w:t>
            </w:r>
          </w:p>
        </w:tc>
      </w:tr>
      <w:tr>
        <w:trPr>
          <w:trHeight w:val="634"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8"/>
              <w:ind w:left="22" w:right="129"/>
              <w:jc w:val="left"/>
              <w:rPr>
                <w:rFonts w:ascii="宋体" w:hAnsi="宋体" w:cs="宋体" w:eastAsia="宋体" w:hint="default"/>
                <w:sz w:val="18"/>
                <w:szCs w:val="18"/>
              </w:rPr>
            </w:pPr>
            <w:r>
              <w:rPr>
                <w:rFonts w:ascii="宋体" w:hAnsi="宋体" w:cs="宋体" w:eastAsia="宋体" w:hint="default"/>
                <w:sz w:val="18"/>
                <w:szCs w:val="18"/>
              </w:rPr>
              <w:t>递延所得税 资产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2,242,317.58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2,242,317.58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2,762,421.72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2,762,421.72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880,613.01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880,613.01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22" w:right="129"/>
              <w:jc w:val="left"/>
              <w:rPr>
                <w:rFonts w:ascii="宋体" w:hAnsi="宋体" w:cs="宋体" w:eastAsia="宋体" w:hint="default"/>
                <w:sz w:val="18"/>
                <w:szCs w:val="18"/>
              </w:rPr>
            </w:pPr>
            <w:r>
              <w:rPr>
                <w:rFonts w:ascii="宋体" w:hAnsi="宋体" w:cs="宋体" w:eastAsia="宋体" w:hint="default"/>
                <w:sz w:val="18"/>
                <w:szCs w:val="18"/>
              </w:rPr>
              <w:t>其他流动资 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853,584.52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853,584.52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1,724,445.74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1,724,445.74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10,026.59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10,026.59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1,841,588.13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1,841,588.13</w:t>
            </w:r>
          </w:p>
        </w:tc>
      </w:tr>
      <w:tr>
        <w:trPr>
          <w:trHeight w:val="636"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可供出售金 融资产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9,562,882.91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9,562,882.91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681,200.00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681,200.00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129,932,988.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129,994,657.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266,217,443.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266,274,644.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13,356,847.4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18,368,367.7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13,521,514.8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13,616,618.0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634"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18,000,000.0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18,000,000.0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81,512,047.3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81,512,047.3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203,326,804.</w:t>
            </w:r>
          </w:p>
          <w:p>
            <w:pPr>
              <w:pStyle w:val="TableParagraph"/>
              <w:spacing w:line="240" w:lineRule="auto" w:before="84"/>
              <w:ind w:right="17"/>
              <w:jc w:val="right"/>
              <w:rPr>
                <w:rFonts w:ascii="Times New Roman" w:hAnsi="Times New Roman" w:cs="Times New Roman" w:eastAsia="Times New Roman" w:hint="default"/>
                <w:sz w:val="18"/>
                <w:szCs w:val="18"/>
              </w:rPr>
            </w:pPr>
            <w:r>
              <w:rPr>
                <w:rFonts w:ascii="Times New Roman"/>
                <w:sz w:val="18"/>
              </w:rPr>
              <w:t>94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203,326,804.</w:t>
            </w:r>
          </w:p>
          <w:p>
            <w:pPr>
              <w:pStyle w:val="TableParagraph"/>
              <w:spacing w:line="240" w:lineRule="auto" w:before="84"/>
              <w:ind w:right="17"/>
              <w:jc w:val="right"/>
              <w:rPr>
                <w:rFonts w:ascii="Times New Roman" w:hAnsi="Times New Roman" w:cs="Times New Roman" w:eastAsia="Times New Roman" w:hint="default"/>
                <w:sz w:val="18"/>
                <w:szCs w:val="18"/>
              </w:rPr>
            </w:pPr>
            <w:r>
              <w:rPr>
                <w:rFonts w:ascii="Times New Roman"/>
                <w:sz w:val="18"/>
              </w:rPr>
              <w:t>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1,857,496.12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1,857,496.12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143,465.26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143,465.26</w:t>
            </w:r>
          </w:p>
        </w:tc>
      </w:tr>
      <w:tr>
        <w:trPr>
          <w:trHeight w:val="636"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递延所得税 负债</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61,668.71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57,200.99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1,337,223.16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6,348,743.49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95,103.16</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929,992.57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929,992.57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5,294,894.59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5,294,894.59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2,100,937.04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2,100,937.04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11,998,695.4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11,998,695.4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r>
      <w:tr>
        <w:trPr>
          <w:trHeight w:val="634"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37,154,851.6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37,154,851.6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967,593.08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967,593.08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35,000.00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110,000.00</w:t>
            </w:r>
          </w:p>
        </w:tc>
      </w:tr>
      <w:tr>
        <w:trPr>
          <w:trHeight w:val="634"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22" w:right="129"/>
              <w:jc w:val="left"/>
              <w:rPr>
                <w:rFonts w:ascii="宋体" w:hAnsi="宋体" w:cs="宋体" w:eastAsia="宋体" w:hint="default"/>
                <w:sz w:val="18"/>
                <w:szCs w:val="18"/>
              </w:rPr>
            </w:pPr>
            <w:r>
              <w:rPr>
                <w:rFonts w:ascii="宋体" w:hAnsi="宋体" w:cs="宋体" w:eastAsia="宋体" w:hint="default"/>
                <w:sz w:val="18"/>
                <w:szCs w:val="18"/>
              </w:rPr>
              <w:t>应付职工薪 酬</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5,904,549.28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5,904,549.28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6,922,416.93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6,922,416.93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1,943,020.74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1,943,020.74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1,248,845.99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1,248,845.99</w:t>
            </w:r>
          </w:p>
        </w:tc>
      </w:tr>
      <w:tr>
        <w:trPr>
          <w:trHeight w:val="637"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4,431,547.95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4,431,547.95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28,705,734.3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28,705,734.3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83,170.37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83,170.37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20,508.15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20,508.15</w:t>
            </w:r>
          </w:p>
        </w:tc>
      </w:tr>
      <w:tr>
        <w:trPr>
          <w:trHeight w:val="322"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3,000,000.00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197,901,631.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198,251,087.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80,984,018.1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81,308,157.0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32,823,251.6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47,857,812.6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11,574,419.4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11,859,728.9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634"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22" w:right="21"/>
              <w:jc w:val="left"/>
              <w:rPr>
                <w:rFonts w:ascii="宋体" w:hAnsi="宋体" w:cs="宋体" w:eastAsia="宋体" w:hint="default"/>
                <w:sz w:val="18"/>
                <w:szCs w:val="18"/>
              </w:rPr>
            </w:pPr>
            <w:r>
              <w:rPr>
                <w:rFonts w:ascii="宋体" w:hAnsi="宋体" w:cs="宋体" w:eastAsia="宋体" w:hint="default"/>
                <w:spacing w:val="-12"/>
                <w:sz w:val="18"/>
                <w:szCs w:val="18"/>
              </w:rPr>
              <w:t>减：少数股东</w:t>
            </w:r>
            <w:r>
              <w:rPr>
                <w:rFonts w:ascii="宋体" w:hAnsi="宋体" w:cs="宋体" w:eastAsia="宋体" w:hint="default"/>
                <w:sz w:val="18"/>
                <w:szCs w:val="18"/>
              </w:rPr>
              <w:t> 权益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107,618,295.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107,807,001.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12,147,602.7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12,196,223.5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15,323,776.9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22,521,424.4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22" w:right="129"/>
              <w:jc w:val="left"/>
              <w:rPr>
                <w:rFonts w:ascii="宋体" w:hAnsi="宋体" w:cs="宋体" w:eastAsia="宋体" w:hint="default"/>
                <w:sz w:val="18"/>
                <w:szCs w:val="18"/>
              </w:rPr>
            </w:pPr>
            <w:r>
              <w:rPr>
                <w:rFonts w:ascii="宋体" w:hAnsi="宋体" w:cs="宋体" w:eastAsia="宋体" w:hint="default"/>
                <w:sz w:val="18"/>
                <w:szCs w:val="18"/>
              </w:rPr>
              <w:t>取得的净资 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90,283,336.2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90,444,086.0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68,836,415.4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69,111,933.5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17,499,474.6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25,336,388.2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11,574,419.4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11,859,728.9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bl>
    <w:p>
      <w:pPr>
        <w:pStyle w:val="Heading4"/>
        <w:spacing w:line="240" w:lineRule="auto" w:before="71"/>
        <w:ind w:right="1034"/>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pStyle w:val="BodyText"/>
        <w:spacing w:line="240" w:lineRule="auto" w:before="128"/>
        <w:ind w:left="0" w:right="1131"/>
        <w:jc w:val="right"/>
      </w:pPr>
      <w:r>
        <w:rPr/>
        <w:t>单位：</w:t>
      </w:r>
      <w:r>
        <w:rPr>
          <w:spacing w:val="1"/>
        </w:rPr>
        <w:t> </w:t>
      </w:r>
      <w:r>
        <w:rPr/>
        <w:t>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84"/>
        <w:gridCol w:w="1419"/>
        <w:gridCol w:w="1274"/>
        <w:gridCol w:w="1419"/>
        <w:gridCol w:w="1985"/>
        <w:gridCol w:w="1486"/>
      </w:tblGrid>
      <w:tr>
        <w:trPr>
          <w:trHeight w:val="322"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48"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4" w:right="0"/>
              <w:jc w:val="left"/>
              <w:rPr>
                <w:rFonts w:ascii="宋体" w:hAnsi="宋体" w:cs="宋体" w:eastAsia="宋体" w:hint="default"/>
                <w:sz w:val="18"/>
                <w:szCs w:val="18"/>
              </w:rPr>
            </w:pPr>
            <w:r>
              <w:rPr>
                <w:rFonts w:ascii="宋体" w:hAnsi="宋体" w:cs="宋体" w:eastAsia="宋体" w:hint="default"/>
                <w:sz w:val="18"/>
                <w:szCs w:val="18"/>
              </w:rPr>
              <w:t>购买日之前原持</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购买日之前原</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4" w:right="0"/>
              <w:jc w:val="left"/>
              <w:rPr>
                <w:rFonts w:ascii="宋体" w:hAnsi="宋体" w:cs="宋体" w:eastAsia="宋体" w:hint="default"/>
                <w:sz w:val="18"/>
                <w:szCs w:val="18"/>
              </w:rPr>
            </w:pPr>
            <w:r>
              <w:rPr>
                <w:rFonts w:ascii="宋体" w:hAnsi="宋体" w:cs="宋体" w:eastAsia="宋体" w:hint="default"/>
                <w:sz w:val="18"/>
                <w:szCs w:val="18"/>
              </w:rPr>
              <w:t>购买日之前原持</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6" w:right="0"/>
              <w:jc w:val="left"/>
              <w:rPr>
                <w:rFonts w:ascii="宋体" w:hAnsi="宋体" w:cs="宋体" w:eastAsia="宋体" w:hint="default"/>
                <w:sz w:val="18"/>
                <w:szCs w:val="18"/>
              </w:rPr>
            </w:pPr>
            <w:r>
              <w:rPr>
                <w:rFonts w:ascii="宋体" w:hAnsi="宋体" w:cs="宋体" w:eastAsia="宋体" w:hint="default"/>
                <w:sz w:val="18"/>
                <w:szCs w:val="18"/>
              </w:rPr>
              <w:t>购买日之前原持有股权</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购买日之前与原</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84"/>
        <w:gridCol w:w="1419"/>
        <w:gridCol w:w="1274"/>
        <w:gridCol w:w="1419"/>
        <w:gridCol w:w="1985"/>
        <w:gridCol w:w="1486"/>
      </w:tblGrid>
      <w:tr>
        <w:trPr>
          <w:trHeight w:val="1258"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54" w:right="74" w:hanging="180"/>
              <w:jc w:val="left"/>
              <w:rPr>
                <w:rFonts w:ascii="宋体" w:hAnsi="宋体" w:cs="宋体" w:eastAsia="宋体" w:hint="default"/>
                <w:sz w:val="18"/>
                <w:szCs w:val="18"/>
              </w:rPr>
            </w:pPr>
            <w:r>
              <w:rPr>
                <w:rFonts w:ascii="宋体" w:hAnsi="宋体" w:cs="宋体" w:eastAsia="宋体" w:hint="default"/>
                <w:sz w:val="18"/>
                <w:szCs w:val="18"/>
              </w:rPr>
              <w:t>有股权在购买日 的账面价值</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89"/>
              <w:jc w:val="center"/>
              <w:rPr>
                <w:rFonts w:ascii="宋体" w:hAnsi="宋体" w:cs="宋体" w:eastAsia="宋体" w:hint="default"/>
                <w:sz w:val="18"/>
                <w:szCs w:val="18"/>
              </w:rPr>
            </w:pPr>
            <w:r>
              <w:rPr>
                <w:rFonts w:ascii="宋体" w:hAnsi="宋体" w:cs="宋体" w:eastAsia="宋体" w:hint="default"/>
                <w:sz w:val="18"/>
                <w:szCs w:val="18"/>
              </w:rPr>
              <w:t>持有股权在购 买日的公允价 值</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74" w:right="72"/>
              <w:jc w:val="both"/>
              <w:rPr>
                <w:rFonts w:ascii="宋体" w:hAnsi="宋体" w:cs="宋体" w:eastAsia="宋体" w:hint="default"/>
                <w:sz w:val="18"/>
                <w:szCs w:val="18"/>
              </w:rPr>
            </w:pPr>
            <w:r>
              <w:rPr>
                <w:rFonts w:ascii="宋体" w:hAnsi="宋体" w:cs="宋体" w:eastAsia="宋体" w:hint="default"/>
                <w:sz w:val="18"/>
                <w:szCs w:val="18"/>
              </w:rPr>
              <w:t>有股权按照公允 价值重新计量产 生的利得或损失</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77" w:right="87" w:hanging="92"/>
              <w:jc w:val="left"/>
              <w:rPr>
                <w:rFonts w:ascii="宋体" w:hAnsi="宋体" w:cs="宋体" w:eastAsia="宋体" w:hint="default"/>
                <w:sz w:val="18"/>
                <w:szCs w:val="18"/>
              </w:rPr>
            </w:pPr>
            <w:r>
              <w:rPr>
                <w:rFonts w:ascii="宋体" w:hAnsi="宋体" w:cs="宋体" w:eastAsia="宋体" w:hint="default"/>
                <w:sz w:val="18"/>
                <w:szCs w:val="18"/>
              </w:rPr>
              <w:t>在购买日的公允价值的 确定方法及主要假设</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8" w:right="107"/>
              <w:jc w:val="center"/>
              <w:rPr>
                <w:rFonts w:ascii="宋体" w:hAnsi="宋体" w:cs="宋体" w:eastAsia="宋体" w:hint="default"/>
                <w:sz w:val="18"/>
                <w:szCs w:val="18"/>
              </w:rPr>
            </w:pPr>
            <w:r>
              <w:rPr>
                <w:rFonts w:ascii="宋体" w:hAnsi="宋体" w:cs="宋体" w:eastAsia="宋体" w:hint="default"/>
                <w:sz w:val="18"/>
                <w:szCs w:val="18"/>
              </w:rPr>
              <w:t>持有股权相关的 其他综合收益转 入投资收益的金 额</w:t>
            </w:r>
          </w:p>
        </w:tc>
      </w:tr>
      <w:tr>
        <w:trPr>
          <w:trHeight w:val="634"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2" w:right="149"/>
              <w:jc w:val="left"/>
              <w:rPr>
                <w:rFonts w:ascii="宋体" w:hAnsi="宋体" w:cs="宋体" w:eastAsia="宋体" w:hint="default"/>
                <w:sz w:val="18"/>
                <w:szCs w:val="18"/>
              </w:rPr>
            </w:pPr>
            <w:r>
              <w:rPr>
                <w:rFonts w:ascii="宋体" w:hAnsi="宋体" w:cs="宋体" w:eastAsia="宋体" w:hint="default"/>
                <w:sz w:val="18"/>
                <w:szCs w:val="18"/>
              </w:rPr>
              <w:t>湖北融信押运保安服务 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24,438,363.79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29,496,078.43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5,057,714.64</w:t>
            </w:r>
          </w:p>
        </w:tc>
        <w:tc>
          <w:tcPr>
            <w:tcW w:w="198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pStyle w:val="Heading4"/>
        <w:spacing w:line="240" w:lineRule="auto" w:before="71"/>
        <w:ind w:right="1034"/>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pStyle w:val="Heading3"/>
        <w:spacing w:line="240" w:lineRule="auto" w:before="86"/>
        <w:ind w:left="467" w:right="1034"/>
        <w:jc w:val="left"/>
      </w:pPr>
      <w:r>
        <w:rPr/>
        <w:t>公司本期不存在购买日或合并当期期末无法合理确定合并对价或购买方可辨认资产、负债公允价值。</w:t>
      </w:r>
    </w:p>
    <w:p>
      <w:pPr>
        <w:spacing w:line="240" w:lineRule="auto" w:before="5"/>
        <w:rPr>
          <w:rFonts w:ascii="宋体" w:hAnsi="宋体" w:cs="宋体" w:eastAsia="宋体" w:hint="default"/>
          <w:sz w:val="18"/>
          <w:szCs w:val="18"/>
        </w:rPr>
      </w:pPr>
    </w:p>
    <w:p>
      <w:pPr>
        <w:pStyle w:val="Heading4"/>
        <w:spacing w:line="240" w:lineRule="auto"/>
        <w:ind w:right="1034"/>
        <w:jc w:val="left"/>
        <w:rPr>
          <w:b w:val="0"/>
          <w:bCs w:val="0"/>
        </w:rPr>
      </w:pPr>
      <w:r>
        <w:rPr>
          <w:rFonts w:ascii="Times New Roman" w:hAnsi="Times New Roman" w:cs="Times New Roman" w:eastAsia="Times New Roman" w:hint="default"/>
        </w:rPr>
        <w:t>2</w:t>
      </w:r>
      <w:r>
        <w:rPr/>
        <w:t>、同一控制下企业合并</w:t>
      </w:r>
      <w:r>
        <w:rPr>
          <w:b w:val="0"/>
          <w:bCs w:val="0"/>
        </w:rPr>
      </w:r>
    </w:p>
    <w:p>
      <w:pPr>
        <w:pStyle w:val="Heading3"/>
        <w:spacing w:line="240" w:lineRule="auto" w:before="86"/>
        <w:ind w:left="470" w:right="1034"/>
        <w:jc w:val="left"/>
      </w:pPr>
      <w:r>
        <w:rPr/>
        <w:t>公司本期未发生同一控制下企业合并。</w:t>
      </w:r>
    </w:p>
    <w:p>
      <w:pPr>
        <w:spacing w:line="240" w:lineRule="auto" w:before="3"/>
        <w:rPr>
          <w:rFonts w:ascii="宋体" w:hAnsi="宋体" w:cs="宋体" w:eastAsia="宋体" w:hint="default"/>
          <w:sz w:val="18"/>
          <w:szCs w:val="18"/>
        </w:rPr>
      </w:pPr>
    </w:p>
    <w:p>
      <w:pPr>
        <w:pStyle w:val="Heading4"/>
        <w:spacing w:line="240" w:lineRule="auto"/>
        <w:ind w:right="1034"/>
        <w:jc w:val="left"/>
        <w:rPr>
          <w:b w:val="0"/>
          <w:bCs w:val="0"/>
        </w:rPr>
      </w:pPr>
      <w:r>
        <w:rPr>
          <w:rFonts w:ascii="Times New Roman" w:hAnsi="Times New Roman" w:cs="Times New Roman" w:eastAsia="Times New Roman" w:hint="default"/>
        </w:rPr>
        <w:t>3</w:t>
      </w:r>
      <w:r>
        <w:rPr/>
        <w:t>、反向购买</w:t>
      </w:r>
      <w:r>
        <w:rPr>
          <w:b w:val="0"/>
          <w:bCs w:val="0"/>
        </w:rPr>
      </w:r>
    </w:p>
    <w:p>
      <w:pPr>
        <w:pStyle w:val="Heading3"/>
        <w:spacing w:line="240" w:lineRule="auto" w:before="86"/>
        <w:ind w:left="364" w:right="1034"/>
        <w:jc w:val="left"/>
      </w:pPr>
      <w:r>
        <w:rPr/>
        <w:t>公司本期未发生反向购买。</w:t>
      </w:r>
    </w:p>
    <w:p>
      <w:pPr>
        <w:spacing w:line="240" w:lineRule="auto" w:before="3"/>
        <w:rPr>
          <w:rFonts w:ascii="宋体" w:hAnsi="宋体" w:cs="宋体" w:eastAsia="宋体" w:hint="default"/>
          <w:sz w:val="18"/>
          <w:szCs w:val="18"/>
        </w:rPr>
      </w:pPr>
    </w:p>
    <w:p>
      <w:pPr>
        <w:pStyle w:val="Heading4"/>
        <w:spacing w:line="240" w:lineRule="auto"/>
        <w:ind w:right="1034"/>
        <w:jc w:val="left"/>
        <w:rPr>
          <w:b w:val="0"/>
          <w:bCs w:val="0"/>
        </w:rPr>
      </w:pPr>
      <w:r>
        <w:rPr>
          <w:rFonts w:ascii="Times New Roman" w:hAnsi="Times New Roman" w:cs="Times New Roman" w:eastAsia="Times New Roman" w:hint="default"/>
        </w:rPr>
        <w:t>4</w:t>
      </w:r>
      <w:r>
        <w:rPr/>
        <w:t>、处置子公司</w:t>
      </w:r>
      <w:r>
        <w:rPr>
          <w:b w:val="0"/>
          <w:bCs w:val="0"/>
        </w:rPr>
      </w:r>
    </w:p>
    <w:p>
      <w:pPr>
        <w:pStyle w:val="Heading3"/>
        <w:spacing w:line="240" w:lineRule="auto" w:before="86"/>
        <w:ind w:left="364" w:right="1034"/>
        <w:jc w:val="left"/>
      </w:pPr>
      <w:r>
        <w:rPr/>
        <w:t>公司本期未发生处置子公司。</w:t>
      </w:r>
    </w:p>
    <w:p>
      <w:pPr>
        <w:spacing w:line="240" w:lineRule="auto" w:before="3"/>
        <w:rPr>
          <w:rFonts w:ascii="宋体" w:hAnsi="宋体" w:cs="宋体" w:eastAsia="宋体" w:hint="default"/>
          <w:sz w:val="18"/>
          <w:szCs w:val="18"/>
        </w:rPr>
      </w:pPr>
    </w:p>
    <w:p>
      <w:pPr>
        <w:pStyle w:val="Heading4"/>
        <w:spacing w:line="240" w:lineRule="auto"/>
        <w:ind w:right="1034"/>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403" w:lineRule="auto" w:before="86"/>
        <w:ind w:left="152" w:right="6474" w:firstLine="211"/>
        <w:jc w:val="left"/>
        <w:rPr>
          <w:rFonts w:ascii="宋体" w:hAnsi="宋体" w:cs="宋体" w:eastAsia="宋体" w:hint="default"/>
          <w:sz w:val="20"/>
          <w:szCs w:val="20"/>
        </w:rPr>
      </w:pPr>
      <w:r>
        <w:rPr>
          <w:rFonts w:ascii="宋体" w:hAnsi="宋体" w:cs="宋体" w:eastAsia="宋体" w:hint="default"/>
          <w:spacing w:val="-2"/>
          <w:sz w:val="21"/>
          <w:szCs w:val="21"/>
        </w:rPr>
        <w:t>公司本期未发生其他原因的合并范围变动。</w:t>
      </w:r>
      <w:r>
        <w:rPr>
          <w:rFonts w:ascii="宋体" w:hAnsi="宋体" w:cs="宋体" w:eastAsia="宋体" w:hint="default"/>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、在子公司中的权益</w:t>
      </w:r>
      <w:r>
        <w:rPr>
          <w:rFonts w:ascii="宋体" w:hAnsi="宋体" w:cs="宋体" w:eastAsia="宋体" w:hint="default"/>
          <w:sz w:val="20"/>
          <w:szCs w:val="20"/>
        </w:rPr>
      </w:r>
    </w:p>
    <w:p>
      <w:pPr>
        <w:pStyle w:val="Heading4"/>
        <w:spacing w:line="238" w:lineRule="exact"/>
        <w:ind w:right="1034"/>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4"/>
        <w:rPr>
          <w:rFonts w:ascii="宋体" w:hAnsi="宋体" w:cs="宋体" w:eastAsia="宋体" w:hint="default"/>
          <w:b/>
          <w:bCs/>
          <w:sz w:val="3"/>
          <w:szCs w:val="3"/>
        </w:rPr>
      </w:pPr>
    </w:p>
    <w:tbl>
      <w:tblPr>
        <w:tblW w:w="0" w:type="auto"/>
        <w:jc w:val="left"/>
        <w:tblInd w:w="148" w:type="dxa"/>
        <w:tblLayout w:type="fixed"/>
        <w:tblCellMar>
          <w:top w:w="0" w:type="dxa"/>
          <w:left w:w="0" w:type="dxa"/>
          <w:bottom w:w="0" w:type="dxa"/>
          <w:right w:w="0" w:type="dxa"/>
        </w:tblCellMar>
        <w:tblLook w:val="01E0"/>
      </w:tblPr>
      <w:tblGrid>
        <w:gridCol w:w="3121"/>
        <w:gridCol w:w="991"/>
        <w:gridCol w:w="1133"/>
        <w:gridCol w:w="1277"/>
        <w:gridCol w:w="710"/>
        <w:gridCol w:w="709"/>
        <w:gridCol w:w="1632"/>
      </w:tblGrid>
      <w:tr>
        <w:trPr>
          <w:trHeight w:val="322" w:hRule="exact"/>
        </w:trPr>
        <w:tc>
          <w:tcPr>
            <w:tcW w:w="31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4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6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22" w:hRule="exact"/>
        </w:trPr>
        <w:tc>
          <w:tcPr>
            <w:tcW w:w="3121"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7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632"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广州支点创业投资有限公司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广州广电汇通金融服务有限公司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GRG HT (HK)</w:t>
            </w:r>
            <w:r>
              <w:rPr>
                <w:rFonts w:ascii="Times New Roman"/>
                <w:spacing w:val="-11"/>
                <w:sz w:val="18"/>
              </w:rPr>
              <w:t> </w:t>
            </w:r>
            <w:r>
              <w:rPr>
                <w:rFonts w:ascii="Times New Roman"/>
                <w:sz w:val="18"/>
              </w:rPr>
              <w:t>Co.,Limited</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商业及服务业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 w:right="0"/>
              <w:jc w:val="center"/>
              <w:rPr>
                <w:rFonts w:ascii="Times New Roman" w:hAnsi="Times New Roman" w:cs="Times New Roman" w:eastAsia="Times New Roman" w:hint="default"/>
                <w:sz w:val="18"/>
                <w:szCs w:val="18"/>
              </w:rPr>
            </w:pPr>
            <w:r>
              <w:rPr>
                <w:rFonts w:ascii="Times New Roman"/>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广州广电运通信息科技有限公司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广州广电卓识智能科技有限公司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center"/>
              <w:rPr>
                <w:rFonts w:ascii="Times New Roman" w:hAnsi="Times New Roman" w:cs="Times New Roman" w:eastAsia="Times New Roman" w:hint="default"/>
                <w:sz w:val="18"/>
                <w:szCs w:val="18"/>
              </w:rPr>
            </w:pPr>
            <w:r>
              <w:rPr>
                <w:rFonts w:ascii="Times New Roman"/>
                <w:sz w:val="18"/>
              </w:rPr>
              <w:t>66.70%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广州市龙源环保科技有限公司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58"/>
              <w:jc w:val="left"/>
              <w:rPr>
                <w:rFonts w:ascii="宋体" w:hAnsi="宋体" w:cs="宋体" w:eastAsia="宋体" w:hint="default"/>
                <w:sz w:val="18"/>
                <w:szCs w:val="18"/>
              </w:rPr>
            </w:pPr>
            <w:r>
              <w:rPr>
                <w:rFonts w:ascii="宋体" w:hAnsi="宋体" w:cs="宋体" w:eastAsia="宋体" w:hint="default"/>
                <w:sz w:val="18"/>
                <w:szCs w:val="18"/>
              </w:rPr>
              <w:t>环保处理及房 地产开发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60.10%</w:t>
            </w:r>
          </w:p>
        </w:tc>
        <w:tc>
          <w:tcPr>
            <w:tcW w:w="709"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63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赣州中联环保科技开发有限公司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赣州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赣州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58"/>
              <w:jc w:val="left"/>
              <w:rPr>
                <w:rFonts w:ascii="宋体" w:hAnsi="宋体" w:cs="宋体" w:eastAsia="宋体" w:hint="default"/>
                <w:sz w:val="18"/>
                <w:szCs w:val="18"/>
              </w:rPr>
            </w:pPr>
            <w:r>
              <w:rPr>
                <w:rFonts w:ascii="宋体" w:hAnsi="宋体" w:cs="宋体" w:eastAsia="宋体" w:hint="default"/>
                <w:sz w:val="18"/>
                <w:szCs w:val="18"/>
              </w:rPr>
              <w:t>环保处理及房 地产开发</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60.10%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63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5"/>
              <w:jc w:val="left"/>
              <w:rPr>
                <w:rFonts w:ascii="宋体" w:hAnsi="宋体" w:cs="宋体" w:eastAsia="宋体" w:hint="default"/>
                <w:sz w:val="18"/>
                <w:szCs w:val="18"/>
              </w:rPr>
            </w:pPr>
            <w:r>
              <w:rPr>
                <w:rFonts w:ascii="宋体" w:hAnsi="宋体" w:cs="宋体" w:eastAsia="宋体" w:hint="default"/>
                <w:sz w:val="18"/>
                <w:szCs w:val="18"/>
              </w:rPr>
              <w:t>赣州中联电镀原料配送经营服务有限公 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赣州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赣州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58"/>
              <w:jc w:val="left"/>
              <w:rPr>
                <w:rFonts w:ascii="宋体" w:hAnsi="宋体" w:cs="宋体" w:eastAsia="宋体" w:hint="default"/>
                <w:sz w:val="18"/>
                <w:szCs w:val="18"/>
              </w:rPr>
            </w:pPr>
            <w:r>
              <w:rPr>
                <w:rFonts w:ascii="宋体" w:hAnsi="宋体" w:cs="宋体" w:eastAsia="宋体" w:hint="default"/>
                <w:sz w:val="18"/>
                <w:szCs w:val="18"/>
              </w:rPr>
              <w:t>环保处理及房 地产开发</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60.10%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636"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赣州龙源环保产业经营管理有限公司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赣州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赣州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 w:right="158"/>
              <w:jc w:val="left"/>
              <w:rPr>
                <w:rFonts w:ascii="宋体" w:hAnsi="宋体" w:cs="宋体" w:eastAsia="宋体" w:hint="default"/>
                <w:sz w:val="18"/>
                <w:szCs w:val="18"/>
              </w:rPr>
            </w:pPr>
            <w:r>
              <w:rPr>
                <w:rFonts w:ascii="宋体" w:hAnsi="宋体" w:cs="宋体" w:eastAsia="宋体" w:hint="default"/>
                <w:sz w:val="18"/>
                <w:szCs w:val="18"/>
              </w:rPr>
              <w:t>环保处理及房 地产开发</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60.10%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广州穗通金融服务有限公司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51.00%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广州广电银通金融电子科技有限公司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深圳广电银通金融电子科技有限公司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 w:right="0"/>
              <w:jc w:val="center"/>
              <w:rPr>
                <w:rFonts w:ascii="Times New Roman" w:hAnsi="Times New Roman" w:cs="Times New Roman" w:eastAsia="Times New Roman" w:hint="default"/>
                <w:sz w:val="18"/>
                <w:szCs w:val="18"/>
              </w:rPr>
            </w:pPr>
            <w:r>
              <w:rPr>
                <w:rFonts w:ascii="Times New Roman"/>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深圳鹏通金融服务有限公司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center"/>
              <w:rPr>
                <w:rFonts w:ascii="Times New Roman" w:hAnsi="Times New Roman" w:cs="Times New Roman" w:eastAsia="Times New Roman" w:hint="default"/>
                <w:sz w:val="18"/>
                <w:szCs w:val="18"/>
              </w:rPr>
            </w:pPr>
            <w:r>
              <w:rPr>
                <w:rFonts w:ascii="Times New Roman"/>
                <w:sz w:val="18"/>
              </w:rPr>
              <w:t>51.00%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121"/>
        <w:gridCol w:w="991"/>
        <w:gridCol w:w="1133"/>
        <w:gridCol w:w="1277"/>
        <w:gridCol w:w="710"/>
        <w:gridCol w:w="709"/>
        <w:gridCol w:w="1632"/>
      </w:tblGrid>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石家庄市银通金融服务有限公司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center"/>
              <w:rPr>
                <w:rFonts w:ascii="Times New Roman" w:hAnsi="Times New Roman" w:cs="Times New Roman" w:eastAsia="Times New Roman" w:hint="default"/>
                <w:sz w:val="18"/>
                <w:szCs w:val="18"/>
              </w:rPr>
            </w:pPr>
            <w:r>
              <w:rPr>
                <w:rFonts w:ascii="Times New Roman"/>
                <w:sz w:val="18"/>
              </w:rPr>
              <w:t>51.00%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上海欣辰通金融电子科技有限公司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 w:right="0"/>
              <w:jc w:val="center"/>
              <w:rPr>
                <w:rFonts w:ascii="Times New Roman" w:hAnsi="Times New Roman" w:cs="Times New Roman" w:eastAsia="Times New Roman" w:hint="default"/>
                <w:sz w:val="18"/>
                <w:szCs w:val="18"/>
              </w:rPr>
            </w:pPr>
            <w:r>
              <w:rPr>
                <w:rFonts w:ascii="Times New Roman"/>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宜昌宜通金融服务有限公司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宜昌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宜昌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center"/>
              <w:rPr>
                <w:rFonts w:ascii="Times New Roman" w:hAnsi="Times New Roman" w:cs="Times New Roman" w:eastAsia="Times New Roman" w:hint="default"/>
                <w:sz w:val="18"/>
                <w:szCs w:val="18"/>
              </w:rPr>
            </w:pPr>
            <w:r>
              <w:rPr>
                <w:rFonts w:ascii="Times New Roman"/>
                <w:sz w:val="18"/>
              </w:rPr>
              <w:t>76.00%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南宁盈通金融电子科技有限公司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center"/>
              <w:rPr>
                <w:rFonts w:ascii="Times New Roman" w:hAnsi="Times New Roman" w:cs="Times New Roman" w:eastAsia="Times New Roman" w:hint="default"/>
                <w:sz w:val="18"/>
                <w:szCs w:val="18"/>
              </w:rPr>
            </w:pPr>
            <w:r>
              <w:rPr>
                <w:rFonts w:ascii="Times New Roman"/>
                <w:sz w:val="18"/>
              </w:rPr>
              <w:t>51.00%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辽宁辽通金融电子科技有限公司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辽宁沈阳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辽宁沈阳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 w:right="0"/>
              <w:jc w:val="center"/>
              <w:rPr>
                <w:rFonts w:ascii="Times New Roman" w:hAnsi="Times New Roman" w:cs="Times New Roman" w:eastAsia="Times New Roman" w:hint="default"/>
                <w:sz w:val="18"/>
                <w:szCs w:val="18"/>
              </w:rPr>
            </w:pPr>
            <w:r>
              <w:rPr>
                <w:rFonts w:ascii="Times New Roman"/>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河南商通金融服务外包有限公司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河南郑州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河南郑州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center"/>
              <w:rPr>
                <w:rFonts w:ascii="Times New Roman" w:hAnsi="Times New Roman" w:cs="Times New Roman" w:eastAsia="Times New Roman" w:hint="default"/>
                <w:sz w:val="18"/>
                <w:szCs w:val="18"/>
              </w:rPr>
            </w:pPr>
            <w:r>
              <w:rPr>
                <w:rFonts w:ascii="Times New Roman"/>
                <w:sz w:val="18"/>
              </w:rPr>
              <w:t>80.00%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河北晨通金融电子科技有限公司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河北邢台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河北邢台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center"/>
              <w:rPr>
                <w:rFonts w:ascii="Times New Roman" w:hAnsi="Times New Roman" w:cs="Times New Roman" w:eastAsia="Times New Roman" w:hint="default"/>
                <w:sz w:val="18"/>
                <w:szCs w:val="18"/>
              </w:rPr>
            </w:pPr>
            <w:r>
              <w:rPr>
                <w:rFonts w:ascii="Times New Roman"/>
                <w:sz w:val="18"/>
              </w:rPr>
              <w:t>51.00%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南阳宛通金融电子科技有限公司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南阳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南阳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center"/>
              <w:rPr>
                <w:rFonts w:ascii="Times New Roman" w:hAnsi="Times New Roman" w:cs="Times New Roman" w:eastAsia="Times New Roman" w:hint="default"/>
                <w:sz w:val="18"/>
                <w:szCs w:val="18"/>
              </w:rPr>
            </w:pPr>
            <w:r>
              <w:rPr>
                <w:rFonts w:ascii="Times New Roman"/>
                <w:sz w:val="18"/>
              </w:rPr>
              <w:t>51.00%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山西尚通金融外包服务有限公司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山西太原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山西太原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center"/>
              <w:rPr>
                <w:rFonts w:ascii="Times New Roman" w:hAnsi="Times New Roman" w:cs="Times New Roman" w:eastAsia="Times New Roman" w:hint="default"/>
                <w:sz w:val="18"/>
                <w:szCs w:val="18"/>
              </w:rPr>
            </w:pPr>
            <w:r>
              <w:rPr>
                <w:rFonts w:ascii="Times New Roman"/>
                <w:sz w:val="18"/>
              </w:rPr>
              <w:t>51.00%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广州广电银通安保投资有限公司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内蒙古广电银通安保投资有限公司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55"/>
              <w:jc w:val="left"/>
              <w:rPr>
                <w:rFonts w:ascii="宋体" w:hAnsi="宋体" w:cs="宋体" w:eastAsia="宋体" w:hint="default"/>
                <w:sz w:val="18"/>
                <w:szCs w:val="18"/>
              </w:rPr>
            </w:pPr>
            <w:r>
              <w:rPr>
                <w:rFonts w:ascii="宋体" w:hAnsi="宋体" w:cs="宋体" w:eastAsia="宋体" w:hint="default"/>
                <w:sz w:val="18"/>
                <w:szCs w:val="18"/>
              </w:rPr>
              <w:t>内蒙古呼和 浩特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7"/>
              <w:jc w:val="left"/>
              <w:rPr>
                <w:rFonts w:ascii="宋体" w:hAnsi="宋体" w:cs="宋体" w:eastAsia="宋体" w:hint="default"/>
                <w:sz w:val="18"/>
                <w:szCs w:val="18"/>
              </w:rPr>
            </w:pPr>
            <w:r>
              <w:rPr>
                <w:rFonts w:ascii="宋体" w:hAnsi="宋体" w:cs="宋体" w:eastAsia="宋体" w:hint="default"/>
                <w:sz w:val="18"/>
                <w:szCs w:val="18"/>
              </w:rPr>
              <w:t>内蒙古呼和 浩特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5"/>
              <w:jc w:val="left"/>
              <w:rPr>
                <w:rFonts w:ascii="宋体" w:hAnsi="宋体" w:cs="宋体" w:eastAsia="宋体" w:hint="default"/>
                <w:sz w:val="18"/>
                <w:szCs w:val="18"/>
              </w:rPr>
            </w:pPr>
            <w:r>
              <w:rPr>
                <w:rFonts w:ascii="宋体" w:hAnsi="宋体" w:cs="宋体" w:eastAsia="宋体" w:hint="default"/>
                <w:sz w:val="18"/>
                <w:szCs w:val="18"/>
              </w:rPr>
              <w:t>宜昌市金牛押运护卫保安服务有限责任 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宜昌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宜昌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80.00%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商洛市金盾押运有限责任公司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商洛</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商洛</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center"/>
              <w:rPr>
                <w:rFonts w:ascii="Times New Roman" w:hAnsi="Times New Roman" w:cs="Times New Roman" w:eastAsia="Times New Roman" w:hint="default"/>
                <w:sz w:val="18"/>
                <w:szCs w:val="18"/>
              </w:rPr>
            </w:pPr>
            <w:r>
              <w:rPr>
                <w:rFonts w:ascii="Times New Roman"/>
                <w:sz w:val="18"/>
              </w:rPr>
              <w:t>51.00%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武威市神威保安守押有限责任公司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武威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武威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 w:right="0"/>
              <w:jc w:val="center"/>
              <w:rPr>
                <w:rFonts w:ascii="Times New Roman" w:hAnsi="Times New Roman" w:cs="Times New Roman" w:eastAsia="Times New Roman" w:hint="default"/>
                <w:sz w:val="18"/>
                <w:szCs w:val="18"/>
              </w:rPr>
            </w:pPr>
            <w:r>
              <w:rPr>
                <w:rFonts w:ascii="Times New Roman"/>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邵阳市保安服务有限责任公司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邵阳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邵阳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 w:right="0"/>
              <w:jc w:val="center"/>
              <w:rPr>
                <w:rFonts w:ascii="Times New Roman" w:hAnsi="Times New Roman" w:cs="Times New Roman" w:eastAsia="Times New Roman" w:hint="default"/>
                <w:sz w:val="18"/>
                <w:szCs w:val="18"/>
              </w:rPr>
            </w:pPr>
            <w:r>
              <w:rPr>
                <w:rFonts w:ascii="Times New Roman"/>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2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兴安盟威信保安守押服务有限责任公司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兴安盟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兴安盟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center"/>
              <w:rPr>
                <w:rFonts w:ascii="Times New Roman" w:hAnsi="Times New Roman" w:cs="Times New Roman" w:eastAsia="Times New Roman" w:hint="default"/>
                <w:sz w:val="18"/>
                <w:szCs w:val="18"/>
              </w:rPr>
            </w:pPr>
            <w:r>
              <w:rPr>
                <w:rFonts w:ascii="Times New Roman"/>
                <w:sz w:val="18"/>
              </w:rPr>
              <w:t>51.00%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巴彦淖尔天力保押有限责任公司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巴彦淖尔</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巴彦淖尔</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center"/>
              <w:rPr>
                <w:rFonts w:ascii="Times New Roman" w:hAnsi="Times New Roman" w:cs="Times New Roman" w:eastAsia="Times New Roman" w:hint="default"/>
                <w:sz w:val="18"/>
                <w:szCs w:val="18"/>
              </w:rPr>
            </w:pPr>
            <w:r>
              <w:rPr>
                <w:rFonts w:ascii="Times New Roman"/>
                <w:sz w:val="18"/>
              </w:rPr>
              <w:t>51.00%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广东榕通科技服务有限公司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揭阳市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揭阳市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center"/>
              <w:rPr>
                <w:rFonts w:ascii="Times New Roman" w:hAnsi="Times New Roman" w:cs="Times New Roman" w:eastAsia="Times New Roman" w:hint="default"/>
                <w:sz w:val="18"/>
                <w:szCs w:val="18"/>
              </w:rPr>
            </w:pPr>
            <w:r>
              <w:rPr>
                <w:rFonts w:ascii="Times New Roman"/>
                <w:sz w:val="18"/>
              </w:rPr>
              <w:t>51.00%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4" w:right="1093"/>
              <w:jc w:val="left"/>
              <w:rPr>
                <w:rFonts w:ascii="Times New Roman" w:hAnsi="Times New Roman" w:cs="Times New Roman" w:eastAsia="Times New Roman" w:hint="default"/>
                <w:sz w:val="18"/>
                <w:szCs w:val="18"/>
              </w:rPr>
            </w:pPr>
            <w:r>
              <w:rPr>
                <w:rFonts w:ascii="Times New Roman"/>
                <w:sz w:val="18"/>
              </w:rPr>
              <w:t>GRG</w:t>
            </w:r>
            <w:r>
              <w:rPr>
                <w:rFonts w:ascii="Times New Roman"/>
                <w:spacing w:val="-4"/>
                <w:sz w:val="18"/>
              </w:rPr>
              <w:t> </w:t>
            </w:r>
            <w:r>
              <w:rPr>
                <w:rFonts w:ascii="Times New Roman"/>
                <w:sz w:val="18"/>
              </w:rPr>
              <w:t>Banking</w:t>
            </w:r>
            <w:r>
              <w:rPr>
                <w:rFonts w:ascii="Times New Roman"/>
                <w:sz w:val="18"/>
              </w:rPr>
              <w:t> Equipment(HK)Co.Limited</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商业及服务业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Global ATM Parts</w:t>
            </w:r>
            <w:r>
              <w:rPr>
                <w:rFonts w:ascii="Times New Roman"/>
                <w:spacing w:val="-13"/>
                <w:sz w:val="18"/>
              </w:rPr>
              <w:t> </w:t>
            </w:r>
            <w:r>
              <w:rPr>
                <w:rFonts w:ascii="Times New Roman"/>
                <w:sz w:val="18"/>
              </w:rPr>
              <w:t>Co.,Limited</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商业及服务业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 w:right="0"/>
              <w:jc w:val="center"/>
              <w:rPr>
                <w:rFonts w:ascii="Times New Roman" w:hAnsi="Times New Roman" w:cs="Times New Roman" w:eastAsia="Times New Roman" w:hint="default"/>
                <w:sz w:val="18"/>
                <w:szCs w:val="18"/>
              </w:rPr>
            </w:pPr>
            <w:r>
              <w:rPr>
                <w:rFonts w:ascii="Times New Roman"/>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GRG Hongkong</w:t>
            </w:r>
            <w:r>
              <w:rPr>
                <w:rFonts w:ascii="Times New Roman"/>
                <w:spacing w:val="-13"/>
                <w:sz w:val="18"/>
              </w:rPr>
              <w:t> </w:t>
            </w:r>
            <w:r>
              <w:rPr>
                <w:rFonts w:ascii="Times New Roman"/>
                <w:sz w:val="18"/>
              </w:rPr>
              <w:t>Mexico,S.A.DE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墨西哥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墨西哥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商业及服务业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 w:right="0"/>
              <w:jc w:val="center"/>
              <w:rPr>
                <w:rFonts w:ascii="Times New Roman" w:hAnsi="Times New Roman" w:cs="Times New Roman" w:eastAsia="Times New Roman" w:hint="default"/>
                <w:sz w:val="18"/>
                <w:szCs w:val="18"/>
              </w:rPr>
            </w:pPr>
            <w:r>
              <w:rPr>
                <w:rFonts w:ascii="Times New Roman"/>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sz w:val="18"/>
              </w:rPr>
              <w:t>GRG Turkiye Bankacilik Ekipmanlari</w:t>
            </w:r>
            <w:r>
              <w:rPr>
                <w:rFonts w:ascii="Times New Roman"/>
                <w:spacing w:val="-12"/>
                <w:sz w:val="18"/>
              </w:rPr>
              <w:t> </w:t>
            </w:r>
            <w:r>
              <w:rPr>
                <w:rFonts w:ascii="Times New Roman"/>
                <w:sz w:val="18"/>
              </w:rPr>
              <w:t>Ltd</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土耳其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土耳其</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商业及服务业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GRG Banking Equipment (HK)</w:t>
            </w:r>
            <w:r>
              <w:rPr>
                <w:rFonts w:ascii="Times New Roman"/>
                <w:spacing w:val="-8"/>
                <w:sz w:val="18"/>
              </w:rPr>
              <w:t> </w:t>
            </w:r>
            <w:r>
              <w:rPr>
                <w:rFonts w:ascii="Times New Roman"/>
                <w:sz w:val="18"/>
              </w:rPr>
              <w:t>Europe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立陶宛</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立陶宛</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商业及服务业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 w:right="0"/>
              <w:jc w:val="center"/>
              <w:rPr>
                <w:rFonts w:ascii="Times New Roman" w:hAnsi="Times New Roman" w:cs="Times New Roman" w:eastAsia="Times New Roman" w:hint="default"/>
                <w:sz w:val="18"/>
                <w:szCs w:val="18"/>
              </w:rPr>
            </w:pPr>
            <w:r>
              <w:rPr>
                <w:rFonts w:ascii="Times New Roman"/>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GRG Deutschland</w:t>
            </w:r>
            <w:r>
              <w:rPr>
                <w:rFonts w:ascii="Times New Roman"/>
                <w:spacing w:val="-9"/>
                <w:sz w:val="18"/>
              </w:rPr>
              <w:t> </w:t>
            </w:r>
            <w:r>
              <w:rPr>
                <w:rFonts w:ascii="Times New Roman"/>
                <w:sz w:val="18"/>
              </w:rPr>
              <w:t>GmbH</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商业及服务业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 w:right="0"/>
              <w:jc w:val="center"/>
              <w:rPr>
                <w:rFonts w:ascii="Times New Roman" w:hAnsi="Times New Roman" w:cs="Times New Roman" w:eastAsia="Times New Roman" w:hint="default"/>
                <w:sz w:val="18"/>
                <w:szCs w:val="18"/>
              </w:rPr>
            </w:pPr>
            <w:r>
              <w:rPr>
                <w:rFonts w:ascii="Times New Roman"/>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GRG Equipment (Singapore) Pte.</w:t>
            </w:r>
            <w:r>
              <w:rPr>
                <w:rFonts w:ascii="Times New Roman"/>
                <w:spacing w:val="-12"/>
                <w:sz w:val="18"/>
              </w:rPr>
              <w:t> </w:t>
            </w:r>
            <w:r>
              <w:rPr>
                <w:rFonts w:ascii="Times New Roman"/>
                <w:sz w:val="18"/>
              </w:rPr>
              <w:t>Ltd.</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商业及服务业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 w:right="0"/>
              <w:jc w:val="center"/>
              <w:rPr>
                <w:rFonts w:ascii="Times New Roman" w:hAnsi="Times New Roman" w:cs="Times New Roman" w:eastAsia="Times New Roman" w:hint="default"/>
                <w:sz w:val="18"/>
                <w:szCs w:val="18"/>
              </w:rPr>
            </w:pPr>
            <w:r>
              <w:rPr>
                <w:rFonts w:ascii="Times New Roman"/>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GRG AMERICA</w:t>
            </w:r>
            <w:r>
              <w:rPr>
                <w:rFonts w:ascii="Times New Roman"/>
                <w:spacing w:val="-6"/>
                <w:sz w:val="18"/>
              </w:rPr>
              <w:t> </w:t>
            </w:r>
            <w:r>
              <w:rPr>
                <w:rFonts w:ascii="Times New Roman"/>
                <w:sz w:val="18"/>
              </w:rPr>
              <w:t>INC.</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商业及服务业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 w:right="0"/>
              <w:jc w:val="center"/>
              <w:rPr>
                <w:rFonts w:ascii="Times New Roman" w:hAnsi="Times New Roman" w:cs="Times New Roman" w:eastAsia="Times New Roman" w:hint="default"/>
                <w:sz w:val="18"/>
                <w:szCs w:val="18"/>
              </w:rPr>
            </w:pPr>
            <w:r>
              <w:rPr>
                <w:rFonts w:ascii="Times New Roman"/>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GRGBanking</w:t>
            </w:r>
            <w:r>
              <w:rPr>
                <w:rFonts w:ascii="Times New Roman"/>
                <w:spacing w:val="-7"/>
                <w:sz w:val="18"/>
              </w:rPr>
              <w:t> </w:t>
            </w:r>
            <w:r>
              <w:rPr>
                <w:rFonts w:ascii="Times New Roman"/>
                <w:sz w:val="18"/>
              </w:rPr>
              <w:t>LLC.</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俄罗斯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俄罗斯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商业及服务业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 w:right="0"/>
              <w:jc w:val="center"/>
              <w:rPr>
                <w:rFonts w:ascii="Times New Roman" w:hAnsi="Times New Roman" w:cs="Times New Roman" w:eastAsia="Times New Roman" w:hint="default"/>
                <w:sz w:val="18"/>
                <w:szCs w:val="18"/>
              </w:rPr>
            </w:pPr>
            <w:r>
              <w:rPr>
                <w:rFonts w:ascii="Times New Roman"/>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5"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广电运通国际商贸（广州）有限公司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商业及服务业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center"/>
              <w:rPr>
                <w:rFonts w:ascii="Times New Roman" w:hAnsi="Times New Roman" w:cs="Times New Roman" w:eastAsia="Times New Roman" w:hint="default"/>
                <w:sz w:val="18"/>
                <w:szCs w:val="18"/>
              </w:rPr>
            </w:pPr>
            <w:r>
              <w:rPr>
                <w:rFonts w:ascii="Times New Roman"/>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深圳市创自技术有限公司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70.00%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深圳市创自软件有限公司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center"/>
              <w:rPr>
                <w:rFonts w:ascii="Times New Roman" w:hAnsi="Times New Roman" w:cs="Times New Roman" w:eastAsia="Times New Roman" w:hint="default"/>
                <w:sz w:val="18"/>
                <w:szCs w:val="18"/>
              </w:rPr>
            </w:pPr>
            <w:r>
              <w:rPr>
                <w:rFonts w:ascii="Times New Roman"/>
                <w:sz w:val="18"/>
              </w:rPr>
              <w:t>70.00%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广州广电运通智能科技有限公司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通辽市威远护卫有限责任公司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通辽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通辽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center"/>
              <w:rPr>
                <w:rFonts w:ascii="Times New Roman" w:hAnsi="Times New Roman" w:cs="Times New Roman" w:eastAsia="Times New Roman" w:hint="default"/>
                <w:sz w:val="18"/>
                <w:szCs w:val="18"/>
              </w:rPr>
            </w:pPr>
            <w:r>
              <w:rPr>
                <w:rFonts w:ascii="Times New Roman"/>
                <w:sz w:val="18"/>
              </w:rPr>
              <w:t>51.00%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商洛市慧金清分服务有限公司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商洛</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商洛</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center"/>
              <w:rPr>
                <w:rFonts w:ascii="Times New Roman" w:hAnsi="Times New Roman" w:cs="Times New Roman" w:eastAsia="Times New Roman" w:hint="default"/>
                <w:sz w:val="18"/>
                <w:szCs w:val="18"/>
              </w:rPr>
            </w:pPr>
            <w:r>
              <w:rPr>
                <w:rFonts w:ascii="Times New Roman"/>
                <w:sz w:val="18"/>
              </w:rPr>
              <w:t>26.01%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西安金盾押运有限公司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center"/>
              <w:rPr>
                <w:rFonts w:ascii="Times New Roman" w:hAnsi="Times New Roman" w:cs="Times New Roman" w:eastAsia="Times New Roman" w:hint="default"/>
                <w:sz w:val="18"/>
                <w:szCs w:val="18"/>
              </w:rPr>
            </w:pPr>
            <w:r>
              <w:rPr>
                <w:rFonts w:ascii="Times New Roman"/>
                <w:sz w:val="18"/>
              </w:rPr>
              <w:t>60.00%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海南警锐押运护卫有限公司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儋州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儋州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center"/>
              <w:rPr>
                <w:rFonts w:ascii="Times New Roman" w:hAnsi="Times New Roman" w:cs="Times New Roman" w:eastAsia="Times New Roman" w:hint="default"/>
                <w:sz w:val="18"/>
                <w:szCs w:val="18"/>
              </w:rPr>
            </w:pPr>
            <w:r>
              <w:rPr>
                <w:rFonts w:ascii="Times New Roman"/>
                <w:sz w:val="18"/>
              </w:rPr>
              <w:t>51.00%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榆林市神鹰护卫有限责任公司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榆林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榆林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center"/>
              <w:rPr>
                <w:rFonts w:ascii="Times New Roman" w:hAnsi="Times New Roman" w:cs="Times New Roman" w:eastAsia="Times New Roman" w:hint="default"/>
                <w:sz w:val="18"/>
                <w:szCs w:val="18"/>
              </w:rPr>
            </w:pPr>
            <w:r>
              <w:rPr>
                <w:rFonts w:ascii="Times New Roman"/>
                <w:sz w:val="18"/>
              </w:rPr>
              <w:t>55.00%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新余市保安服务有限公司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新余</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新余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center"/>
              <w:rPr>
                <w:rFonts w:ascii="Times New Roman" w:hAnsi="Times New Roman" w:cs="Times New Roman" w:eastAsia="Times New Roman" w:hint="default"/>
                <w:sz w:val="18"/>
                <w:szCs w:val="18"/>
              </w:rPr>
            </w:pPr>
            <w:r>
              <w:rPr>
                <w:rFonts w:ascii="Times New Roman"/>
                <w:sz w:val="18"/>
              </w:rPr>
              <w:t>90.00%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文山州金盾保安守护押运有限责任公司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文山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文山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center"/>
              <w:rPr>
                <w:rFonts w:ascii="Times New Roman" w:hAnsi="Times New Roman" w:cs="Times New Roman" w:eastAsia="Times New Roman" w:hint="default"/>
                <w:sz w:val="18"/>
                <w:szCs w:val="18"/>
              </w:rPr>
            </w:pPr>
            <w:r>
              <w:rPr>
                <w:rFonts w:ascii="Times New Roman"/>
                <w:sz w:val="18"/>
              </w:rPr>
              <w:t>49.00%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巴州阿帕奇保安有限责任公司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巴州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巴州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center"/>
              <w:rPr>
                <w:rFonts w:ascii="Times New Roman" w:hAnsi="Times New Roman" w:cs="Times New Roman" w:eastAsia="Times New Roman" w:hint="default"/>
                <w:sz w:val="18"/>
                <w:szCs w:val="18"/>
              </w:rPr>
            </w:pPr>
            <w:r>
              <w:rPr>
                <w:rFonts w:ascii="Times New Roman"/>
                <w:sz w:val="18"/>
              </w:rPr>
              <w:t>80.00%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2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新疆阿帕奇武装守护押运有限公司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巴州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巴州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center"/>
              <w:rPr>
                <w:rFonts w:ascii="Times New Roman" w:hAnsi="Times New Roman" w:cs="Times New Roman" w:eastAsia="Times New Roman" w:hint="default"/>
                <w:sz w:val="18"/>
                <w:szCs w:val="18"/>
              </w:rPr>
            </w:pPr>
            <w:r>
              <w:rPr>
                <w:rFonts w:ascii="Times New Roman"/>
                <w:sz w:val="18"/>
              </w:rPr>
              <w:t>80.00%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121"/>
        <w:gridCol w:w="991"/>
        <w:gridCol w:w="1133"/>
        <w:gridCol w:w="1277"/>
        <w:gridCol w:w="710"/>
        <w:gridCol w:w="709"/>
        <w:gridCol w:w="1632"/>
      </w:tblGrid>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黔南州蓝盾武装护运有限责任公司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黔南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黔南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center"/>
              <w:rPr>
                <w:rFonts w:ascii="Times New Roman" w:hAnsi="Times New Roman" w:cs="Times New Roman" w:eastAsia="Times New Roman" w:hint="default"/>
                <w:sz w:val="18"/>
                <w:szCs w:val="18"/>
              </w:rPr>
            </w:pPr>
            <w:r>
              <w:rPr>
                <w:rFonts w:ascii="Times New Roman"/>
                <w:sz w:val="18"/>
              </w:rPr>
              <w:t>51.00%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资阳保安有限责任公司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资阳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资阳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center"/>
              <w:rPr>
                <w:rFonts w:ascii="Times New Roman" w:hAnsi="Times New Roman" w:cs="Times New Roman" w:eastAsia="Times New Roman" w:hint="default"/>
                <w:sz w:val="18"/>
                <w:szCs w:val="18"/>
              </w:rPr>
            </w:pPr>
            <w:r>
              <w:rPr>
                <w:rFonts w:ascii="Times New Roman"/>
                <w:sz w:val="18"/>
              </w:rPr>
              <w:t>51.00%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资阳市卓越人力资源服务有限公司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资阳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资阳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center"/>
              <w:rPr>
                <w:rFonts w:ascii="Times New Roman" w:hAnsi="Times New Roman" w:cs="Times New Roman" w:eastAsia="Times New Roman" w:hint="default"/>
                <w:sz w:val="18"/>
                <w:szCs w:val="18"/>
              </w:rPr>
            </w:pPr>
            <w:r>
              <w:rPr>
                <w:rFonts w:ascii="Times New Roman"/>
                <w:sz w:val="18"/>
              </w:rPr>
              <w:t>51.00%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2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平顶山鹰翔保安押运有限公司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平顶山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平顶山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center"/>
              <w:rPr>
                <w:rFonts w:ascii="Times New Roman" w:hAnsi="Times New Roman" w:cs="Times New Roman" w:eastAsia="Times New Roman" w:hint="default"/>
                <w:sz w:val="18"/>
                <w:szCs w:val="18"/>
              </w:rPr>
            </w:pPr>
            <w:r>
              <w:rPr>
                <w:rFonts w:ascii="Times New Roman"/>
                <w:sz w:val="18"/>
              </w:rPr>
              <w:t>60.00%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江苏汇通金融数据股份有限公司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昆山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昆山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center"/>
              <w:rPr>
                <w:rFonts w:ascii="Times New Roman" w:hAnsi="Times New Roman" w:cs="Times New Roman" w:eastAsia="Times New Roman" w:hint="default"/>
                <w:sz w:val="18"/>
                <w:szCs w:val="18"/>
              </w:rPr>
            </w:pPr>
            <w:r>
              <w:rPr>
                <w:rFonts w:ascii="Times New Roman"/>
                <w:sz w:val="18"/>
              </w:rPr>
              <w:t>51.00%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安徽汇通金融数据服务有限公司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蚌埠</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蚌埠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center"/>
              <w:rPr>
                <w:rFonts w:ascii="Times New Roman" w:hAnsi="Times New Roman" w:cs="Times New Roman" w:eastAsia="Times New Roman" w:hint="default"/>
                <w:sz w:val="18"/>
                <w:szCs w:val="18"/>
              </w:rPr>
            </w:pPr>
            <w:r>
              <w:rPr>
                <w:rFonts w:ascii="Times New Roman"/>
                <w:sz w:val="18"/>
              </w:rPr>
              <w:t>45.90%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江苏汇锦利通信息科技有限公司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昆山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昆山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center"/>
              <w:rPr>
                <w:rFonts w:ascii="Times New Roman" w:hAnsi="Times New Roman" w:cs="Times New Roman" w:eastAsia="Times New Roman" w:hint="default"/>
                <w:sz w:val="18"/>
                <w:szCs w:val="18"/>
              </w:rPr>
            </w:pPr>
            <w:r>
              <w:rPr>
                <w:rFonts w:ascii="Times New Roman"/>
                <w:sz w:val="18"/>
              </w:rPr>
              <w:t>26.01%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黄石金通智慧金融外包服务有限公司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黄石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黄石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center"/>
              <w:rPr>
                <w:rFonts w:ascii="Times New Roman" w:hAnsi="Times New Roman" w:cs="Times New Roman" w:eastAsia="Times New Roman" w:hint="default"/>
                <w:sz w:val="18"/>
                <w:szCs w:val="18"/>
              </w:rPr>
            </w:pPr>
            <w:r>
              <w:rPr>
                <w:rFonts w:ascii="Times New Roman"/>
                <w:sz w:val="18"/>
              </w:rPr>
              <w:t>56.00%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广州平云小匠科技有限公司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center"/>
              <w:rPr>
                <w:rFonts w:ascii="Times New Roman" w:hAnsi="Times New Roman" w:cs="Times New Roman" w:eastAsia="Times New Roman" w:hint="default"/>
                <w:sz w:val="18"/>
                <w:szCs w:val="18"/>
              </w:rPr>
            </w:pPr>
            <w:r>
              <w:rPr>
                <w:rFonts w:ascii="Times New Roman"/>
                <w:sz w:val="18"/>
              </w:rPr>
              <w:t>70.00%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成都平云小匠网络有限公司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center"/>
              <w:rPr>
                <w:rFonts w:ascii="Times New Roman" w:hAnsi="Times New Roman" w:cs="Times New Roman" w:eastAsia="Times New Roman" w:hint="default"/>
                <w:sz w:val="18"/>
                <w:szCs w:val="18"/>
              </w:rPr>
            </w:pPr>
            <w:r>
              <w:rPr>
                <w:rFonts w:ascii="Times New Roman"/>
                <w:sz w:val="18"/>
              </w:rPr>
              <w:t>35.70%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湖北银通卓越科技服务有限公司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center"/>
              <w:rPr>
                <w:rFonts w:ascii="Times New Roman" w:hAnsi="Times New Roman" w:cs="Times New Roman" w:eastAsia="Times New Roman" w:hint="default"/>
                <w:sz w:val="18"/>
                <w:szCs w:val="18"/>
              </w:rPr>
            </w:pPr>
            <w:r>
              <w:rPr>
                <w:rFonts w:ascii="Times New Roman"/>
                <w:sz w:val="18"/>
              </w:rPr>
              <w:t>51.00%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保山安邦武装守护押运有限责任公司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保山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保山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center"/>
              <w:rPr>
                <w:rFonts w:ascii="Times New Roman" w:hAnsi="Times New Roman" w:cs="Times New Roman" w:eastAsia="Times New Roman" w:hint="default"/>
                <w:sz w:val="18"/>
                <w:szCs w:val="18"/>
              </w:rPr>
            </w:pPr>
            <w:r>
              <w:rPr>
                <w:rFonts w:ascii="Times New Roman"/>
                <w:sz w:val="18"/>
              </w:rPr>
              <w:t>49.00%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鹤壁市鹏翔保安服务有限公司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鹤壁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鹤壁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center"/>
              <w:rPr>
                <w:rFonts w:ascii="Times New Roman" w:hAnsi="Times New Roman" w:cs="Times New Roman" w:eastAsia="Times New Roman" w:hint="default"/>
                <w:sz w:val="18"/>
                <w:szCs w:val="18"/>
              </w:rPr>
            </w:pPr>
            <w:r>
              <w:rPr>
                <w:rFonts w:ascii="Times New Roman"/>
                <w:sz w:val="18"/>
              </w:rPr>
              <w:t>60.00%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黄石市金安押运护卫保安服务有限公司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黄石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黄石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center"/>
              <w:rPr>
                <w:rFonts w:ascii="Times New Roman" w:hAnsi="Times New Roman" w:cs="Times New Roman" w:eastAsia="Times New Roman" w:hint="default"/>
                <w:sz w:val="18"/>
                <w:szCs w:val="18"/>
              </w:rPr>
            </w:pPr>
            <w:r>
              <w:rPr>
                <w:rFonts w:ascii="Times New Roman"/>
                <w:sz w:val="18"/>
              </w:rPr>
              <w:t>56.00%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益阳市保安服务有限责任公司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益阳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益阳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 w:right="0"/>
              <w:jc w:val="center"/>
              <w:rPr>
                <w:rFonts w:ascii="Times New Roman" w:hAnsi="Times New Roman" w:cs="Times New Roman" w:eastAsia="Times New Roman" w:hint="default"/>
                <w:sz w:val="18"/>
                <w:szCs w:val="18"/>
              </w:rPr>
            </w:pPr>
            <w:r>
              <w:rPr>
                <w:rFonts w:ascii="Times New Roman"/>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2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新余市景运科技有限公司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新余</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新余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center"/>
              <w:rPr>
                <w:rFonts w:ascii="Times New Roman" w:hAnsi="Times New Roman" w:cs="Times New Roman" w:eastAsia="Times New Roman" w:hint="default"/>
                <w:sz w:val="18"/>
                <w:szCs w:val="18"/>
              </w:rPr>
            </w:pPr>
            <w:r>
              <w:rPr>
                <w:rFonts w:ascii="Times New Roman"/>
                <w:sz w:val="18"/>
              </w:rPr>
              <w:t>90.00%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南县保安服务有限责任公司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南县</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南县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 w:right="0"/>
              <w:jc w:val="center"/>
              <w:rPr>
                <w:rFonts w:ascii="Times New Roman" w:hAnsi="Times New Roman" w:cs="Times New Roman" w:eastAsia="Times New Roman" w:hint="default"/>
                <w:sz w:val="18"/>
                <w:szCs w:val="18"/>
              </w:rPr>
            </w:pPr>
            <w:r>
              <w:rPr>
                <w:rFonts w:ascii="Times New Roman"/>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广州运通购快科技有限公司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center"/>
              <w:rPr>
                <w:rFonts w:ascii="Times New Roman" w:hAnsi="Times New Roman" w:cs="Times New Roman" w:eastAsia="Times New Roman" w:hint="default"/>
                <w:sz w:val="18"/>
                <w:szCs w:val="18"/>
              </w:rPr>
            </w:pPr>
            <w:r>
              <w:rPr>
                <w:rFonts w:ascii="Times New Roman"/>
                <w:sz w:val="18"/>
              </w:rPr>
              <w:t>70.00%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湖北融信押运保安服务有限公司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center"/>
              <w:rPr>
                <w:rFonts w:ascii="Times New Roman" w:hAnsi="Times New Roman" w:cs="Times New Roman" w:eastAsia="Times New Roman" w:hint="default"/>
                <w:sz w:val="18"/>
                <w:szCs w:val="18"/>
              </w:rPr>
            </w:pPr>
            <w:r>
              <w:rPr>
                <w:rFonts w:ascii="Times New Roman"/>
                <w:sz w:val="18"/>
              </w:rPr>
              <w:t>75.99%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锡林郭勒盟金盾保安服务有限公司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锡林郭勒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锡林郭勒</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 w:right="0"/>
              <w:jc w:val="center"/>
              <w:rPr>
                <w:rFonts w:ascii="Times New Roman" w:hAnsi="Times New Roman" w:cs="Times New Roman" w:eastAsia="Times New Roman" w:hint="default"/>
                <w:sz w:val="18"/>
                <w:szCs w:val="18"/>
              </w:rPr>
            </w:pPr>
            <w:r>
              <w:rPr>
                <w:rFonts w:ascii="Times New Roman"/>
                <w:sz w:val="18"/>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锡林郭勒盟金盾押运服务有限公司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锡林郭勒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锡林郭勒</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center"/>
              <w:rPr>
                <w:rFonts w:ascii="Times New Roman" w:hAnsi="Times New Roman" w:cs="Times New Roman" w:eastAsia="Times New Roman" w:hint="default"/>
                <w:sz w:val="18"/>
                <w:szCs w:val="18"/>
              </w:rPr>
            </w:pPr>
            <w:r>
              <w:rPr>
                <w:rFonts w:ascii="Times New Roman"/>
                <w:sz w:val="18"/>
              </w:rPr>
              <w:t>51.00%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2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锡林郭勒盟安逸物业服务有限责任公司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锡林郭勒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锡林郭勒</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center"/>
              <w:rPr>
                <w:rFonts w:ascii="Times New Roman" w:hAnsi="Times New Roman" w:cs="Times New Roman" w:eastAsia="Times New Roman" w:hint="default"/>
                <w:sz w:val="18"/>
                <w:szCs w:val="18"/>
              </w:rPr>
            </w:pPr>
            <w:r>
              <w:rPr>
                <w:rFonts w:ascii="Times New Roman"/>
                <w:sz w:val="18"/>
              </w:rPr>
              <w:t>51.00%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深圳市信义科技有限公司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center"/>
              <w:rPr>
                <w:rFonts w:ascii="Times New Roman" w:hAnsi="Times New Roman" w:cs="Times New Roman" w:eastAsia="Times New Roman" w:hint="default"/>
                <w:sz w:val="18"/>
                <w:szCs w:val="18"/>
              </w:rPr>
            </w:pPr>
            <w:r>
              <w:rPr>
                <w:rFonts w:ascii="Times New Roman"/>
                <w:sz w:val="18"/>
              </w:rPr>
              <w:t>85.00%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深圳市深安信信息技术有限公司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center"/>
              <w:rPr>
                <w:rFonts w:ascii="Times New Roman" w:hAnsi="Times New Roman" w:cs="Times New Roman" w:eastAsia="Times New Roman" w:hint="default"/>
                <w:sz w:val="18"/>
                <w:szCs w:val="18"/>
              </w:rPr>
            </w:pPr>
            <w:r>
              <w:rPr>
                <w:rFonts w:ascii="Times New Roman"/>
                <w:sz w:val="18"/>
              </w:rPr>
              <w:t>85.00%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北京中科江南信息技术股份有限公司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center"/>
              <w:rPr>
                <w:rFonts w:ascii="Times New Roman" w:hAnsi="Times New Roman" w:cs="Times New Roman" w:eastAsia="Times New Roman" w:hint="default"/>
                <w:sz w:val="18"/>
                <w:szCs w:val="18"/>
              </w:rPr>
            </w:pPr>
            <w:r>
              <w:rPr>
                <w:rFonts w:ascii="Times New Roman"/>
                <w:sz w:val="18"/>
              </w:rPr>
              <w:t>46.00%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云南云财科技技术有限公司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center"/>
              <w:rPr>
                <w:rFonts w:ascii="Times New Roman" w:hAnsi="Times New Roman" w:cs="Times New Roman" w:eastAsia="Times New Roman" w:hint="default"/>
                <w:sz w:val="18"/>
                <w:szCs w:val="18"/>
              </w:rPr>
            </w:pPr>
            <w:r>
              <w:rPr>
                <w:rFonts w:ascii="Times New Roman"/>
                <w:sz w:val="18"/>
              </w:rPr>
              <w:t>32.20%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北京中科江南政易信息技术有限公司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center"/>
              <w:rPr>
                <w:rFonts w:ascii="Times New Roman" w:hAnsi="Times New Roman" w:cs="Times New Roman" w:eastAsia="Times New Roman" w:hint="default"/>
                <w:sz w:val="18"/>
                <w:szCs w:val="18"/>
              </w:rPr>
            </w:pPr>
            <w:r>
              <w:rPr>
                <w:rFonts w:ascii="Times New Roman"/>
                <w:sz w:val="18"/>
              </w:rPr>
              <w:t>32.20%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32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石家庄翰海信息技术有限公司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center"/>
              <w:rPr>
                <w:rFonts w:ascii="Times New Roman" w:hAnsi="Times New Roman" w:cs="Times New Roman" w:eastAsia="Times New Roman" w:hint="default"/>
                <w:sz w:val="18"/>
                <w:szCs w:val="18"/>
              </w:rPr>
            </w:pPr>
            <w:r>
              <w:rPr>
                <w:rFonts w:ascii="Times New Roman"/>
                <w:sz w:val="18"/>
              </w:rPr>
              <w:t>46.00%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3"/>
          <w:szCs w:val="23"/>
        </w:rPr>
      </w:pPr>
    </w:p>
    <w:p>
      <w:pPr>
        <w:pStyle w:val="Heading4"/>
        <w:spacing w:line="240" w:lineRule="auto" w:before="37"/>
        <w:ind w:right="1034"/>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pStyle w:val="BodyText"/>
        <w:spacing w:line="240" w:lineRule="auto" w:before="128"/>
        <w:ind w:left="0" w:right="1131"/>
        <w:jc w:val="right"/>
      </w:pPr>
      <w:r>
        <w:rPr/>
        <w:t>单位：</w:t>
      </w:r>
      <w:r>
        <w:rPr>
          <w:spacing w:val="1"/>
        </w:rPr>
        <w:t> </w:t>
      </w:r>
      <w:r>
        <w:rPr/>
        <w:t>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261"/>
        <w:gridCol w:w="1558"/>
        <w:gridCol w:w="1844"/>
        <w:gridCol w:w="1561"/>
        <w:gridCol w:w="1349"/>
      </w:tblGrid>
      <w:tr>
        <w:trPr>
          <w:trHeight w:val="955"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648" w:right="105" w:hanging="541"/>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235" w:right="53" w:hanging="180"/>
              <w:jc w:val="left"/>
              <w:rPr>
                <w:rFonts w:ascii="宋体" w:hAnsi="宋体" w:cs="宋体" w:eastAsia="宋体" w:hint="default"/>
                <w:sz w:val="18"/>
                <w:szCs w:val="18"/>
              </w:rPr>
            </w:pPr>
            <w:r>
              <w:rPr>
                <w:rFonts w:ascii="宋体" w:hAnsi="宋体" w:cs="宋体" w:eastAsia="宋体" w:hint="default"/>
                <w:sz w:val="18"/>
                <w:szCs w:val="18"/>
              </w:rPr>
              <w:t>本期向少数股东宣 告分派的股利</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398" w:right="38" w:hanging="360"/>
              <w:jc w:val="left"/>
              <w:rPr>
                <w:rFonts w:ascii="宋体" w:hAnsi="宋体" w:cs="宋体" w:eastAsia="宋体" w:hint="default"/>
                <w:sz w:val="18"/>
                <w:szCs w:val="18"/>
              </w:rPr>
            </w:pPr>
            <w:r>
              <w:rPr>
                <w:rFonts w:ascii="宋体" w:hAnsi="宋体" w:cs="宋体" w:eastAsia="宋体" w:hint="default"/>
                <w:sz w:val="18"/>
                <w:szCs w:val="18"/>
              </w:rPr>
              <w:t>期末少数股东权 益余额</w:t>
            </w:r>
          </w:p>
        </w:tc>
      </w:tr>
      <w:tr>
        <w:trPr>
          <w:trHeight w:val="322" w:hRule="exact"/>
        </w:trPr>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北京中科江南信息技术股份有限公司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54.00%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77" w:right="0"/>
              <w:jc w:val="left"/>
              <w:rPr>
                <w:rFonts w:ascii="Times New Roman" w:hAnsi="Times New Roman" w:cs="Times New Roman" w:eastAsia="Times New Roman" w:hint="default"/>
                <w:sz w:val="18"/>
                <w:szCs w:val="18"/>
              </w:rPr>
            </w:pPr>
            <w:r>
              <w:rPr>
                <w:rFonts w:ascii="Times New Roman"/>
                <w:sz w:val="18"/>
              </w:rPr>
              <w:t>31,416,276.19</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89" w:right="0"/>
              <w:jc w:val="left"/>
              <w:rPr>
                <w:rFonts w:ascii="Times New Roman" w:hAnsi="Times New Roman" w:cs="Times New Roman" w:eastAsia="Times New Roman" w:hint="default"/>
                <w:sz w:val="18"/>
                <w:szCs w:val="18"/>
              </w:rPr>
            </w:pPr>
            <w:r>
              <w:rPr>
                <w:rFonts w:ascii="Times New Roman"/>
                <w:sz w:val="18"/>
              </w:rPr>
              <w:t>139,223,277.55</w:t>
            </w:r>
          </w:p>
        </w:tc>
      </w:tr>
    </w:tbl>
    <w:p>
      <w:pPr>
        <w:pStyle w:val="Heading4"/>
        <w:spacing w:line="240" w:lineRule="auto" w:before="71"/>
        <w:ind w:right="1034"/>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pStyle w:val="BodyText"/>
        <w:spacing w:line="240" w:lineRule="auto" w:before="128"/>
        <w:ind w:left="0" w:right="1131"/>
        <w:jc w:val="right"/>
      </w:pPr>
      <w:r>
        <w:rPr/>
        <w:t>单位：</w:t>
      </w:r>
      <w:r>
        <w:rPr>
          <w:spacing w:val="1"/>
        </w:rPr>
        <w:t> </w:t>
      </w:r>
      <w:r>
        <w:rPr/>
        <w:t>元</w:t>
      </w:r>
    </w:p>
    <w:p>
      <w:pPr>
        <w:spacing w:line="240" w:lineRule="auto" w:before="4"/>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323"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3"/>
                <w:szCs w:val="13"/>
              </w:rPr>
            </w:pPr>
          </w:p>
          <w:p>
            <w:pPr>
              <w:pStyle w:val="TableParagraph"/>
              <w:spacing w:line="316" w:lineRule="auto"/>
              <w:ind w:left="182"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634"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63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61"/>
              <w:jc w:val="left"/>
              <w:rPr>
                <w:rFonts w:ascii="宋体" w:hAnsi="宋体" w:cs="宋体" w:eastAsia="宋体" w:hint="default"/>
                <w:sz w:val="18"/>
                <w:szCs w:val="18"/>
              </w:rPr>
            </w:pPr>
            <w:r>
              <w:rPr>
                <w:rFonts w:ascii="宋体" w:hAnsi="宋体" w:cs="宋体" w:eastAsia="宋体" w:hint="default"/>
                <w:sz w:val="18"/>
                <w:szCs w:val="18"/>
              </w:rPr>
              <w:t>北京中 科江南</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1" w:right="0"/>
              <w:jc w:val="center"/>
              <w:rPr>
                <w:rFonts w:ascii="Times New Roman" w:hAnsi="Times New Roman" w:cs="Times New Roman" w:eastAsia="Times New Roman" w:hint="default"/>
                <w:sz w:val="18"/>
                <w:szCs w:val="18"/>
              </w:rPr>
            </w:pPr>
            <w:r>
              <w:rPr>
                <w:rFonts w:ascii="Times New Roman"/>
                <w:sz w:val="18"/>
              </w:rPr>
              <w:t>526,130,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261.94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1" w:right="0"/>
              <w:jc w:val="left"/>
              <w:rPr>
                <w:rFonts w:ascii="Times New Roman" w:hAnsi="Times New Roman" w:cs="Times New Roman" w:eastAsia="Times New Roman" w:hint="default"/>
                <w:sz w:val="18"/>
                <w:szCs w:val="18"/>
              </w:rPr>
            </w:pPr>
            <w:r>
              <w:rPr>
                <w:rFonts w:ascii="Times New Roman"/>
                <w:sz w:val="18"/>
              </w:rPr>
              <w:t>11,695,2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50.39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8" w:right="0"/>
              <w:jc w:val="center"/>
              <w:rPr>
                <w:rFonts w:ascii="Times New Roman" w:hAnsi="Times New Roman" w:cs="Times New Roman" w:eastAsia="Times New Roman" w:hint="default"/>
                <w:sz w:val="18"/>
                <w:szCs w:val="18"/>
              </w:rPr>
            </w:pPr>
            <w:r>
              <w:rPr>
                <w:rFonts w:ascii="Times New Roman"/>
                <w:sz w:val="18"/>
              </w:rPr>
              <w:t>537,825,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512.33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1" w:right="0"/>
              <w:jc w:val="center"/>
              <w:rPr>
                <w:rFonts w:ascii="Times New Roman" w:hAnsi="Times New Roman" w:cs="Times New Roman" w:eastAsia="Times New Roman" w:hint="default"/>
                <w:sz w:val="18"/>
                <w:szCs w:val="18"/>
              </w:rPr>
            </w:pPr>
            <w:r>
              <w:rPr>
                <w:rFonts w:ascii="Times New Roman"/>
                <w:sz w:val="18"/>
              </w:rPr>
              <w:t>282,970,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628.93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1" w:right="0"/>
              <w:jc w:val="center"/>
              <w:rPr>
                <w:rFonts w:ascii="Times New Roman" w:hAnsi="Times New Roman" w:cs="Times New Roman" w:eastAsia="Times New Roman" w:hint="default"/>
                <w:sz w:val="18"/>
                <w:szCs w:val="18"/>
              </w:rPr>
            </w:pPr>
            <w:r>
              <w:rPr>
                <w:rFonts w:ascii="Times New Roman"/>
                <w:sz w:val="18"/>
              </w:rPr>
              <w:t>282,970,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628.93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1258"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61"/>
              <w:jc w:val="both"/>
              <w:rPr>
                <w:rFonts w:ascii="宋体" w:hAnsi="宋体" w:cs="宋体" w:eastAsia="宋体" w:hint="default"/>
                <w:sz w:val="18"/>
                <w:szCs w:val="18"/>
              </w:rPr>
            </w:pPr>
            <w:r>
              <w:rPr>
                <w:rFonts w:ascii="宋体" w:hAnsi="宋体" w:cs="宋体" w:eastAsia="宋体" w:hint="default"/>
                <w:sz w:val="18"/>
                <w:szCs w:val="18"/>
              </w:rPr>
              <w:t>信息技 术股份 有限公 司</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7"/>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79"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947"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综合收益总</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经营活动现</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综合收益总</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 w:right="0"/>
              <w:jc w:val="center"/>
              <w:rPr>
                <w:rFonts w:ascii="宋体" w:hAnsi="宋体" w:cs="宋体" w:eastAsia="宋体" w:hint="default"/>
                <w:sz w:val="18"/>
                <w:szCs w:val="18"/>
              </w:rPr>
            </w:pPr>
            <w:r>
              <w:rPr>
                <w:rFonts w:ascii="宋体" w:hAnsi="宋体" w:cs="宋体" w:eastAsia="宋体" w:hint="default"/>
                <w:sz w:val="18"/>
                <w:szCs w:val="18"/>
              </w:rPr>
              <w:t>经营活动现</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金流量</w:t>
            </w:r>
          </w:p>
        </w:tc>
      </w:tr>
      <w:tr>
        <w:trPr>
          <w:trHeight w:val="188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4" w:right="125"/>
              <w:jc w:val="both"/>
              <w:rPr>
                <w:rFonts w:ascii="宋体" w:hAnsi="宋体" w:cs="宋体" w:eastAsia="宋体" w:hint="default"/>
                <w:sz w:val="18"/>
                <w:szCs w:val="18"/>
              </w:rPr>
            </w:pPr>
            <w:r>
              <w:rPr>
                <w:rFonts w:ascii="宋体" w:hAnsi="宋体" w:cs="宋体" w:eastAsia="宋体" w:hint="default"/>
                <w:sz w:val="18"/>
                <w:szCs w:val="18"/>
              </w:rPr>
              <w:t>北京中科江 南信息技术 股份有限公</w:t>
            </w:r>
          </w:p>
          <w:p>
            <w:pPr>
              <w:pStyle w:val="TableParagraph"/>
              <w:spacing w:line="240" w:lineRule="auto" w:before="54"/>
              <w:ind w:left="24" w:right="0"/>
              <w:jc w:val="both"/>
              <w:rPr>
                <w:rFonts w:ascii="宋体" w:hAnsi="宋体" w:cs="宋体" w:eastAsia="宋体" w:hint="default"/>
                <w:sz w:val="18"/>
                <w:szCs w:val="18"/>
              </w:rPr>
            </w:pPr>
            <w:r>
              <w:rPr>
                <w:rFonts w:ascii="宋体" w:hAnsi="宋体" w:cs="宋体" w:eastAsia="宋体" w:hint="default"/>
                <w:sz w:val="18"/>
                <w:szCs w:val="18"/>
              </w:rPr>
              <w:t>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241,504,289.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56,603,796.0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56,603,796.0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205,314,584.</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Heading4"/>
        <w:spacing w:line="240" w:lineRule="auto" w:before="71"/>
        <w:ind w:right="1034"/>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
        <w:rPr>
          <w:rFonts w:ascii="宋体" w:hAnsi="宋体" w:cs="宋体" w:eastAsia="宋体" w:hint="default"/>
          <w:b/>
          <w:bCs/>
          <w:sz w:val="14"/>
          <w:szCs w:val="14"/>
        </w:rPr>
      </w:pPr>
    </w:p>
    <w:p>
      <w:pPr>
        <w:pStyle w:val="Heading3"/>
        <w:spacing w:line="240" w:lineRule="auto" w:before="0"/>
        <w:ind w:left="467" w:right="1034"/>
        <w:jc w:val="left"/>
      </w:pPr>
      <w:r>
        <w:rPr/>
        <w:t>本公司不存在使用企业集团资产和清偿企业集团债务的重大限制。</w:t>
      </w:r>
    </w:p>
    <w:p>
      <w:pPr>
        <w:spacing w:line="240" w:lineRule="auto" w:before="4"/>
        <w:rPr>
          <w:rFonts w:ascii="宋体" w:hAnsi="宋体" w:cs="宋体" w:eastAsia="宋体" w:hint="default"/>
          <w:sz w:val="15"/>
          <w:szCs w:val="15"/>
        </w:rPr>
      </w:pPr>
    </w:p>
    <w:p>
      <w:pPr>
        <w:pStyle w:val="Heading4"/>
        <w:spacing w:line="240" w:lineRule="auto"/>
        <w:ind w:right="1034"/>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1"/>
        <w:rPr>
          <w:rFonts w:ascii="宋体" w:hAnsi="宋体" w:cs="宋体" w:eastAsia="宋体" w:hint="default"/>
          <w:b/>
          <w:bCs/>
          <w:sz w:val="14"/>
          <w:szCs w:val="14"/>
        </w:rPr>
      </w:pPr>
    </w:p>
    <w:p>
      <w:pPr>
        <w:pStyle w:val="Heading3"/>
        <w:spacing w:line="240" w:lineRule="auto" w:before="0"/>
        <w:ind w:left="467" w:right="1034"/>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日，没有向纳入合并财务报表范围的结构化主体提供的财务支持或其他支持。</w:t>
      </w:r>
    </w:p>
    <w:p>
      <w:pPr>
        <w:pStyle w:val="Heading4"/>
        <w:spacing w:line="240" w:lineRule="auto" w:before="184"/>
        <w:ind w:right="1034"/>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pStyle w:val="Heading3"/>
        <w:spacing w:line="240" w:lineRule="auto" w:before="86"/>
        <w:ind w:left="467" w:right="1034"/>
        <w:jc w:val="left"/>
      </w:pPr>
      <w:r>
        <w:rPr/>
        <w:t>公司本期未发生在子公司所有者权益份额发生变化的情况</w:t>
      </w:r>
    </w:p>
    <w:p>
      <w:pPr>
        <w:spacing w:line="240" w:lineRule="auto" w:before="3"/>
        <w:rPr>
          <w:rFonts w:ascii="宋体" w:hAnsi="宋体" w:cs="宋体" w:eastAsia="宋体" w:hint="default"/>
          <w:sz w:val="18"/>
          <w:szCs w:val="18"/>
        </w:rPr>
      </w:pPr>
    </w:p>
    <w:p>
      <w:pPr>
        <w:pStyle w:val="Heading4"/>
        <w:spacing w:line="240" w:lineRule="auto"/>
        <w:ind w:right="1034"/>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pStyle w:val="Heading4"/>
        <w:spacing w:line="240" w:lineRule="auto" w:before="112"/>
        <w:ind w:right="1034"/>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4"/>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2695"/>
        <w:gridCol w:w="1416"/>
        <w:gridCol w:w="1133"/>
        <w:gridCol w:w="1135"/>
        <w:gridCol w:w="991"/>
        <w:gridCol w:w="836"/>
        <w:gridCol w:w="1366"/>
      </w:tblGrid>
      <w:tr>
        <w:trPr>
          <w:trHeight w:val="323" w:hRule="exact"/>
        </w:trPr>
        <w:tc>
          <w:tcPr>
            <w:tcW w:w="26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8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4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3" w:hRule="exact"/>
        </w:trPr>
        <w:tc>
          <w:tcPr>
            <w:tcW w:w="2695"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left="311"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left="232"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广州广电计量检测股份有限公司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3" w:right="0"/>
              <w:jc w:val="left"/>
              <w:rPr>
                <w:rFonts w:ascii="宋体" w:hAnsi="宋体" w:cs="宋体" w:eastAsia="宋体" w:hint="default"/>
                <w:sz w:val="18"/>
                <w:szCs w:val="18"/>
              </w:rPr>
            </w:pPr>
            <w:r>
              <w:rPr>
                <w:rFonts w:ascii="宋体" w:hAnsi="宋体" w:cs="宋体" w:eastAsia="宋体" w:hint="default"/>
                <w:sz w:val="18"/>
                <w:szCs w:val="18"/>
              </w:rPr>
              <w:t>检测计量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94" w:right="0"/>
              <w:jc w:val="left"/>
              <w:rPr>
                <w:rFonts w:ascii="Times New Roman" w:hAnsi="Times New Roman" w:cs="Times New Roman" w:eastAsia="Times New Roman" w:hint="default"/>
                <w:sz w:val="18"/>
                <w:szCs w:val="18"/>
              </w:rPr>
            </w:pPr>
            <w:r>
              <w:rPr>
                <w:rFonts w:ascii="Times New Roman"/>
                <w:sz w:val="18"/>
              </w:rPr>
              <w:t>7.34%</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5" w:right="0"/>
              <w:jc w:val="left"/>
              <w:rPr>
                <w:rFonts w:ascii="Times New Roman" w:hAnsi="Times New Roman" w:cs="Times New Roman" w:eastAsia="Times New Roman" w:hint="default"/>
                <w:sz w:val="18"/>
                <w:szCs w:val="18"/>
              </w:rPr>
            </w:pPr>
            <w:r>
              <w:rPr>
                <w:rFonts w:ascii="Times New Roman"/>
                <w:sz w:val="18"/>
              </w:rPr>
              <w:t>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Heading4"/>
        <w:spacing w:line="240" w:lineRule="auto" w:before="72"/>
        <w:ind w:right="1034"/>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
        <w:rPr>
          <w:rFonts w:ascii="宋体" w:hAnsi="宋体" w:cs="宋体" w:eastAsia="宋体" w:hint="default"/>
          <w:b/>
          <w:bCs/>
          <w:sz w:val="14"/>
          <w:szCs w:val="14"/>
        </w:rPr>
      </w:pPr>
    </w:p>
    <w:p>
      <w:pPr>
        <w:pStyle w:val="Heading3"/>
        <w:spacing w:line="240" w:lineRule="auto" w:before="0"/>
        <w:ind w:left="467" w:right="1034"/>
        <w:jc w:val="left"/>
      </w:pPr>
      <w:r>
        <w:rPr/>
        <w:t>公司本期没有重要合营企业。</w:t>
      </w:r>
    </w:p>
    <w:p>
      <w:pPr>
        <w:spacing w:line="240" w:lineRule="auto" w:before="4"/>
        <w:rPr>
          <w:rFonts w:ascii="宋体" w:hAnsi="宋体" w:cs="宋体" w:eastAsia="宋体" w:hint="default"/>
          <w:sz w:val="15"/>
          <w:szCs w:val="15"/>
        </w:rPr>
      </w:pPr>
    </w:p>
    <w:p>
      <w:pPr>
        <w:pStyle w:val="Heading4"/>
        <w:spacing w:line="240" w:lineRule="auto"/>
        <w:ind w:right="1034"/>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pStyle w:val="BodyText"/>
        <w:spacing w:line="240" w:lineRule="auto" w:before="128"/>
        <w:ind w:left="0" w:right="1131"/>
        <w:jc w:val="right"/>
      </w:pPr>
      <w:r>
        <w:rPr/>
        <w:t>单位：</w:t>
      </w:r>
      <w:r>
        <w:rPr>
          <w:spacing w:val="1"/>
        </w:rPr>
        <w:t> </w:t>
      </w:r>
      <w:r>
        <w:rPr/>
        <w:t>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665"/>
        <w:gridCol w:w="2987"/>
        <w:gridCol w:w="2909"/>
      </w:tblGrid>
      <w:tr>
        <w:trPr>
          <w:trHeight w:val="322" w:hRule="exact"/>
        </w:trPr>
        <w:tc>
          <w:tcPr>
            <w:tcW w:w="3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5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1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22" w:hRule="exact"/>
        </w:trPr>
        <w:tc>
          <w:tcPr>
            <w:tcW w:w="3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87"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8"/>
              <w:ind w:left="227" w:right="0"/>
              <w:jc w:val="left"/>
              <w:rPr>
                <w:rFonts w:ascii="宋体" w:hAnsi="宋体" w:cs="宋体" w:eastAsia="宋体" w:hint="default"/>
                <w:sz w:val="18"/>
                <w:szCs w:val="18"/>
              </w:rPr>
            </w:pPr>
            <w:r>
              <w:rPr>
                <w:rFonts w:ascii="宋体" w:hAnsi="宋体" w:cs="宋体" w:eastAsia="宋体" w:hint="default"/>
                <w:sz w:val="18"/>
                <w:szCs w:val="18"/>
              </w:rPr>
              <w:t>广州广电计量检测股份有限公司</w:t>
            </w:r>
          </w:p>
        </w:tc>
        <w:tc>
          <w:tcPr>
            <w:tcW w:w="290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8"/>
              <w:ind w:left="189" w:right="0"/>
              <w:jc w:val="left"/>
              <w:rPr>
                <w:rFonts w:ascii="宋体" w:hAnsi="宋体" w:cs="宋体" w:eastAsia="宋体" w:hint="default"/>
                <w:sz w:val="18"/>
                <w:szCs w:val="18"/>
              </w:rPr>
            </w:pPr>
            <w:r>
              <w:rPr>
                <w:rFonts w:ascii="宋体" w:hAnsi="宋体" w:cs="宋体" w:eastAsia="宋体" w:hint="default"/>
                <w:sz w:val="18"/>
                <w:szCs w:val="18"/>
              </w:rPr>
              <w:t>广州广电计量检测股份有限公司</w:t>
            </w:r>
          </w:p>
        </w:tc>
      </w:tr>
      <w:tr>
        <w:trPr>
          <w:trHeight w:val="322" w:hRule="exact"/>
        </w:trPr>
        <w:tc>
          <w:tcPr>
            <w:tcW w:w="3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944,851,856.68</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687,848,127.53</w:t>
            </w:r>
          </w:p>
        </w:tc>
      </w:tr>
      <w:tr>
        <w:trPr>
          <w:trHeight w:val="322" w:hRule="exact"/>
        </w:trPr>
        <w:tc>
          <w:tcPr>
            <w:tcW w:w="3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1,061,435,074.09</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773,329,961.17</w:t>
            </w:r>
          </w:p>
        </w:tc>
      </w:tr>
      <w:tr>
        <w:trPr>
          <w:trHeight w:val="323" w:hRule="exact"/>
        </w:trPr>
        <w:tc>
          <w:tcPr>
            <w:tcW w:w="3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2,006,286,930.77</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1,461,178,088.70</w:t>
            </w:r>
          </w:p>
        </w:tc>
      </w:tr>
      <w:tr>
        <w:trPr>
          <w:trHeight w:val="323" w:hRule="exact"/>
        </w:trPr>
        <w:tc>
          <w:tcPr>
            <w:tcW w:w="3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958,101,198.80</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565,217,116.65</w:t>
            </w:r>
          </w:p>
        </w:tc>
      </w:tr>
      <w:tr>
        <w:trPr>
          <w:trHeight w:val="322" w:hRule="exact"/>
        </w:trPr>
        <w:tc>
          <w:tcPr>
            <w:tcW w:w="3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9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249,932,481.83</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121,624,161.31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686"/>
        <w:gridCol w:w="2976"/>
        <w:gridCol w:w="2909"/>
      </w:tblGrid>
      <w:tr>
        <w:trPr>
          <w:trHeight w:val="32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1,208,033,680.63</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686,841,277.96</w:t>
            </w:r>
          </w:p>
        </w:tc>
      </w:tr>
      <w:tr>
        <w:trPr>
          <w:trHeight w:val="32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6,139,833.25</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8,108,633.70</w:t>
            </w:r>
          </w:p>
        </w:tc>
      </w:tr>
      <w:tr>
        <w:trPr>
          <w:trHeight w:val="323"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792,113,416.89</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766,228,177.04</w:t>
            </w:r>
          </w:p>
        </w:tc>
      </w:tr>
      <w:tr>
        <w:trPr>
          <w:trHeight w:val="323"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97,746,795.64</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92,688,892.38</w:t>
            </w:r>
          </w:p>
        </w:tc>
      </w:tr>
      <w:tr>
        <w:trPr>
          <w:trHeight w:val="32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408,199,478.51</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391,877,180.99</w:t>
            </w:r>
          </w:p>
        </w:tc>
      </w:tr>
      <w:tr>
        <w:trPr>
          <w:trHeight w:val="32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408,199,478.51</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391,877,180.99</w:t>
            </w:r>
          </w:p>
        </w:tc>
      </w:tr>
      <w:tr>
        <w:trPr>
          <w:trHeight w:val="32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2976" w:type="dxa"/>
            <w:tcBorders>
              <w:top w:val="single" w:sz="4" w:space="0" w:color="000000"/>
              <w:left w:val="single" w:sz="4" w:space="0" w:color="000000"/>
              <w:bottom w:val="single" w:sz="4" w:space="0" w:color="000000"/>
              <w:right w:val="single" w:sz="4" w:space="0" w:color="000000"/>
            </w:tcBorders>
          </w:tcPr>
          <w:p>
            <w:pPr/>
          </w:p>
        </w:tc>
        <w:tc>
          <w:tcPr>
            <w:tcW w:w="29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2976" w:type="dxa"/>
            <w:tcBorders>
              <w:top w:val="single" w:sz="4" w:space="0" w:color="000000"/>
              <w:left w:val="single" w:sz="4" w:space="0" w:color="000000"/>
              <w:bottom w:val="single" w:sz="4" w:space="0" w:color="000000"/>
              <w:right w:val="single" w:sz="4" w:space="0" w:color="000000"/>
            </w:tcBorders>
          </w:tcPr>
          <w:p>
            <w:pPr/>
          </w:p>
        </w:tc>
        <w:tc>
          <w:tcPr>
            <w:tcW w:w="290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505,946,274.15</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484,566,073.37</w:t>
            </w:r>
          </w:p>
        </w:tc>
      </w:tr>
      <w:tr>
        <w:trPr>
          <w:trHeight w:val="323"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存在公开报价的联营企业权益投资的公允价值</w:t>
            </w:r>
          </w:p>
        </w:tc>
        <w:tc>
          <w:tcPr>
            <w:tcW w:w="2976" w:type="dxa"/>
            <w:tcBorders>
              <w:top w:val="single" w:sz="4" w:space="0" w:color="000000"/>
              <w:left w:val="single" w:sz="4" w:space="0" w:color="000000"/>
              <w:bottom w:val="single" w:sz="4" w:space="0" w:color="000000"/>
              <w:right w:val="single" w:sz="4" w:space="0" w:color="000000"/>
            </w:tcBorders>
          </w:tcPr>
          <w:p>
            <w:pPr/>
          </w:p>
        </w:tc>
        <w:tc>
          <w:tcPr>
            <w:tcW w:w="29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1,227,882,351.47</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837,096,731.13</w:t>
            </w:r>
          </w:p>
        </w:tc>
      </w:tr>
      <w:tr>
        <w:trPr>
          <w:trHeight w:val="32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123,093,782.56</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109,672,122.31</w:t>
            </w:r>
          </w:p>
        </w:tc>
      </w:tr>
      <w:tr>
        <w:trPr>
          <w:trHeight w:val="32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2976" w:type="dxa"/>
            <w:tcBorders>
              <w:top w:val="single" w:sz="4" w:space="0" w:color="000000"/>
              <w:left w:val="single" w:sz="4" w:space="0" w:color="000000"/>
              <w:bottom w:val="single" w:sz="4" w:space="0" w:color="000000"/>
              <w:right w:val="single" w:sz="4" w:space="0" w:color="000000"/>
            </w:tcBorders>
          </w:tcPr>
          <w:p>
            <w:pPr/>
          </w:p>
        </w:tc>
        <w:tc>
          <w:tcPr>
            <w:tcW w:w="29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976" w:type="dxa"/>
            <w:tcBorders>
              <w:top w:val="single" w:sz="4" w:space="0" w:color="000000"/>
              <w:left w:val="single" w:sz="4" w:space="0" w:color="000000"/>
              <w:bottom w:val="single" w:sz="4" w:space="0" w:color="000000"/>
              <w:right w:val="single" w:sz="4" w:space="0" w:color="000000"/>
            </w:tcBorders>
          </w:tcPr>
          <w:p>
            <w:pPr/>
          </w:p>
        </w:tc>
        <w:tc>
          <w:tcPr>
            <w:tcW w:w="290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123,093,782.56</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109,672,122.31</w:t>
            </w:r>
          </w:p>
        </w:tc>
      </w:tr>
      <w:tr>
        <w:trPr>
          <w:trHeight w:val="323"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4,500,000.00</w:t>
            </w:r>
          </w:p>
        </w:tc>
      </w:tr>
    </w:tbl>
    <w:p>
      <w:pPr>
        <w:pStyle w:val="Heading4"/>
        <w:spacing w:line="240" w:lineRule="auto" w:before="71"/>
        <w:ind w:right="1034"/>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78"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69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78"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78"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120,518,347.59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202,203,966.47</w:t>
            </w:r>
          </w:p>
        </w:tc>
      </w:tr>
      <w:tr>
        <w:trPr>
          <w:trHeight w:val="478"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8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-1,653,898.23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3,614,563.73</w:t>
            </w:r>
          </w:p>
        </w:tc>
      </w:tr>
      <w:tr>
        <w:trPr>
          <w:trHeight w:val="478"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-1,653,898.23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3,614,563.73</w:t>
            </w:r>
          </w:p>
        </w:tc>
      </w:tr>
    </w:tbl>
    <w:p>
      <w:pPr>
        <w:pStyle w:val="Heading4"/>
        <w:spacing w:line="240" w:lineRule="auto" w:before="71"/>
        <w:ind w:right="1034"/>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2"/>
        <w:rPr>
          <w:rFonts w:ascii="宋体" w:hAnsi="宋体" w:cs="宋体" w:eastAsia="宋体" w:hint="default"/>
          <w:b/>
          <w:bCs/>
          <w:sz w:val="14"/>
          <w:szCs w:val="14"/>
        </w:rPr>
      </w:pPr>
    </w:p>
    <w:p>
      <w:pPr>
        <w:pStyle w:val="Heading3"/>
        <w:spacing w:line="240" w:lineRule="auto" w:before="0"/>
        <w:ind w:left="467" w:right="1034"/>
        <w:jc w:val="left"/>
      </w:pPr>
      <w:r>
        <w:rPr/>
        <w:t>公司本期没有合营企业或联营企业向本公司转移资金的能力存在重大限制的情况。</w:t>
      </w:r>
    </w:p>
    <w:p>
      <w:pPr>
        <w:spacing w:line="240" w:lineRule="auto" w:before="4"/>
        <w:rPr>
          <w:rFonts w:ascii="宋体" w:hAnsi="宋体" w:cs="宋体" w:eastAsia="宋体" w:hint="default"/>
          <w:sz w:val="15"/>
          <w:szCs w:val="15"/>
        </w:rPr>
      </w:pPr>
    </w:p>
    <w:p>
      <w:pPr>
        <w:pStyle w:val="Heading4"/>
        <w:spacing w:line="240" w:lineRule="auto"/>
        <w:ind w:right="1034"/>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
        <w:rPr>
          <w:rFonts w:ascii="宋体" w:hAnsi="宋体" w:cs="宋体" w:eastAsia="宋体" w:hint="default"/>
          <w:b/>
          <w:bCs/>
          <w:sz w:val="14"/>
          <w:szCs w:val="14"/>
        </w:rPr>
      </w:pPr>
    </w:p>
    <w:p>
      <w:pPr>
        <w:pStyle w:val="Heading3"/>
        <w:spacing w:line="240" w:lineRule="auto" w:before="0"/>
        <w:ind w:left="467" w:right="1034"/>
        <w:jc w:val="left"/>
      </w:pPr>
      <w:r>
        <w:rPr/>
        <w:t>公司的合营企业或联营企业本期没有发生的超额亏损。</w:t>
      </w:r>
    </w:p>
    <w:p>
      <w:pPr>
        <w:spacing w:line="240" w:lineRule="auto" w:before="4"/>
        <w:rPr>
          <w:rFonts w:ascii="宋体" w:hAnsi="宋体" w:cs="宋体" w:eastAsia="宋体" w:hint="default"/>
          <w:sz w:val="15"/>
          <w:szCs w:val="15"/>
        </w:rPr>
      </w:pPr>
    </w:p>
    <w:p>
      <w:pPr>
        <w:pStyle w:val="Heading4"/>
        <w:spacing w:line="240" w:lineRule="auto"/>
        <w:ind w:right="1034"/>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
        <w:rPr>
          <w:rFonts w:ascii="宋体" w:hAnsi="宋体" w:cs="宋体" w:eastAsia="宋体" w:hint="default"/>
          <w:b/>
          <w:bCs/>
          <w:sz w:val="14"/>
          <w:szCs w:val="14"/>
        </w:rPr>
      </w:pPr>
    </w:p>
    <w:p>
      <w:pPr>
        <w:pStyle w:val="Heading3"/>
        <w:spacing w:line="240" w:lineRule="auto" w:before="0"/>
        <w:ind w:left="364" w:right="1034"/>
        <w:jc w:val="left"/>
      </w:pPr>
      <w:r>
        <w:rPr/>
        <w:t>公司本期没有与合营企业投资相关的未确认承诺。</w:t>
      </w:r>
    </w:p>
    <w:p>
      <w:pPr>
        <w:spacing w:line="240" w:lineRule="auto" w:before="4"/>
        <w:rPr>
          <w:rFonts w:ascii="宋体" w:hAnsi="宋体" w:cs="宋体" w:eastAsia="宋体" w:hint="default"/>
          <w:sz w:val="15"/>
          <w:szCs w:val="15"/>
        </w:rPr>
      </w:pPr>
    </w:p>
    <w:p>
      <w:pPr>
        <w:pStyle w:val="Heading4"/>
        <w:spacing w:line="240" w:lineRule="auto"/>
        <w:ind w:right="1034"/>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
        <w:rPr>
          <w:rFonts w:ascii="宋体" w:hAnsi="宋体" w:cs="宋体" w:eastAsia="宋体" w:hint="default"/>
          <w:b/>
          <w:bCs/>
          <w:sz w:val="14"/>
          <w:szCs w:val="14"/>
        </w:rPr>
      </w:pPr>
    </w:p>
    <w:p>
      <w:pPr>
        <w:pStyle w:val="Heading3"/>
        <w:spacing w:line="240" w:lineRule="auto" w:before="0"/>
        <w:ind w:left="467" w:right="1034"/>
        <w:jc w:val="left"/>
      </w:pPr>
      <w:r>
        <w:rPr/>
        <w:t>公司本期没有与合营企业或联营企业投资相关的或有负债。</w:t>
      </w:r>
    </w:p>
    <w:p>
      <w:pPr>
        <w:spacing w:after="0" w:line="240" w:lineRule="auto"/>
        <w:jc w:val="left"/>
        <w:sectPr>
          <w:pgSz w:w="11910" w:h="16840"/>
          <w:pgMar w:header="877" w:footer="979" w:top="1100" w:bottom="1160" w:left="980" w:right="0"/>
        </w:sectPr>
      </w:pPr>
    </w:p>
    <w:p>
      <w:pPr>
        <w:spacing w:line="240" w:lineRule="auto" w:before="2"/>
        <w:rPr>
          <w:rFonts w:ascii="宋体" w:hAnsi="宋体" w:cs="宋体" w:eastAsia="宋体" w:hint="default"/>
          <w:sz w:val="27"/>
          <w:szCs w:val="27"/>
        </w:rPr>
      </w:pPr>
    </w:p>
    <w:p>
      <w:pPr>
        <w:pStyle w:val="Heading4"/>
        <w:spacing w:line="240" w:lineRule="auto" w:before="37"/>
        <w:ind w:right="1034"/>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1"/>
        <w:rPr>
          <w:rFonts w:ascii="宋体" w:hAnsi="宋体" w:cs="宋体" w:eastAsia="宋体" w:hint="default"/>
          <w:b/>
          <w:bCs/>
          <w:sz w:val="14"/>
          <w:szCs w:val="14"/>
        </w:rPr>
      </w:pPr>
    </w:p>
    <w:p>
      <w:pPr>
        <w:pStyle w:val="Heading3"/>
        <w:spacing w:line="240" w:lineRule="auto" w:before="0"/>
        <w:ind w:left="467" w:right="1034"/>
        <w:jc w:val="left"/>
      </w:pPr>
      <w:r>
        <w:rPr/>
        <w:t>公司本期没有重要的共同经营。</w:t>
      </w:r>
    </w:p>
    <w:p>
      <w:pPr>
        <w:spacing w:line="240" w:lineRule="auto" w:before="4"/>
        <w:rPr>
          <w:rFonts w:ascii="宋体" w:hAnsi="宋体" w:cs="宋体" w:eastAsia="宋体" w:hint="default"/>
          <w:sz w:val="15"/>
          <w:szCs w:val="15"/>
        </w:rPr>
      </w:pPr>
    </w:p>
    <w:p>
      <w:pPr>
        <w:pStyle w:val="Heading4"/>
        <w:spacing w:line="240" w:lineRule="auto"/>
        <w:ind w:right="1034"/>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1"/>
        <w:rPr>
          <w:rFonts w:ascii="宋体" w:hAnsi="宋体" w:cs="宋体" w:eastAsia="宋体" w:hint="default"/>
          <w:b/>
          <w:bCs/>
          <w:sz w:val="14"/>
          <w:szCs w:val="14"/>
        </w:rPr>
      </w:pPr>
    </w:p>
    <w:p>
      <w:pPr>
        <w:pStyle w:val="Heading3"/>
        <w:spacing w:line="240" w:lineRule="auto" w:before="0"/>
        <w:ind w:left="467" w:right="1034"/>
        <w:jc w:val="left"/>
      </w:pPr>
      <w:r>
        <w:rPr/>
        <w:t>公司本期没有未纳入合并财务报表范围的结构化主体。</w:t>
      </w:r>
    </w:p>
    <w:p>
      <w:pPr>
        <w:pStyle w:val="Heading2"/>
        <w:spacing w:line="240" w:lineRule="auto" w:before="167"/>
        <w:ind w:right="1034"/>
        <w:jc w:val="left"/>
        <w:rPr>
          <w:b w:val="0"/>
          <w:bCs w:val="0"/>
        </w:rPr>
      </w:pPr>
      <w:r>
        <w:rPr/>
        <w:t>十、与金融工具相关的风险</w:t>
      </w:r>
      <w:r>
        <w:rPr>
          <w:b w:val="0"/>
          <w:bCs w:val="0"/>
        </w:rPr>
      </w:r>
    </w:p>
    <w:p>
      <w:pPr>
        <w:pStyle w:val="Heading3"/>
        <w:spacing w:line="408" w:lineRule="auto" w:before="179"/>
        <w:ind w:left="152" w:right="1126" w:firstLine="420"/>
        <w:jc w:val="both"/>
      </w:pPr>
      <w:r>
        <w:rPr>
          <w:spacing w:val="-2"/>
        </w:rPr>
        <w:t>本公司在经营过程中面临各种金融风险：信用风险、市场风险和流动性风险。公司董事会全面负责风</w:t>
      </w:r>
      <w:r>
        <w:rPr>
          <w:w w:val="100"/>
        </w:rPr>
        <w:t> </w:t>
      </w:r>
      <w:r>
        <w:rPr>
          <w:spacing w:val="-2"/>
        </w:rPr>
        <w:t>险管理目标和政策的确定，并对风险管理目标和政策承担最终责任，但是董事会已授权本公司经营管理层</w:t>
      </w:r>
      <w:r>
        <w:rPr>
          <w:spacing w:val="-44"/>
        </w:rPr>
        <w:t> </w:t>
      </w:r>
      <w:r>
        <w:rPr>
          <w:spacing w:val="-44"/>
        </w:rPr>
      </w:r>
      <w:r>
        <w:rPr>
          <w:spacing w:val="-2"/>
        </w:rPr>
        <w:t>设计和实施能确保风险管理目标和政策得以有效执行的程序。董事会通过职能部门递交的月度报告来审查</w:t>
      </w:r>
      <w:r>
        <w:rPr>
          <w:spacing w:val="-43"/>
        </w:rPr>
        <w:t> </w:t>
      </w:r>
      <w:r>
        <w:rPr>
          <w:spacing w:val="-43"/>
        </w:rPr>
      </w:r>
      <w:r>
        <w:rPr>
          <w:spacing w:val="-2"/>
        </w:rPr>
        <w:t>已执行程序的有效性以及风险管理目标和政策的合理性。本公司的内部审计师也会审计风险管理的政策和</w:t>
      </w:r>
      <w:r>
        <w:rPr>
          <w:spacing w:val="-43"/>
        </w:rPr>
        <w:t> </w:t>
      </w:r>
      <w:r>
        <w:rPr>
          <w:spacing w:val="-43"/>
        </w:rPr>
      </w:r>
      <w:r>
        <w:rPr/>
        <w:t>程序，并且将有关发现汇报给审计委员会。</w:t>
      </w:r>
    </w:p>
    <w:p>
      <w:pPr>
        <w:pStyle w:val="Heading3"/>
        <w:spacing w:line="408" w:lineRule="auto" w:before="46"/>
        <w:ind w:left="152" w:right="1126" w:firstLine="420"/>
        <w:jc w:val="both"/>
      </w:pPr>
      <w:r>
        <w:rPr>
          <w:spacing w:val="-2"/>
        </w:rPr>
        <w:t>本公司风险管理的总体目标是在不过度影响公司竞争力和应变力的情况下，制定尽可能降低风险的风</w:t>
      </w:r>
      <w:r>
        <w:rPr>
          <w:w w:val="100"/>
        </w:rPr>
        <w:t> </w:t>
      </w:r>
      <w:r>
        <w:rPr/>
        <w:t>险管理政策。</w:t>
      </w:r>
    </w:p>
    <w:p>
      <w:pPr>
        <w:pStyle w:val="Heading4"/>
        <w:spacing w:line="240" w:lineRule="auto" w:before="53"/>
        <w:ind w:right="1034"/>
        <w:jc w:val="left"/>
        <w:rPr>
          <w:b w:val="0"/>
          <w:bCs w:val="0"/>
        </w:rPr>
      </w:pPr>
      <w:r>
        <w:rPr>
          <w:rFonts w:ascii="Times New Roman" w:hAnsi="Times New Roman" w:cs="Times New Roman" w:eastAsia="Times New Roman" w:hint="default"/>
          <w:sz w:val="18"/>
          <w:szCs w:val="18"/>
        </w:rPr>
        <w:t>1</w:t>
      </w:r>
      <w:r>
        <w:rPr/>
        <w:t>、信用风险</w:t>
      </w:r>
      <w:r>
        <w:rPr>
          <w:b w:val="0"/>
          <w:bCs w:val="0"/>
        </w:rPr>
      </w:r>
    </w:p>
    <w:p>
      <w:pPr>
        <w:spacing w:line="240" w:lineRule="auto" w:before="5"/>
        <w:rPr>
          <w:rFonts w:ascii="宋体" w:hAnsi="宋体" w:cs="宋体" w:eastAsia="宋体" w:hint="default"/>
          <w:b/>
          <w:bCs/>
          <w:sz w:val="14"/>
          <w:szCs w:val="14"/>
        </w:rPr>
      </w:pPr>
    </w:p>
    <w:p>
      <w:pPr>
        <w:pStyle w:val="Heading3"/>
        <w:spacing w:line="408" w:lineRule="auto" w:before="0"/>
        <w:ind w:left="152" w:right="1126" w:firstLine="420"/>
        <w:jc w:val="both"/>
      </w:pPr>
      <w:r>
        <w:rPr>
          <w:spacing w:val="-2"/>
        </w:rPr>
        <w:t>信用风险是指金融工具的一方不履行义务，造成另一方发生财务损失的风险。本公司主要面临赊销导</w:t>
      </w:r>
      <w:r>
        <w:rPr>
          <w:w w:val="100"/>
        </w:rPr>
        <w:t> </w:t>
      </w:r>
      <w:r>
        <w:rPr>
          <w:spacing w:val="-2"/>
        </w:rPr>
        <w:t>致的客户信用风险。在签订新合同之前，本公司会对新客户的信用风险进行评估，包括外部信用评级和在</w:t>
      </w:r>
      <w:r>
        <w:rPr>
          <w:spacing w:val="-44"/>
        </w:rPr>
        <w:t> </w:t>
      </w:r>
      <w:r>
        <w:rPr>
          <w:spacing w:val="-44"/>
        </w:rPr>
      </w:r>
      <w:r>
        <w:rPr>
          <w:spacing w:val="-2"/>
        </w:rPr>
        <w:t>某些情况下的银行资信证明（当此信息可获取时）。公司对每一客户均设置了赊销限额，该限额为无需获</w:t>
      </w:r>
      <w:r>
        <w:rPr>
          <w:spacing w:val="-47"/>
        </w:rPr>
        <w:t> </w:t>
      </w:r>
      <w:r>
        <w:rPr>
          <w:spacing w:val="-47"/>
        </w:rPr>
      </w:r>
      <w:r>
        <w:rPr/>
        <w:t>得额外批准的最大额度。</w:t>
      </w:r>
    </w:p>
    <w:p>
      <w:pPr>
        <w:pStyle w:val="Heading3"/>
        <w:spacing w:line="400" w:lineRule="auto" w:before="46"/>
        <w:ind w:left="152" w:right="1126" w:firstLine="420"/>
        <w:jc w:val="both"/>
      </w:pPr>
      <w:r>
        <w:rPr>
          <w:spacing w:val="2"/>
        </w:rPr>
        <w:t>公司通过对已有客户信用评级的季度监控以及应收账款账龄分析的月度审核来确保公司的整体信用</w:t>
      </w:r>
      <w:r>
        <w:rPr>
          <w:w w:val="100"/>
        </w:rPr>
        <w:t> </w:t>
      </w:r>
      <w:r>
        <w:rPr>
          <w:spacing w:val="-2"/>
        </w:rPr>
        <w:t>风险在可控的范围内。在监控客户的信用风险时，按照客户的信用特征对其分组。被评为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w:t>
      </w:r>
      <w:r>
        <w:rPr>
          <w:spacing w:val="-18"/>
        </w:rPr>
        <w:t> </w:t>
      </w:r>
      <w:r>
        <w:rPr>
          <w:spacing w:val="-18"/>
        </w:rPr>
      </w:r>
      <w:r>
        <w:rPr>
          <w:spacing w:val="-2"/>
        </w:rPr>
        <w:t>客户会放在受限制客户名单里，并且只有在额外批准的前提下，公司才可在未来期间内对其赊销，否则必</w:t>
      </w:r>
      <w:r>
        <w:rPr>
          <w:spacing w:val="-44"/>
        </w:rPr>
        <w:t> </w:t>
      </w:r>
      <w:r>
        <w:rPr>
          <w:spacing w:val="-44"/>
        </w:rPr>
      </w:r>
      <w:r>
        <w:rPr/>
        <w:t>须要求其提前支付相应款项。</w:t>
      </w:r>
    </w:p>
    <w:p>
      <w:pPr>
        <w:pStyle w:val="Heading4"/>
        <w:spacing w:line="240" w:lineRule="auto" w:before="60"/>
        <w:ind w:right="1034"/>
        <w:jc w:val="left"/>
        <w:rPr>
          <w:b w:val="0"/>
          <w:bCs w:val="0"/>
        </w:rPr>
      </w:pPr>
      <w:r>
        <w:rPr>
          <w:rFonts w:ascii="Times New Roman" w:hAnsi="Times New Roman" w:cs="Times New Roman" w:eastAsia="Times New Roman" w:hint="default"/>
          <w:sz w:val="18"/>
          <w:szCs w:val="18"/>
        </w:rPr>
        <w:t>2</w:t>
      </w:r>
      <w:r>
        <w:rPr/>
        <w:t>、市场风险</w:t>
      </w:r>
      <w:r>
        <w:rPr>
          <w:b w:val="0"/>
          <w:bCs w:val="0"/>
        </w:rPr>
      </w:r>
    </w:p>
    <w:p>
      <w:pPr>
        <w:spacing w:line="240" w:lineRule="auto" w:before="5"/>
        <w:rPr>
          <w:rFonts w:ascii="宋体" w:hAnsi="宋体" w:cs="宋体" w:eastAsia="宋体" w:hint="default"/>
          <w:b/>
          <w:bCs/>
          <w:sz w:val="14"/>
          <w:szCs w:val="14"/>
        </w:rPr>
      </w:pPr>
    </w:p>
    <w:p>
      <w:pPr>
        <w:pStyle w:val="Heading3"/>
        <w:spacing w:line="408" w:lineRule="auto" w:before="0"/>
        <w:ind w:left="152" w:right="1030" w:firstLine="420"/>
        <w:jc w:val="both"/>
      </w:pPr>
      <w:r>
        <w:rPr/>
        <w:t>金融工具的市场风险，是指金融工具的公允价值或未来现金流量因市场价格变动而发生波动的风险，</w:t>
      </w:r>
      <w:r>
        <w:rPr>
          <w:w w:val="100"/>
        </w:rPr>
        <w:t> </w:t>
      </w:r>
      <w:r>
        <w:rPr/>
        <w:t>包括汇率风险和其他价格风险。</w:t>
      </w:r>
    </w:p>
    <w:p>
      <w:pPr>
        <w:pStyle w:val="Heading5"/>
        <w:spacing w:line="240" w:lineRule="auto" w:before="69"/>
        <w:ind w:left="424" w:right="1034"/>
        <w:jc w:val="left"/>
        <w:rPr>
          <w:b w:val="0"/>
          <w:bCs w:val="0"/>
        </w:rPr>
      </w:pPr>
      <w:r>
        <w:rPr/>
        <w:t>（</w:t>
      </w:r>
      <w:r>
        <w:rPr>
          <w:rFonts w:ascii="Times New Roman" w:hAnsi="Times New Roman" w:cs="Times New Roman" w:eastAsia="Times New Roman" w:hint="default"/>
        </w:rPr>
        <w:t>1</w:t>
      </w:r>
      <w:r>
        <w:rPr/>
        <w:t>）汇率风险</w:t>
      </w:r>
      <w:r>
        <w:rPr>
          <w:b w:val="0"/>
          <w:bCs w:val="0"/>
        </w:rPr>
      </w:r>
    </w:p>
    <w:p>
      <w:pPr>
        <w:spacing w:line="240" w:lineRule="auto" w:before="13"/>
        <w:rPr>
          <w:rFonts w:ascii="宋体" w:hAnsi="宋体" w:cs="宋体" w:eastAsia="宋体" w:hint="default"/>
          <w:b/>
          <w:bCs/>
          <w:sz w:val="14"/>
          <w:szCs w:val="14"/>
        </w:rPr>
      </w:pPr>
    </w:p>
    <w:p>
      <w:pPr>
        <w:pStyle w:val="Heading3"/>
        <w:spacing w:line="398" w:lineRule="auto" w:before="0"/>
        <w:ind w:left="152" w:right="1126" w:firstLine="420"/>
        <w:jc w:val="both"/>
      </w:pPr>
      <w:r>
        <w:rPr>
          <w:spacing w:val="-2"/>
        </w:rPr>
        <w:t>汇率风险，是指金融工具的公允价值或未来现金流量因外汇汇率变动而发生波动的风险。本公司尽可</w:t>
      </w:r>
      <w:r>
        <w:rPr>
          <w:w w:val="100"/>
        </w:rPr>
        <w:t> </w:t>
      </w:r>
      <w:r>
        <w:rPr>
          <w:spacing w:val="-2"/>
        </w:rPr>
        <w:t>能将外币收入与外币支出相匹配以降低汇率风险。由于外币金融资产和负债占总资产比重较小，</w:t>
      </w:r>
      <w:r>
        <w:rPr>
          <w:rFonts w:ascii="Times New Roman" w:hAnsi="Times New Roman" w:cs="Times New Roman" w:eastAsia="Times New Roman" w:hint="default"/>
          <w:spacing w:val="-2"/>
        </w:rPr>
        <w:t>2018</w:t>
      </w:r>
      <w:r>
        <w:rPr>
          <w:spacing w:val="-2"/>
        </w:rPr>
        <w:t>年度</w:t>
      </w:r>
      <w:r>
        <w:rPr>
          <w:spacing w:val="-38"/>
        </w:rPr>
        <w:t> </w:t>
      </w:r>
      <w:r>
        <w:rPr/>
        <w:t>及</w:t>
      </w:r>
      <w:r>
        <w:rPr>
          <w:rFonts w:ascii="Times New Roman" w:hAnsi="Times New Roman" w:cs="Times New Roman" w:eastAsia="Times New Roman" w:hint="default"/>
        </w:rPr>
        <w:t>2017</w:t>
      </w:r>
      <w:r>
        <w:rPr/>
        <w:t>年度，本公司未签署任何远期外汇合约或货币互换合约。</w:t>
      </w:r>
    </w:p>
    <w:p>
      <w:pPr>
        <w:pStyle w:val="Heading3"/>
        <w:spacing w:line="408" w:lineRule="auto" w:before="24"/>
        <w:ind w:left="152" w:right="1126" w:firstLine="420"/>
        <w:jc w:val="both"/>
      </w:pPr>
      <w:r>
        <w:rPr>
          <w:spacing w:val="-2"/>
        </w:rPr>
        <w:t>本公司面临的汇率风险主要来源于以美元、港元、欧元等计价的金融资产和金融负债，外币金融资产</w:t>
      </w:r>
      <w:r>
        <w:rPr>
          <w:w w:val="100"/>
        </w:rPr>
        <w:t> </w:t>
      </w:r>
      <w:r>
        <w:rPr/>
        <w:t>和外币金融负债折算成人民币的金额列示如下：</w:t>
      </w:r>
    </w:p>
    <w:p>
      <w:pPr>
        <w:spacing w:after="0" w:line="408" w:lineRule="auto"/>
        <w:jc w:val="both"/>
        <w:sectPr>
          <w:pgSz w:w="11910" w:h="16840"/>
          <w:pgMar w:header="877" w:footer="979" w:top="1100" w:bottom="1160" w:left="980" w:right="0"/>
        </w:sectPr>
      </w:pPr>
    </w:p>
    <w:p>
      <w:pPr>
        <w:spacing w:line="240" w:lineRule="auto" w:before="10"/>
        <w:rPr>
          <w:rFonts w:ascii="宋体" w:hAnsi="宋体" w:cs="宋体" w:eastAsia="宋体" w:hint="default"/>
          <w:sz w:val="26"/>
          <w:szCs w:val="26"/>
        </w:rPr>
      </w:pPr>
    </w:p>
    <w:p>
      <w:pPr>
        <w:pStyle w:val="Heading3"/>
        <w:spacing w:line="240" w:lineRule="auto" w:before="36"/>
        <w:ind w:left="0" w:right="1128"/>
        <w:jc w:val="right"/>
      </w:pPr>
      <w:r>
        <w:rPr>
          <w:spacing w:val="-1"/>
        </w:rPr>
        <w:t>单位：元</w:t>
      </w:r>
    </w:p>
    <w:p>
      <w:pPr>
        <w:spacing w:line="240" w:lineRule="auto" w:before="11"/>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1673"/>
        <w:gridCol w:w="1342"/>
        <w:gridCol w:w="1342"/>
        <w:gridCol w:w="1476"/>
        <w:gridCol w:w="1339"/>
        <w:gridCol w:w="1342"/>
        <w:gridCol w:w="1342"/>
      </w:tblGrid>
      <w:tr>
        <w:trPr>
          <w:trHeight w:val="478" w:hRule="exact"/>
        </w:trPr>
        <w:tc>
          <w:tcPr>
            <w:tcW w:w="1673"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78" w:hRule="exact"/>
        </w:trPr>
        <w:tc>
          <w:tcPr>
            <w:tcW w:w="1673" w:type="dxa"/>
            <w:vMerge/>
            <w:tcBorders>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04"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07"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78"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708,236,410.84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188,705,303.90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896,941,714.74</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357,109,973.25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125,090,231.00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482,200,204.25</w:t>
            </w:r>
          </w:p>
        </w:tc>
      </w:tr>
      <w:tr>
        <w:trPr>
          <w:trHeight w:val="480"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74,613,657.44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24,888,778.84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99,502,436.28</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pacing w:val="-1"/>
                <w:sz w:val="18"/>
              </w:rPr>
              <w:t>96,190,549.08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27,627,066.25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pacing w:val="-1"/>
                <w:sz w:val="18"/>
              </w:rPr>
              <w:t>123,817,615.33</w:t>
            </w:r>
          </w:p>
        </w:tc>
      </w:tr>
      <w:tr>
        <w:trPr>
          <w:trHeight w:val="478"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预付账款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6,007,420.59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486,885.37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6,494,305.96</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5,653,591.88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583,750.53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6,237,342.41</w:t>
            </w:r>
          </w:p>
        </w:tc>
      </w:tr>
      <w:tr>
        <w:trPr>
          <w:trHeight w:val="478"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3,224,386.33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600,901.35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3,825,287.68</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1,678,069.40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996,018.80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2,674,088.20</w:t>
            </w:r>
          </w:p>
        </w:tc>
      </w:tr>
      <w:tr>
        <w:trPr>
          <w:trHeight w:val="478"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其他流动资产</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5,459,210.35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5,459,210.35</w:t>
            </w:r>
          </w:p>
        </w:tc>
        <w:tc>
          <w:tcPr>
            <w:tcW w:w="1339"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250,683.01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250,683.01</w:t>
            </w:r>
          </w:p>
        </w:tc>
      </w:tr>
      <w:tr>
        <w:trPr>
          <w:trHeight w:val="478"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35,870,110.14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35,870,110.14</w:t>
            </w:r>
          </w:p>
        </w:tc>
      </w:tr>
      <w:tr>
        <w:trPr>
          <w:trHeight w:val="478"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2,622,740.32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4,882,823.23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7,505,563.55</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48,528,902.84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8,517,180.66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57,046,083.50</w:t>
            </w:r>
          </w:p>
        </w:tc>
      </w:tr>
      <w:tr>
        <w:trPr>
          <w:trHeight w:val="480"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预收账款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24,021.20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750,916.59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774,937.79</w:t>
            </w:r>
          </w:p>
        </w:tc>
        <w:tc>
          <w:tcPr>
            <w:tcW w:w="1339"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应付职工薪酬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74,273.55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1,932,162.39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2,006,435.94</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20,125.27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1,509,289.66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1,529,414.93</w:t>
            </w:r>
          </w:p>
        </w:tc>
      </w:tr>
      <w:tr>
        <w:trPr>
          <w:trHeight w:val="478"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应交税费</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w w:val="95"/>
                <w:sz w:val="18"/>
              </w:rPr>
              <w:t>7,686.78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904,246.99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911,933.77</w:t>
            </w:r>
          </w:p>
        </w:tc>
        <w:tc>
          <w:tcPr>
            <w:tcW w:w="1339"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3,708,830.22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3,708,830.22</w:t>
            </w:r>
          </w:p>
        </w:tc>
      </w:tr>
      <w:tr>
        <w:trPr>
          <w:trHeight w:val="478"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6,705,310.85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6,529,115.17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13,234,426.02</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4,824,246.06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3,020,835.03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7,845,081.09</w:t>
            </w:r>
          </w:p>
        </w:tc>
      </w:tr>
      <w:tr>
        <w:trPr>
          <w:trHeight w:val="478"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801,515,907.90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235,140,344.18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1,036,656,252.08</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514,005,457.78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207,173,995.30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721,179,453.08</w:t>
            </w:r>
          </w:p>
        </w:tc>
      </w:tr>
    </w:tbl>
    <w:p>
      <w:pPr>
        <w:pStyle w:val="Heading3"/>
        <w:spacing w:line="400" w:lineRule="auto" w:before="64"/>
        <w:ind w:left="633" w:right="207" w:hanging="315"/>
        <w:jc w:val="left"/>
      </w:pPr>
      <w:r>
        <w:rPr>
          <w:rFonts w:ascii="宋体" w:hAnsi="宋体" w:cs="宋体" w:eastAsia="宋体" w:hint="default"/>
          <w:b/>
          <w:bCs/>
        </w:rPr>
        <w:t>（</w:t>
      </w:r>
      <w:r>
        <w:rPr>
          <w:rFonts w:ascii="Times New Roman" w:hAnsi="Times New Roman" w:cs="Times New Roman" w:eastAsia="Times New Roman" w:hint="default"/>
          <w:b/>
          <w:bCs/>
          <w:sz w:val="18"/>
          <w:szCs w:val="18"/>
        </w:rPr>
        <w:t>2</w:t>
      </w:r>
      <w:r>
        <w:rPr>
          <w:rFonts w:ascii="宋体" w:hAnsi="宋体" w:cs="宋体" w:eastAsia="宋体" w:hint="default"/>
          <w:b/>
          <w:bCs/>
        </w:rPr>
        <w:t>）其他价格风险</w:t>
      </w:r>
      <w:r>
        <w:rPr>
          <w:rFonts w:ascii="宋体" w:hAnsi="宋体" w:cs="宋体" w:eastAsia="宋体" w:hint="default"/>
          <w:b/>
          <w:bCs/>
          <w:w w:val="100"/>
        </w:rPr>
        <w:t> </w:t>
      </w:r>
      <w:r>
        <w:rPr/>
        <w:t>本公司持有其他上市公司的权益投资，管理层认为这些投资活动面临的市场价格风险是可以接受的。</w:t>
      </w:r>
      <w:r>
        <w:rPr>
          <w:w w:val="100"/>
        </w:rPr>
        <w:t> </w:t>
      </w:r>
      <w:r>
        <w:rPr/>
        <w:t>本公司持有的上市公司权益投资列示如下：</w:t>
      </w:r>
    </w:p>
    <w:tbl>
      <w:tblPr>
        <w:tblW w:w="0" w:type="auto"/>
        <w:jc w:val="left"/>
        <w:tblInd w:w="205" w:type="dxa"/>
        <w:tblLayout w:type="fixed"/>
        <w:tblCellMar>
          <w:top w:w="0" w:type="dxa"/>
          <w:left w:w="0" w:type="dxa"/>
          <w:bottom w:w="0" w:type="dxa"/>
          <w:right w:w="0" w:type="dxa"/>
        </w:tblCellMar>
        <w:tblLook w:val="01E0"/>
      </w:tblPr>
      <w:tblGrid>
        <w:gridCol w:w="4259"/>
        <w:gridCol w:w="2830"/>
        <w:gridCol w:w="2552"/>
      </w:tblGrid>
      <w:tr>
        <w:trPr>
          <w:trHeight w:val="504" w:hRule="exact"/>
        </w:trPr>
        <w:tc>
          <w:tcPr>
            <w:tcW w:w="4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937"/>
              <w:jc w:val="right"/>
              <w:rPr>
                <w:rFonts w:ascii="宋体" w:hAnsi="宋体" w:cs="宋体" w:eastAsia="宋体" w:hint="default"/>
                <w:sz w:val="18"/>
                <w:szCs w:val="18"/>
              </w:rPr>
            </w:pPr>
            <w:r>
              <w:rPr>
                <w:rFonts w:ascii="宋体" w:hAnsi="宋体" w:cs="宋体" w:eastAsia="宋体" w:hint="default"/>
                <w:sz w:val="18"/>
                <w:szCs w:val="18"/>
              </w:rPr>
              <w:t>项目</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504" w:hRule="exact"/>
        </w:trPr>
        <w:tc>
          <w:tcPr>
            <w:tcW w:w="4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right"/>
              <w:rPr>
                <w:rFonts w:ascii="Times New Roman" w:hAnsi="Times New Roman" w:cs="Times New Roman" w:eastAsia="Times New Roman" w:hint="default"/>
                <w:sz w:val="18"/>
                <w:szCs w:val="18"/>
              </w:rPr>
            </w:pPr>
            <w:r>
              <w:rPr>
                <w:rFonts w:ascii="Times New Roman"/>
                <w:spacing w:val="-1"/>
                <w:sz w:val="18"/>
              </w:rPr>
              <w:t>843,295,785.40</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right"/>
              <w:rPr>
                <w:rFonts w:ascii="Times New Roman" w:hAnsi="Times New Roman" w:cs="Times New Roman" w:eastAsia="Times New Roman" w:hint="default"/>
                <w:sz w:val="18"/>
                <w:szCs w:val="18"/>
              </w:rPr>
            </w:pPr>
            <w:r>
              <w:rPr>
                <w:rFonts w:ascii="Times New Roman"/>
                <w:spacing w:val="-1"/>
                <w:sz w:val="18"/>
              </w:rPr>
              <w:t>1,080,145,915.44</w:t>
            </w:r>
          </w:p>
        </w:tc>
      </w:tr>
      <w:tr>
        <w:trPr>
          <w:trHeight w:val="502" w:hRule="exact"/>
        </w:trPr>
        <w:tc>
          <w:tcPr>
            <w:tcW w:w="4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937"/>
              <w:jc w:val="right"/>
              <w:rPr>
                <w:rFonts w:ascii="宋体" w:hAnsi="宋体" w:cs="宋体" w:eastAsia="宋体" w:hint="default"/>
                <w:sz w:val="18"/>
                <w:szCs w:val="18"/>
              </w:rPr>
            </w:pPr>
            <w:r>
              <w:rPr>
                <w:rFonts w:ascii="宋体" w:hAnsi="宋体" w:cs="宋体" w:eastAsia="宋体" w:hint="default"/>
                <w:sz w:val="18"/>
                <w:szCs w:val="18"/>
              </w:rPr>
              <w:t>合计</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right"/>
              <w:rPr>
                <w:rFonts w:ascii="Times New Roman" w:hAnsi="Times New Roman" w:cs="Times New Roman" w:eastAsia="Times New Roman" w:hint="default"/>
                <w:sz w:val="18"/>
                <w:szCs w:val="18"/>
              </w:rPr>
            </w:pPr>
            <w:r>
              <w:rPr>
                <w:rFonts w:ascii="Times New Roman"/>
                <w:spacing w:val="-1"/>
                <w:sz w:val="18"/>
              </w:rPr>
              <w:t>843,295,785.40</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right"/>
              <w:rPr>
                <w:rFonts w:ascii="Times New Roman" w:hAnsi="Times New Roman" w:cs="Times New Roman" w:eastAsia="Times New Roman" w:hint="default"/>
                <w:sz w:val="18"/>
                <w:szCs w:val="18"/>
              </w:rPr>
            </w:pPr>
            <w:r>
              <w:rPr>
                <w:rFonts w:ascii="Times New Roman"/>
                <w:spacing w:val="-1"/>
                <w:sz w:val="18"/>
              </w:rPr>
              <w:t>1,080,145,915.44</w:t>
            </w:r>
          </w:p>
        </w:tc>
      </w:tr>
    </w:tbl>
    <w:p>
      <w:pPr>
        <w:pStyle w:val="Heading4"/>
        <w:spacing w:line="240" w:lineRule="auto" w:before="59"/>
        <w:ind w:left="212" w:right="207"/>
        <w:jc w:val="left"/>
        <w:rPr>
          <w:b w:val="0"/>
          <w:bCs w:val="0"/>
        </w:rPr>
      </w:pPr>
      <w:r>
        <w:rPr>
          <w:rFonts w:ascii="Times New Roman" w:hAnsi="Times New Roman" w:cs="Times New Roman" w:eastAsia="Times New Roman" w:hint="default"/>
          <w:sz w:val="18"/>
          <w:szCs w:val="18"/>
        </w:rPr>
        <w:t>3</w:t>
      </w:r>
      <w:r>
        <w:rPr/>
        <w:t>、流动性风险</w:t>
      </w:r>
      <w:r>
        <w:rPr>
          <w:b w:val="0"/>
          <w:bCs w:val="0"/>
        </w:rPr>
      </w:r>
    </w:p>
    <w:p>
      <w:pPr>
        <w:spacing w:line="240" w:lineRule="auto" w:before="5"/>
        <w:rPr>
          <w:rFonts w:ascii="宋体" w:hAnsi="宋体" w:cs="宋体" w:eastAsia="宋体" w:hint="default"/>
          <w:b/>
          <w:bCs/>
          <w:sz w:val="14"/>
          <w:szCs w:val="14"/>
        </w:rPr>
      </w:pPr>
    </w:p>
    <w:p>
      <w:pPr>
        <w:pStyle w:val="Heading3"/>
        <w:spacing w:line="400" w:lineRule="auto" w:before="0"/>
        <w:ind w:left="212" w:right="1126" w:firstLine="420"/>
        <w:jc w:val="both"/>
      </w:pPr>
      <w:r>
        <w:rPr>
          <w:spacing w:val="-2"/>
        </w:rPr>
        <w:t>流动风险，是指企业在履行以交付现金或其他金融资产的方式结算的义务时发生资金短缺的风险。本</w:t>
      </w:r>
      <w:r>
        <w:rPr>
          <w:w w:val="100"/>
        </w:rPr>
        <w:t> </w:t>
      </w:r>
      <w:r>
        <w:rPr>
          <w:spacing w:val="-2"/>
        </w:rPr>
        <w:t>公司的政策是确保拥有充足的现金以偿还到期债务。流动性风险由本公司的财务部门集中控制。财务部门</w:t>
      </w:r>
      <w:r>
        <w:rPr>
          <w:spacing w:val="-43"/>
        </w:rPr>
        <w:t> </w:t>
      </w:r>
      <w:r>
        <w:rPr>
          <w:spacing w:val="-43"/>
        </w:rPr>
      </w:r>
      <w:r>
        <w:rPr>
          <w:spacing w:val="-2"/>
        </w:rPr>
        <w:t>通过监控现金余额、可随时变现的有价证券以及对未来</w:t>
      </w:r>
      <w:r>
        <w:rPr>
          <w:rFonts w:ascii="Times New Roman" w:hAnsi="Times New Roman" w:cs="Times New Roman" w:eastAsia="Times New Roman" w:hint="default"/>
          <w:spacing w:val="-2"/>
        </w:rPr>
        <w:t>12</w:t>
      </w:r>
      <w:r>
        <w:rPr>
          <w:spacing w:val="-2"/>
        </w:rPr>
        <w:t>个月现金流量的滚动预测，确保公司在所有合理</w:t>
      </w:r>
      <w:r>
        <w:rPr>
          <w:spacing w:val="-40"/>
        </w:rPr>
        <w:t> </w:t>
      </w:r>
      <w:r>
        <w:rPr>
          <w:spacing w:val="-40"/>
        </w:rPr>
      </w:r>
      <w:r>
        <w:rPr/>
        <w:t>预测的情况下拥有充足的资金偿还债务。</w:t>
      </w:r>
    </w:p>
    <w:p>
      <w:pPr>
        <w:pStyle w:val="Heading2"/>
        <w:spacing w:line="240" w:lineRule="auto" w:before="27"/>
        <w:ind w:left="212" w:right="207"/>
        <w:jc w:val="left"/>
        <w:rPr>
          <w:b w:val="0"/>
          <w:bCs w:val="0"/>
        </w:rPr>
      </w:pPr>
      <w:r>
        <w:rPr/>
        <w:t>十一、公允价值的披露</w:t>
      </w:r>
      <w:r>
        <w:rPr>
          <w:b w:val="0"/>
          <w:bCs w:val="0"/>
        </w:rPr>
      </w:r>
    </w:p>
    <w:p>
      <w:pPr>
        <w:pStyle w:val="Heading4"/>
        <w:spacing w:line="240" w:lineRule="auto" w:before="186"/>
        <w:ind w:left="212" w:right="207"/>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pStyle w:val="BodyText"/>
        <w:spacing w:line="240" w:lineRule="auto" w:before="128"/>
        <w:ind w:left="0" w:right="1131"/>
        <w:jc w:val="right"/>
      </w:pPr>
      <w:r>
        <w:rPr/>
        <w:t>单位：</w:t>
      </w:r>
      <w:r>
        <w:rPr>
          <w:spacing w:val="1"/>
        </w:rPr>
        <w:t> </w:t>
      </w:r>
      <w:r>
        <w:rPr/>
        <w:t>元</w:t>
      </w:r>
    </w:p>
    <w:p>
      <w:pPr>
        <w:spacing w:after="0" w:line="240" w:lineRule="auto"/>
        <w:jc w:val="right"/>
        <w:sectPr>
          <w:pgSz w:w="11910" w:h="16840"/>
          <w:pgMar w:header="877" w:footer="979" w:top="1100" w:bottom="1160" w:left="9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1972"/>
        <w:gridCol w:w="1847"/>
        <w:gridCol w:w="1913"/>
        <w:gridCol w:w="1913"/>
        <w:gridCol w:w="1916"/>
      </w:tblGrid>
      <w:tr>
        <w:trPr>
          <w:trHeight w:val="322" w:hRule="exact"/>
        </w:trPr>
        <w:tc>
          <w:tcPr>
            <w:tcW w:w="19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4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834"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972" w:type="dxa"/>
            <w:vMerge/>
            <w:tcBorders>
              <w:left w:val="single" w:sz="4" w:space="0" w:color="000000"/>
              <w:bottom w:val="nil" w:sz="6" w:space="0" w:color="auto"/>
              <w:right w:val="single" w:sz="4" w:space="0" w:color="000000"/>
            </w:tcBorders>
            <w:shd w:val="clear" w:color="auto" w:fill="D2D2D2"/>
          </w:tcPr>
          <w:p>
            <w:pPr/>
          </w:p>
        </w:tc>
        <w:tc>
          <w:tcPr>
            <w:tcW w:w="1847"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22" w:space="0" w:color="D2D2D2"/>
              <w:right w:val="single" w:sz="22" w:space="0" w:color="D2D2D2"/>
            </w:tcBorders>
          </w:tcPr>
          <w:p>
            <w:pPr>
              <w:pStyle w:val="TableParagraph"/>
              <w:spacing w:line="240" w:lineRule="auto" w:before="8"/>
              <w:ind w:left="3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第二层次公允价值计量</w:t>
            </w:r>
            <w:r>
              <w:rPr>
                <w:rFonts w:ascii="宋体" w:hAnsi="宋体" w:cs="宋体" w:eastAsia="宋体" w:hint="default"/>
                <w:sz w:val="18"/>
                <w:szCs w:val="18"/>
              </w:rPr>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52"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61" w:hRule="exact"/>
        </w:trPr>
        <w:tc>
          <w:tcPr>
            <w:tcW w:w="1972" w:type="dxa"/>
            <w:vMerge w:val="restart"/>
            <w:tcBorders>
              <w:top w:val="nil" w:sz="6" w:space="0" w:color="auto"/>
              <w:left w:val="single" w:sz="4" w:space="0" w:color="000000"/>
              <w:right w:val="single" w:sz="4" w:space="0" w:color="000000"/>
            </w:tcBorders>
            <w:shd w:val="clear" w:color="auto" w:fill="D2D2D2"/>
          </w:tcPr>
          <w:p>
            <w:pPr/>
          </w:p>
        </w:tc>
        <w:tc>
          <w:tcPr>
            <w:tcW w:w="1847" w:type="dxa"/>
            <w:vMerge/>
            <w:tcBorders>
              <w:left w:val="single" w:sz="4" w:space="0" w:color="000000"/>
              <w:right w:val="single" w:sz="4" w:space="0" w:color="000000"/>
            </w:tcBorders>
            <w:shd w:val="clear" w:color="auto" w:fill="D2D2D2"/>
          </w:tcPr>
          <w:p>
            <w:pPr/>
          </w:p>
        </w:tc>
        <w:tc>
          <w:tcPr>
            <w:tcW w:w="1913" w:type="dxa"/>
            <w:vMerge/>
            <w:tcBorders>
              <w:left w:val="single" w:sz="22" w:space="0" w:color="D2D2D2"/>
              <w:bottom w:val="nil" w:sz="6" w:space="0" w:color="auto"/>
              <w:right w:val="single" w:sz="22" w:space="0" w:color="D2D2D2"/>
            </w:tcBorders>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72" w:type="dxa"/>
            <w:vMerge/>
            <w:tcBorders>
              <w:left w:val="single" w:sz="4" w:space="0" w:color="000000"/>
              <w:bottom w:val="single" w:sz="4" w:space="0" w:color="000000"/>
              <w:right w:val="single" w:sz="4" w:space="0" w:color="000000"/>
            </w:tcBorders>
            <w:shd w:val="clear" w:color="auto" w:fill="D2D2D2"/>
          </w:tcPr>
          <w:p>
            <w:pPr/>
          </w:p>
        </w:tc>
        <w:tc>
          <w:tcPr>
            <w:tcW w:w="1847"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2"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948"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2" w:right="11"/>
              <w:jc w:val="left"/>
              <w:rPr>
                <w:rFonts w:ascii="宋体" w:hAnsi="宋体" w:cs="宋体" w:eastAsia="宋体" w:hint="default"/>
                <w:sz w:val="18"/>
                <w:szCs w:val="18"/>
              </w:rPr>
            </w:pPr>
            <w:r>
              <w:rPr>
                <w:rFonts w:ascii="宋体" w:hAnsi="宋体" w:cs="宋体" w:eastAsia="宋体" w:hint="default"/>
                <w:spacing w:val="-4"/>
                <w:sz w:val="18"/>
                <w:szCs w:val="18"/>
              </w:rPr>
              <w:t>（一）以公允价值计量且</w:t>
            </w:r>
            <w:r>
              <w:rPr>
                <w:rFonts w:ascii="宋体" w:hAnsi="宋体" w:cs="宋体" w:eastAsia="宋体" w:hint="default"/>
                <w:sz w:val="18"/>
                <w:szCs w:val="18"/>
              </w:rPr>
              <w:t> 变动计入当期损益的金 融资产</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交易性金融资产</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）衍生金融资产</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12"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指定以公允价值计量且 其变动计入当期损益的 金融资产</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pacing w:val="-4"/>
                <w:sz w:val="18"/>
                <w:szCs w:val="18"/>
              </w:rPr>
              <w:t>（二）可供出售金融资产</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843,295,785.40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843,295,785.40</w:t>
            </w:r>
          </w:p>
        </w:tc>
      </w:tr>
      <w:tr>
        <w:trPr>
          <w:trHeight w:val="322"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843,295,785.40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843,295,785.40</w:t>
            </w:r>
          </w:p>
        </w:tc>
      </w:tr>
      <w:tr>
        <w:trPr>
          <w:trHeight w:val="322"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（三）投资性房地产</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出租用的土地使用权</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出租的建筑物</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2"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持有并准备增值后转让 的土地使用权</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（四）生物资产</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消耗性生物资产</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生产性生物资产</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148"/>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843,295,785.40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843,295,785.40</w:t>
            </w:r>
          </w:p>
        </w:tc>
      </w:tr>
      <w:tr>
        <w:trPr>
          <w:trHeight w:val="322"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（五）交易性金融负债</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pacing w:val="-4"/>
                <w:sz w:val="18"/>
                <w:szCs w:val="18"/>
              </w:rPr>
              <w:t>其中：发行的交易性债券</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2" w:right="11"/>
              <w:jc w:val="left"/>
              <w:rPr>
                <w:rFonts w:ascii="宋体" w:hAnsi="宋体" w:cs="宋体" w:eastAsia="宋体" w:hint="default"/>
                <w:sz w:val="18"/>
                <w:szCs w:val="18"/>
              </w:rPr>
            </w:pPr>
            <w:r>
              <w:rPr>
                <w:rFonts w:ascii="宋体" w:hAnsi="宋体" w:cs="宋体" w:eastAsia="宋体" w:hint="default"/>
                <w:spacing w:val="-4"/>
                <w:sz w:val="18"/>
                <w:szCs w:val="18"/>
              </w:rPr>
              <w:t>（六）指定为以公允价值</w:t>
            </w:r>
            <w:r>
              <w:rPr>
                <w:rFonts w:ascii="宋体" w:hAnsi="宋体" w:cs="宋体" w:eastAsia="宋体" w:hint="default"/>
                <w:sz w:val="18"/>
                <w:szCs w:val="18"/>
              </w:rPr>
              <w:t> 计量且变动计入当期损 益的金融负债</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148"/>
              <w:jc w:val="left"/>
              <w:rPr>
                <w:rFonts w:ascii="宋体" w:hAnsi="宋体" w:cs="宋体" w:eastAsia="宋体" w:hint="default"/>
                <w:sz w:val="18"/>
                <w:szCs w:val="18"/>
              </w:rPr>
            </w:pPr>
            <w:r>
              <w:rPr>
                <w:rFonts w:ascii="宋体" w:hAnsi="宋体" w:cs="宋体" w:eastAsia="宋体" w:hint="default"/>
                <w:sz w:val="18"/>
                <w:szCs w:val="18"/>
              </w:rPr>
              <w:t>持续以公允价值计量的 负债总额</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9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12" w:right="11"/>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47"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1972" w:type="dxa"/>
            <w:vMerge/>
            <w:tcBorders>
              <w:left w:val="single" w:sz="4" w:space="0" w:color="000000"/>
              <w:right w:val="single" w:sz="4" w:space="0" w:color="000000"/>
            </w:tcBorders>
            <w:shd w:val="clear" w:color="auto" w:fill="D2D2D2"/>
          </w:tcPr>
          <w:p>
            <w:pPr/>
          </w:p>
        </w:tc>
        <w:tc>
          <w:tcPr>
            <w:tcW w:w="18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13"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72" w:type="dxa"/>
            <w:vMerge/>
            <w:tcBorders>
              <w:left w:val="single" w:sz="4" w:space="0" w:color="000000"/>
              <w:bottom w:val="single" w:sz="4" w:space="0" w:color="000000"/>
              <w:right w:val="single" w:sz="4" w:space="0" w:color="000000"/>
            </w:tcBorders>
            <w:shd w:val="clear" w:color="auto" w:fill="D2D2D2"/>
          </w:tcPr>
          <w:p>
            <w:pPr/>
          </w:p>
        </w:tc>
        <w:tc>
          <w:tcPr>
            <w:tcW w:w="184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2"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（一）持有待售资产</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非持续以公允价值计量</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32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的资产总额</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159"/>
              <w:jc w:val="left"/>
              <w:rPr>
                <w:rFonts w:ascii="宋体" w:hAnsi="宋体" w:cs="宋体" w:eastAsia="宋体" w:hint="default"/>
                <w:sz w:val="18"/>
                <w:szCs w:val="18"/>
              </w:rPr>
            </w:pPr>
            <w:r>
              <w:rPr>
                <w:rFonts w:ascii="宋体" w:hAnsi="宋体" w:cs="宋体" w:eastAsia="宋体" w:hint="default"/>
                <w:sz w:val="18"/>
                <w:szCs w:val="18"/>
              </w:rPr>
              <w:t>非持续以公允价值计量 的负债总额</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Heading4"/>
        <w:spacing w:line="240" w:lineRule="auto" w:before="71"/>
        <w:ind w:right="1034"/>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
        <w:rPr>
          <w:rFonts w:ascii="宋体" w:hAnsi="宋体" w:cs="宋体" w:eastAsia="宋体" w:hint="default"/>
          <w:b/>
          <w:bCs/>
          <w:sz w:val="14"/>
          <w:szCs w:val="14"/>
        </w:rPr>
      </w:pPr>
    </w:p>
    <w:p>
      <w:pPr>
        <w:spacing w:line="388" w:lineRule="auto" w:before="0"/>
        <w:ind w:left="152" w:right="1034" w:firstLine="317"/>
        <w:jc w:val="left"/>
        <w:rPr>
          <w:rFonts w:ascii="宋体" w:hAnsi="宋体" w:cs="宋体" w:eastAsia="宋体" w:hint="default"/>
          <w:sz w:val="20"/>
          <w:szCs w:val="20"/>
        </w:rPr>
      </w:pPr>
      <w:r>
        <w:rPr>
          <w:rFonts w:ascii="宋体" w:hAnsi="宋体" w:cs="宋体" w:eastAsia="宋体" w:hint="default"/>
          <w:sz w:val="21"/>
          <w:szCs w:val="21"/>
        </w:rPr>
        <w:t>截止</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日，本公司持有神州数码控股有限公司</w:t>
      </w:r>
      <w:r>
        <w:rPr>
          <w:rFonts w:ascii="Times New Roman" w:hAnsi="Times New Roman" w:cs="Times New Roman" w:eastAsia="Times New Roman" w:hint="default"/>
          <w:sz w:val="21"/>
          <w:szCs w:val="21"/>
        </w:rPr>
        <w:t>265,869,250</w:t>
      </w:r>
      <w:r>
        <w:rPr>
          <w:rFonts w:ascii="宋体" w:hAnsi="宋体" w:cs="宋体" w:eastAsia="宋体" w:hint="default"/>
          <w:sz w:val="21"/>
          <w:szCs w:val="21"/>
        </w:rPr>
        <w:t>股，其</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日的收盘价</w:t>
      </w:r>
      <w:r>
        <w:rPr>
          <w:rFonts w:ascii="宋体" w:hAnsi="宋体" w:cs="宋体" w:eastAsia="宋体" w:hint="default"/>
          <w:w w:val="100"/>
          <w:sz w:val="21"/>
          <w:szCs w:val="21"/>
        </w:rPr>
        <w:t> </w:t>
      </w:r>
      <w:r>
        <w:rPr>
          <w:rFonts w:ascii="宋体" w:hAnsi="宋体" w:cs="宋体" w:eastAsia="宋体" w:hint="default"/>
          <w:sz w:val="21"/>
          <w:szCs w:val="21"/>
        </w:rPr>
        <w:t>为</w:t>
      </w:r>
      <w:r>
        <w:rPr>
          <w:rFonts w:ascii="Times New Roman" w:hAnsi="Times New Roman" w:cs="Times New Roman" w:eastAsia="Times New Roman" w:hint="default"/>
          <w:sz w:val="21"/>
          <w:szCs w:val="21"/>
        </w:rPr>
        <w:t>3.62</w:t>
      </w:r>
      <w:r>
        <w:rPr>
          <w:rFonts w:ascii="宋体" w:hAnsi="宋体" w:cs="宋体" w:eastAsia="宋体" w:hint="default"/>
          <w:sz w:val="21"/>
          <w:szCs w:val="21"/>
        </w:rPr>
        <w:t>港元</w:t>
      </w:r>
      <w:r>
        <w:rPr>
          <w:rFonts w:ascii="Times New Roman" w:hAnsi="Times New Roman" w:cs="Times New Roman" w:eastAsia="Times New Roman" w:hint="default"/>
          <w:sz w:val="21"/>
          <w:szCs w:val="21"/>
        </w:rPr>
        <w:t>/</w:t>
      </w:r>
      <w:r>
        <w:rPr>
          <w:rFonts w:ascii="宋体" w:hAnsi="宋体" w:cs="宋体" w:eastAsia="宋体" w:hint="default"/>
          <w:sz w:val="21"/>
          <w:szCs w:val="21"/>
        </w:rPr>
        <w:t>股，按照</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日的汇率折算公允价值为</w:t>
      </w:r>
      <w:r>
        <w:rPr>
          <w:rFonts w:ascii="Times New Roman" w:hAnsi="Times New Roman" w:cs="Times New Roman" w:eastAsia="Times New Roman" w:hint="default"/>
          <w:sz w:val="21"/>
          <w:szCs w:val="21"/>
        </w:rPr>
        <w:t>84,329.58</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、持续和非持续第二层次公允价值计量项目，采用的估值技术和重要参数的定性及定量信息</w:t>
      </w:r>
      <w:r>
        <w:rPr>
          <w:rFonts w:ascii="宋体" w:hAnsi="宋体" w:cs="宋体" w:eastAsia="宋体" w:hint="default"/>
          <w:sz w:val="20"/>
          <w:szCs w:val="20"/>
        </w:rPr>
      </w:r>
    </w:p>
    <w:p>
      <w:pPr>
        <w:pStyle w:val="Heading3"/>
        <w:spacing w:line="240" w:lineRule="auto" w:before="47"/>
        <w:ind w:left="467" w:right="1034"/>
        <w:jc w:val="left"/>
      </w:pPr>
      <w:r>
        <w:rPr/>
        <w:t>公司本期没有持续和非持续第二层次公允价值计量项目。</w:t>
      </w:r>
    </w:p>
    <w:p>
      <w:pPr>
        <w:spacing w:line="240" w:lineRule="auto" w:before="4"/>
        <w:rPr>
          <w:rFonts w:ascii="宋体" w:hAnsi="宋体" w:cs="宋体" w:eastAsia="宋体" w:hint="default"/>
          <w:sz w:val="15"/>
          <w:szCs w:val="15"/>
        </w:rPr>
      </w:pPr>
    </w:p>
    <w:p>
      <w:pPr>
        <w:pStyle w:val="Heading4"/>
        <w:spacing w:line="240" w:lineRule="auto"/>
        <w:ind w:right="1034"/>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
        <w:rPr>
          <w:rFonts w:ascii="宋体" w:hAnsi="宋体" w:cs="宋体" w:eastAsia="宋体" w:hint="default"/>
          <w:b/>
          <w:bCs/>
          <w:sz w:val="14"/>
          <w:szCs w:val="14"/>
        </w:rPr>
      </w:pPr>
    </w:p>
    <w:p>
      <w:pPr>
        <w:pStyle w:val="Heading3"/>
        <w:spacing w:line="240" w:lineRule="auto" w:before="0"/>
        <w:ind w:left="467" w:right="1034"/>
        <w:jc w:val="left"/>
      </w:pPr>
      <w:r>
        <w:rPr/>
        <w:t>公司本期没有持续和非持续第三层次公允价值计量项目。</w:t>
      </w:r>
    </w:p>
    <w:p>
      <w:pPr>
        <w:spacing w:line="240" w:lineRule="auto" w:before="4"/>
        <w:rPr>
          <w:rFonts w:ascii="宋体" w:hAnsi="宋体" w:cs="宋体" w:eastAsia="宋体" w:hint="default"/>
          <w:sz w:val="15"/>
          <w:szCs w:val="15"/>
        </w:rPr>
      </w:pPr>
    </w:p>
    <w:p>
      <w:pPr>
        <w:pStyle w:val="Heading4"/>
        <w:spacing w:line="240" w:lineRule="auto"/>
        <w:ind w:right="1034"/>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1"/>
        <w:rPr>
          <w:rFonts w:ascii="宋体" w:hAnsi="宋体" w:cs="宋体" w:eastAsia="宋体" w:hint="default"/>
          <w:b/>
          <w:bCs/>
          <w:sz w:val="14"/>
          <w:szCs w:val="14"/>
        </w:rPr>
      </w:pPr>
    </w:p>
    <w:p>
      <w:pPr>
        <w:spacing w:line="410" w:lineRule="auto" w:before="0"/>
        <w:ind w:left="152" w:right="2221" w:firstLine="314"/>
        <w:jc w:val="left"/>
        <w:rPr>
          <w:rFonts w:ascii="宋体" w:hAnsi="宋体" w:cs="宋体" w:eastAsia="宋体" w:hint="default"/>
          <w:sz w:val="20"/>
          <w:szCs w:val="20"/>
        </w:rPr>
      </w:pPr>
      <w:r>
        <w:rPr>
          <w:rFonts w:ascii="宋体" w:hAnsi="宋体" w:cs="宋体" w:eastAsia="宋体" w:hint="default"/>
          <w:sz w:val="21"/>
          <w:szCs w:val="21"/>
        </w:rPr>
        <w:t>公司本期没有持续的第三层次公允价值计量项目。</w:t>
      </w:r>
      <w:r>
        <w:rPr>
          <w:rFonts w:ascii="宋体" w:hAnsi="宋体" w:cs="宋体" w:eastAsia="宋体" w:hint="default"/>
          <w:w w:val="100"/>
          <w:sz w:val="21"/>
          <w:szCs w:val="21"/>
        </w:rPr>
        <w:t> </w:t>
      </w: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、持续的公允价值计量项目，本期内发生各层级之间转换的，转换的原因及确定转换时点的政策</w:t>
      </w:r>
      <w:r>
        <w:rPr>
          <w:rFonts w:ascii="宋体" w:hAnsi="宋体" w:cs="宋体" w:eastAsia="宋体" w:hint="default"/>
          <w:b/>
          <w:bCs/>
          <w:w w:val="99"/>
          <w:sz w:val="20"/>
          <w:szCs w:val="20"/>
        </w:rPr>
        <w:t> </w:t>
      </w:r>
      <w:r>
        <w:rPr>
          <w:rFonts w:ascii="宋体" w:hAnsi="宋体" w:cs="宋体" w:eastAsia="宋体" w:hint="default"/>
          <w:sz w:val="21"/>
          <w:szCs w:val="21"/>
        </w:rPr>
        <w:t>公司持续的公允价值计量项目，本期没有本期内发生各层级之间转换的情况。</w:t>
      </w:r>
      <w:r>
        <w:rPr>
          <w:rFonts w:ascii="宋体" w:hAnsi="宋体" w:cs="宋体" w:eastAsia="宋体" w:hint="default"/>
          <w:w w:val="100"/>
          <w:sz w:val="21"/>
          <w:szCs w:val="21"/>
        </w:rPr>
        <w:t> </w:t>
      </w:r>
      <w:r>
        <w:rPr>
          <w:rFonts w:ascii="Times New Roman" w:hAnsi="Times New Roman" w:cs="Times New Roman" w:eastAsia="Times New Roman" w:hint="default"/>
          <w:b/>
          <w:bCs/>
          <w:sz w:val="20"/>
          <w:szCs w:val="20"/>
        </w:rPr>
        <w:t>7</w:t>
      </w:r>
      <w:r>
        <w:rPr>
          <w:rFonts w:ascii="宋体" w:hAnsi="宋体" w:cs="宋体" w:eastAsia="宋体" w:hint="default"/>
          <w:b/>
          <w:bCs/>
          <w:sz w:val="20"/>
          <w:szCs w:val="20"/>
        </w:rPr>
        <w:t>、本期内发生的估值技术变更及变更原因</w:t>
      </w:r>
      <w:r>
        <w:rPr>
          <w:rFonts w:ascii="宋体" w:hAnsi="宋体" w:cs="宋体" w:eastAsia="宋体" w:hint="default"/>
          <w:sz w:val="20"/>
          <w:szCs w:val="20"/>
        </w:rPr>
      </w:r>
    </w:p>
    <w:p>
      <w:pPr>
        <w:pStyle w:val="Heading3"/>
        <w:spacing w:line="240" w:lineRule="auto" w:before="27"/>
        <w:ind w:left="364" w:right="1034"/>
        <w:jc w:val="left"/>
      </w:pPr>
      <w:r>
        <w:rPr/>
        <w:t>公司本期内没有发生估值技术变更。</w:t>
      </w:r>
    </w:p>
    <w:p>
      <w:pPr>
        <w:spacing w:line="240" w:lineRule="auto" w:before="4"/>
        <w:rPr>
          <w:rFonts w:ascii="宋体" w:hAnsi="宋体" w:cs="宋体" w:eastAsia="宋体" w:hint="default"/>
          <w:sz w:val="15"/>
          <w:szCs w:val="15"/>
        </w:rPr>
      </w:pPr>
    </w:p>
    <w:p>
      <w:pPr>
        <w:pStyle w:val="Heading4"/>
        <w:spacing w:line="240" w:lineRule="auto"/>
        <w:ind w:right="1034"/>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
        <w:rPr>
          <w:rFonts w:ascii="宋体" w:hAnsi="宋体" w:cs="宋体" w:eastAsia="宋体" w:hint="default"/>
          <w:b/>
          <w:bCs/>
          <w:sz w:val="14"/>
          <w:szCs w:val="14"/>
        </w:rPr>
      </w:pPr>
    </w:p>
    <w:p>
      <w:pPr>
        <w:pStyle w:val="Heading3"/>
        <w:spacing w:line="240" w:lineRule="auto" w:before="0"/>
        <w:ind w:left="448" w:right="1034"/>
        <w:jc w:val="left"/>
      </w:pPr>
      <w:r>
        <w:rPr/>
        <w:t>公司本期没有不以公允价值计量的金融资产和金融负债的公允价值情况。</w:t>
      </w:r>
    </w:p>
    <w:p>
      <w:pPr>
        <w:pStyle w:val="Heading2"/>
        <w:spacing w:line="240" w:lineRule="auto" w:before="167"/>
        <w:ind w:right="1034"/>
        <w:jc w:val="left"/>
        <w:rPr>
          <w:b w:val="0"/>
          <w:bCs w:val="0"/>
        </w:rPr>
      </w:pPr>
      <w:r>
        <w:rPr/>
        <w:t>十二、关联方及关联交易</w:t>
      </w:r>
      <w:r>
        <w:rPr>
          <w:b w:val="0"/>
          <w:bCs w:val="0"/>
        </w:rPr>
      </w:r>
    </w:p>
    <w:p>
      <w:pPr>
        <w:pStyle w:val="Heading4"/>
        <w:spacing w:line="240" w:lineRule="auto" w:before="107"/>
        <w:ind w:right="1034"/>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5"/>
        <w:rPr>
          <w:rFonts w:ascii="宋体" w:hAnsi="宋体" w:cs="宋体" w:eastAsia="宋体" w:hint="default"/>
          <w:b/>
          <w:bCs/>
          <w:sz w:val="3"/>
          <w:szCs w:val="3"/>
        </w:rPr>
      </w:pPr>
    </w:p>
    <w:tbl>
      <w:tblPr>
        <w:tblW w:w="0" w:type="auto"/>
        <w:jc w:val="left"/>
        <w:tblInd w:w="148" w:type="dxa"/>
        <w:tblLayout w:type="fixed"/>
        <w:tblCellMar>
          <w:top w:w="0" w:type="dxa"/>
          <w:left w:w="0" w:type="dxa"/>
          <w:bottom w:w="0" w:type="dxa"/>
          <w:right w:w="0" w:type="dxa"/>
        </w:tblCellMar>
        <w:tblLook w:val="01E0"/>
      </w:tblPr>
      <w:tblGrid>
        <w:gridCol w:w="2268"/>
        <w:gridCol w:w="2127"/>
        <w:gridCol w:w="1136"/>
        <w:gridCol w:w="847"/>
        <w:gridCol w:w="1594"/>
        <w:gridCol w:w="1596"/>
      </w:tblGrid>
      <w:tr>
        <w:trPr>
          <w:trHeight w:val="635"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679"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9"/>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63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11"/>
              <w:jc w:val="left"/>
              <w:rPr>
                <w:rFonts w:ascii="宋体" w:hAnsi="宋体" w:cs="宋体" w:eastAsia="宋体" w:hint="default"/>
                <w:sz w:val="18"/>
                <w:szCs w:val="18"/>
              </w:rPr>
            </w:pPr>
            <w:r>
              <w:rPr>
                <w:rFonts w:ascii="宋体" w:hAnsi="宋体" w:cs="宋体" w:eastAsia="宋体" w:hint="default"/>
                <w:sz w:val="18"/>
                <w:szCs w:val="18"/>
              </w:rPr>
              <w:t>广州市天河区黄埔大道西 平云路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163 </w:t>
            </w:r>
            <w:r>
              <w:rPr>
                <w:rFonts w:ascii="宋体" w:hAnsi="宋体" w:cs="宋体" w:eastAsia="宋体" w:hint="default"/>
                <w:sz w:val="18"/>
                <w:szCs w:val="18"/>
              </w:rPr>
              <w:t>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52.52%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52.52%</w:t>
            </w:r>
          </w:p>
        </w:tc>
      </w:tr>
    </w:tbl>
    <w:p>
      <w:pPr>
        <w:spacing w:line="439" w:lineRule="auto" w:before="71"/>
        <w:ind w:left="152" w:right="5443"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、本企业的子公司情况</w:t>
      </w:r>
      <w:r>
        <w:rPr>
          <w:rFonts w:ascii="宋体" w:hAnsi="宋体" w:cs="宋体" w:eastAsia="宋体" w:hint="default"/>
          <w:b/>
          <w:bCs/>
          <w:w w:val="99"/>
          <w:sz w:val="20"/>
          <w:szCs w:val="20"/>
        </w:rPr>
        <w:t> </w:t>
      </w:r>
      <w:r>
        <w:rPr>
          <w:rFonts w:ascii="宋体" w:hAnsi="宋体" w:cs="宋体" w:eastAsia="宋体" w:hint="default"/>
          <w:sz w:val="18"/>
          <w:szCs w:val="18"/>
        </w:rPr>
        <w:t>本企业子公司的情况详见附注九、在其他主体中的权益。 </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、本企业合营和联营企业情况</w:t>
      </w:r>
      <w:r>
        <w:rPr>
          <w:rFonts w:ascii="宋体" w:hAnsi="宋体" w:cs="宋体" w:eastAsia="宋体" w:hint="default"/>
          <w:sz w:val="20"/>
          <w:szCs w:val="20"/>
        </w:rPr>
      </w:r>
    </w:p>
    <w:p>
      <w:pPr>
        <w:pStyle w:val="BodyText"/>
        <w:spacing w:line="240" w:lineRule="auto" w:before="23"/>
        <w:ind w:right="1034"/>
        <w:jc w:val="left"/>
      </w:pPr>
      <w:r>
        <w:rPr/>
        <w:t>本企业重要的合营或联营企业详见附注九、在其他主体中的权益。</w:t>
      </w:r>
    </w:p>
    <w:p>
      <w:pPr>
        <w:spacing w:line="240" w:lineRule="auto" w:before="7"/>
        <w:rPr>
          <w:rFonts w:ascii="宋体" w:hAnsi="宋体" w:cs="宋体" w:eastAsia="宋体" w:hint="default"/>
          <w:sz w:val="16"/>
          <w:szCs w:val="16"/>
        </w:rPr>
      </w:pPr>
    </w:p>
    <w:p>
      <w:pPr>
        <w:pStyle w:val="Heading4"/>
        <w:spacing w:line="240" w:lineRule="auto"/>
        <w:ind w:right="1034"/>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2"/>
        <w:rPr>
          <w:rFonts w:ascii="宋体" w:hAnsi="宋体" w:cs="宋体" w:eastAsia="宋体" w:hint="default"/>
          <w:b/>
          <w:bCs/>
          <w:sz w:val="9"/>
          <w:szCs w:val="9"/>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广州通导信息技术服务有限公司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同一最终母公司</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广州广电城市服务集团股份有限公司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同一最终母公司</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同一最终母公司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广州广电计量检测股份有限公司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同一最终母公司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海华电子企业（中国）有限公司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同一最终母公司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夏锦军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资阳市政府国有资产监督管理委员会</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广东美电贝尔科技集团股份有限公司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广州辉远电子技术有限公司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广州广电智能科技有限公司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同一最终母公司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广州广电研究院有限公司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同一最终母公司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广州运通链达金服科技有限公司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pStyle w:val="Heading4"/>
        <w:spacing w:line="240" w:lineRule="auto" w:before="71"/>
        <w:ind w:right="1034"/>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14"/>
          <w:szCs w:val="14"/>
        </w:rPr>
      </w:pPr>
    </w:p>
    <w:p>
      <w:pPr>
        <w:pStyle w:val="Heading4"/>
        <w:spacing w:line="240" w:lineRule="auto"/>
        <w:ind w:right="1034"/>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1"/>
        <w:rPr>
          <w:rFonts w:ascii="宋体" w:hAnsi="宋体" w:cs="宋体" w:eastAsia="宋体" w:hint="default"/>
          <w:b/>
          <w:bCs/>
          <w:sz w:val="15"/>
          <w:szCs w:val="15"/>
        </w:rPr>
      </w:pPr>
    </w:p>
    <w:p>
      <w:pPr>
        <w:pStyle w:val="BodyText"/>
        <w:spacing w:line="240" w:lineRule="auto"/>
        <w:ind w:right="1034"/>
        <w:jc w:val="left"/>
      </w:pPr>
      <w:r>
        <w:rPr/>
        <w:t>采购商品</w:t>
      </w:r>
      <w:r>
        <w:rPr>
          <w:rFonts w:ascii="Times New Roman" w:hAnsi="Times New Roman" w:cs="Times New Roman" w:eastAsia="Times New Roman" w:hint="default"/>
        </w:rPr>
        <w:t>/</w:t>
      </w:r>
      <w:r>
        <w:rPr/>
        <w:t>接受劳务情况表</w:t>
      </w:r>
    </w:p>
    <w:p>
      <w:pPr>
        <w:spacing w:line="240" w:lineRule="auto" w:before="4"/>
        <w:rPr>
          <w:rFonts w:ascii="宋体" w:hAnsi="宋体" w:cs="宋体" w:eastAsia="宋体" w:hint="default"/>
          <w:sz w:val="13"/>
          <w:szCs w:val="1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121"/>
        <w:gridCol w:w="1274"/>
        <w:gridCol w:w="1136"/>
        <w:gridCol w:w="1416"/>
        <w:gridCol w:w="917"/>
        <w:gridCol w:w="1706"/>
      </w:tblGrid>
      <w:tr>
        <w:trPr>
          <w:trHeight w:val="715"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获批的交易额度</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2"/>
              <w:jc w:val="left"/>
              <w:rPr>
                <w:rFonts w:ascii="宋体" w:hAnsi="宋体" w:cs="宋体" w:eastAsia="宋体" w:hint="default"/>
                <w:sz w:val="18"/>
                <w:szCs w:val="18"/>
              </w:rPr>
            </w:pPr>
            <w:r>
              <w:rPr>
                <w:rFonts w:ascii="宋体" w:hAnsi="宋体" w:cs="宋体" w:eastAsia="宋体" w:hint="default"/>
                <w:sz w:val="18"/>
                <w:szCs w:val="18"/>
              </w:rPr>
              <w:t>是否超过 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广州广电智能科技有限公司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11,104,223.95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33,100,000.00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3"/>
              <w:jc w:val="righ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19,190,383.76</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广州广电计量检测股份有限公司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122,985.28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3"/>
              <w:jc w:val="righ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119,820.95</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广州广电城市服务集团股份有限公司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7,752,984.46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8,200,000.00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3"/>
              <w:jc w:val="righ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7,865,717.19</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海华电子企业（中国）有限公司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992,581.07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1,800,000.00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3"/>
              <w:jc w:val="righ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334,528.30</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海华电子企业（中国）有限公司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181,141.92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3"/>
              <w:jc w:val="righ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广州辉远电子技术有限公司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188,716.65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3"/>
              <w:jc w:val="righ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广东美电贝尔科技集团股份有限公司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3"/>
              <w:jc w:val="righ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281,471.15</w:t>
            </w:r>
          </w:p>
        </w:tc>
      </w:tr>
    </w:tbl>
    <w:p>
      <w:pPr>
        <w:pStyle w:val="BodyText"/>
        <w:spacing w:line="240" w:lineRule="auto" w:before="87"/>
        <w:ind w:right="1034"/>
        <w:jc w:val="left"/>
      </w:pPr>
      <w:r>
        <w:rPr/>
        <w:t>出售商品</w:t>
      </w:r>
      <w:r>
        <w:rPr>
          <w:rFonts w:ascii="Times New Roman" w:hAnsi="Times New Roman" w:cs="Times New Roman" w:eastAsia="Times New Roman" w:hint="default"/>
        </w:rPr>
        <w:t>/</w:t>
      </w:r>
      <w:r>
        <w:rPr/>
        <w:t>提供劳务情况表</w:t>
      </w:r>
    </w:p>
    <w:p>
      <w:pPr>
        <w:spacing w:line="240" w:lineRule="auto" w:before="5"/>
        <w:rPr>
          <w:rFonts w:ascii="宋体" w:hAnsi="宋体" w:cs="宋体" w:eastAsia="宋体" w:hint="default"/>
          <w:sz w:val="13"/>
          <w:szCs w:val="1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121"/>
        <w:gridCol w:w="2124"/>
        <w:gridCol w:w="2268"/>
        <w:gridCol w:w="2057"/>
      </w:tblGrid>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广州广电智能科技有限公司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销售货物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15,371.70</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广州广电城市服务集团股份有限公司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销售货物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231,185.48</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广州广电研究院</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6,703,773.59</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广州辉远电子技术有限公司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销售货物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971,108.39</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销售货物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104,525.86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119,487.18</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广州运通链达金服科技有限公司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销售固定资产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19,966.64</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广州广电计量检测股份有限公司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销售固定资产</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157,128.21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21"/>
        <w:gridCol w:w="2124"/>
        <w:gridCol w:w="2268"/>
        <w:gridCol w:w="2057"/>
      </w:tblGrid>
      <w:tr>
        <w:trPr>
          <w:trHeight w:val="40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销售货物</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8,396.22</w:t>
            </w:r>
          </w:p>
        </w:tc>
      </w:tr>
    </w:tbl>
    <w:p>
      <w:pPr>
        <w:pStyle w:val="Heading4"/>
        <w:spacing w:line="240" w:lineRule="auto" w:before="71"/>
        <w:ind w:right="1034"/>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1"/>
        <w:rPr>
          <w:rFonts w:ascii="宋体" w:hAnsi="宋体" w:cs="宋体" w:eastAsia="宋体" w:hint="default"/>
          <w:b/>
          <w:bCs/>
          <w:sz w:val="15"/>
          <w:szCs w:val="15"/>
        </w:rPr>
      </w:pPr>
    </w:p>
    <w:p>
      <w:pPr>
        <w:pStyle w:val="BodyText"/>
        <w:spacing w:line="240" w:lineRule="auto"/>
        <w:ind w:right="1034"/>
        <w:jc w:val="left"/>
      </w:pPr>
      <w:r>
        <w:rPr/>
        <w:t>本公司本期没有关联管理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p>
    <w:p>
      <w:pPr>
        <w:spacing w:line="240" w:lineRule="auto" w:before="6"/>
        <w:rPr>
          <w:rFonts w:ascii="宋体" w:hAnsi="宋体" w:cs="宋体" w:eastAsia="宋体" w:hint="default"/>
          <w:sz w:val="15"/>
          <w:szCs w:val="15"/>
        </w:rPr>
      </w:pPr>
    </w:p>
    <w:p>
      <w:pPr>
        <w:pStyle w:val="Heading4"/>
        <w:spacing w:line="240" w:lineRule="auto"/>
        <w:ind w:right="1034"/>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1"/>
        <w:rPr>
          <w:rFonts w:ascii="宋体" w:hAnsi="宋体" w:cs="宋体" w:eastAsia="宋体" w:hint="default"/>
          <w:b/>
          <w:bCs/>
          <w:sz w:val="15"/>
          <w:szCs w:val="15"/>
        </w:rPr>
      </w:pPr>
    </w:p>
    <w:p>
      <w:pPr>
        <w:pStyle w:val="BodyText"/>
        <w:spacing w:line="240" w:lineRule="auto"/>
        <w:ind w:right="1034"/>
        <w:jc w:val="left"/>
      </w:pPr>
      <w:r>
        <w:rPr/>
        <w:t>本公司作为承租方：</w:t>
      </w:r>
    </w:p>
    <w:p>
      <w:pPr>
        <w:spacing w:line="240" w:lineRule="auto" w:before="5"/>
        <w:rPr>
          <w:rFonts w:ascii="宋体" w:hAnsi="宋体" w:cs="宋体" w:eastAsia="宋体" w:hint="default"/>
          <w:sz w:val="14"/>
          <w:szCs w:val="14"/>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121"/>
        <w:gridCol w:w="1982"/>
        <w:gridCol w:w="2554"/>
        <w:gridCol w:w="1913"/>
      </w:tblGrid>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出租方名称</w:t>
            </w:r>
          </w:p>
        </w:tc>
        <w:tc>
          <w:tcPr>
            <w:tcW w:w="1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办公大楼</w:t>
            </w:r>
          </w:p>
        </w:tc>
        <w:tc>
          <w:tcPr>
            <w:tcW w:w="255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750,451.77</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员工宿舍楼</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74" w:right="0"/>
              <w:jc w:val="left"/>
              <w:rPr>
                <w:rFonts w:ascii="Times New Roman" w:hAnsi="Times New Roman" w:cs="Times New Roman" w:eastAsia="Times New Roman" w:hint="default"/>
                <w:sz w:val="18"/>
                <w:szCs w:val="18"/>
              </w:rPr>
            </w:pPr>
            <w:r>
              <w:rPr>
                <w:rFonts w:ascii="Times New Roman"/>
                <w:sz w:val="18"/>
              </w:rPr>
              <w:t>1,139,914.29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1,085,590.00</w:t>
            </w:r>
          </w:p>
        </w:tc>
      </w:tr>
    </w:tbl>
    <w:p>
      <w:pPr>
        <w:pStyle w:val="Heading4"/>
        <w:spacing w:line="240" w:lineRule="auto" w:before="71"/>
        <w:ind w:right="1034"/>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1"/>
        <w:rPr>
          <w:rFonts w:ascii="宋体" w:hAnsi="宋体" w:cs="宋体" w:eastAsia="宋体" w:hint="default"/>
          <w:b/>
          <w:bCs/>
          <w:sz w:val="15"/>
          <w:szCs w:val="15"/>
        </w:rPr>
      </w:pPr>
    </w:p>
    <w:p>
      <w:pPr>
        <w:pStyle w:val="BodyText"/>
        <w:spacing w:line="240" w:lineRule="auto"/>
        <w:ind w:right="1034"/>
        <w:jc w:val="left"/>
      </w:pPr>
      <w:r>
        <w:rPr/>
        <w:t>本公司期末无关联担保情况。</w:t>
      </w:r>
    </w:p>
    <w:p>
      <w:pPr>
        <w:spacing w:line="240" w:lineRule="auto" w:before="7"/>
        <w:rPr>
          <w:rFonts w:ascii="宋体" w:hAnsi="宋体" w:cs="宋体" w:eastAsia="宋体" w:hint="default"/>
          <w:sz w:val="16"/>
          <w:szCs w:val="16"/>
        </w:rPr>
      </w:pPr>
    </w:p>
    <w:p>
      <w:pPr>
        <w:pStyle w:val="Heading4"/>
        <w:spacing w:line="240" w:lineRule="auto"/>
        <w:ind w:right="1034"/>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1"/>
        <w:rPr>
          <w:rFonts w:ascii="宋体" w:hAnsi="宋体" w:cs="宋体" w:eastAsia="宋体" w:hint="default"/>
          <w:b/>
          <w:bCs/>
          <w:sz w:val="15"/>
          <w:szCs w:val="15"/>
        </w:rPr>
      </w:pPr>
    </w:p>
    <w:p>
      <w:pPr>
        <w:pStyle w:val="BodyText"/>
        <w:spacing w:line="240" w:lineRule="auto"/>
        <w:ind w:right="1034"/>
        <w:jc w:val="left"/>
      </w:pPr>
      <w:r>
        <w:rPr/>
        <w:t>本公司本期没有关联方资金拆借。</w:t>
      </w:r>
    </w:p>
    <w:p>
      <w:pPr>
        <w:spacing w:line="240" w:lineRule="auto" w:before="7"/>
        <w:rPr>
          <w:rFonts w:ascii="宋体" w:hAnsi="宋体" w:cs="宋体" w:eastAsia="宋体" w:hint="default"/>
          <w:sz w:val="16"/>
          <w:szCs w:val="16"/>
        </w:rPr>
      </w:pPr>
    </w:p>
    <w:p>
      <w:pPr>
        <w:pStyle w:val="Heading4"/>
        <w:spacing w:line="240" w:lineRule="auto"/>
        <w:ind w:right="1034"/>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1"/>
        <w:rPr>
          <w:rFonts w:ascii="宋体" w:hAnsi="宋体" w:cs="宋体" w:eastAsia="宋体" w:hint="default"/>
          <w:b/>
          <w:bCs/>
          <w:sz w:val="15"/>
          <w:szCs w:val="15"/>
        </w:rPr>
      </w:pPr>
    </w:p>
    <w:p>
      <w:pPr>
        <w:pStyle w:val="BodyText"/>
        <w:spacing w:line="240" w:lineRule="auto"/>
        <w:ind w:right="1034"/>
        <w:jc w:val="left"/>
      </w:pPr>
      <w:r>
        <w:rPr/>
        <w:t>本公司本期没有关联方资产转让、债务重组情况。</w:t>
      </w:r>
    </w:p>
    <w:p>
      <w:pPr>
        <w:spacing w:line="240" w:lineRule="auto" w:before="7"/>
        <w:rPr>
          <w:rFonts w:ascii="宋体" w:hAnsi="宋体" w:cs="宋体" w:eastAsia="宋体" w:hint="default"/>
          <w:sz w:val="16"/>
          <w:szCs w:val="16"/>
        </w:rPr>
      </w:pPr>
    </w:p>
    <w:p>
      <w:pPr>
        <w:pStyle w:val="Heading4"/>
        <w:spacing w:line="240" w:lineRule="auto"/>
        <w:ind w:right="1034"/>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7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12,483,500.00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12,987,600.00</w:t>
            </w:r>
          </w:p>
        </w:tc>
      </w:tr>
    </w:tbl>
    <w:p>
      <w:pPr>
        <w:pStyle w:val="Heading4"/>
        <w:spacing w:line="240" w:lineRule="auto" w:before="71"/>
        <w:ind w:right="1034"/>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14"/>
          <w:szCs w:val="14"/>
        </w:rPr>
      </w:pPr>
    </w:p>
    <w:p>
      <w:pPr>
        <w:pStyle w:val="Heading4"/>
        <w:spacing w:line="240" w:lineRule="auto"/>
        <w:ind w:right="1034"/>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994"/>
        <w:gridCol w:w="2977"/>
        <w:gridCol w:w="1419"/>
        <w:gridCol w:w="1274"/>
        <w:gridCol w:w="1561"/>
        <w:gridCol w:w="1344"/>
      </w:tblGrid>
      <w:tr>
        <w:trPr>
          <w:trHeight w:val="402" w:hRule="exact"/>
        </w:trPr>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9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0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994" w:type="dxa"/>
            <w:vMerge/>
            <w:tcBorders>
              <w:left w:val="single" w:sz="4" w:space="0" w:color="000000"/>
              <w:bottom w:val="single" w:sz="4" w:space="0" w:color="000000"/>
              <w:right w:val="single" w:sz="4" w:space="0" w:color="000000"/>
            </w:tcBorders>
            <w:shd w:val="clear" w:color="auto" w:fill="D2D2D2"/>
          </w:tcPr>
          <w:p>
            <w:pPr/>
          </w:p>
        </w:tc>
        <w:tc>
          <w:tcPr>
            <w:tcW w:w="2977"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17,952.50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89.76</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广州辉远电子技术有限公司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1,029,454.30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5,147.26</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9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广州广电城市服务集团股份有限公司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85,424.14</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广州运通链达金服科技有限公司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26,435.97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132.18</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994"/>
        <w:gridCol w:w="2977"/>
        <w:gridCol w:w="1419"/>
        <w:gridCol w:w="1274"/>
        <w:gridCol w:w="1561"/>
        <w:gridCol w:w="1344"/>
      </w:tblGrid>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171,600.00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51,480.00</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海华电子企业（中国）有限公司</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88,200.00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441.00</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夏锦军</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广州广电城市服务集团股份有限公司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1,822.50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1,822.50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1,822.50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911.25</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4"/>
        <w:spacing w:line="240" w:lineRule="auto" w:before="37"/>
        <w:ind w:right="1034"/>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702"/>
        <w:gridCol w:w="3082"/>
        <w:gridCol w:w="2393"/>
        <w:gridCol w:w="2393"/>
      </w:tblGrid>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08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海华电子企业（中国）有限公司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606,638.60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广州广电城市服务集团股份有限公司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163,272.53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16,340.00</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广州广电智能科技有限公司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2,557,307.94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2,436,542.89</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广东美电贝尔科技集团股份有限公司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31,800.09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31,800.09</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193,924.50</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08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广州广电智能科技有限公司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1,900,000.00</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08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广州广电城市服务集团股份有限公司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2,425,166.00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5,065,166.00</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广州辉远电子技术有限公司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21,050.00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08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广州广电城市服务集团股份有限公司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广州广电研究院有限公司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2,449,913.76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广州辉远电子技术有限公司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46,632.00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Heading4"/>
        <w:spacing w:line="240" w:lineRule="auto" w:before="71"/>
        <w:ind w:right="1034"/>
        <w:jc w:val="left"/>
        <w:rPr>
          <w:b w:val="0"/>
          <w:bCs w:val="0"/>
        </w:rPr>
      </w:pPr>
      <w:r>
        <w:rPr>
          <w:rFonts w:ascii="Times New Roman" w:hAnsi="Times New Roman" w:cs="Times New Roman" w:eastAsia="Times New Roman" w:hint="default"/>
        </w:rPr>
        <w:t>7</w:t>
      </w:r>
      <w:r>
        <w:rPr/>
        <w:t>、关联方承诺</w:t>
      </w:r>
      <w:r>
        <w:rPr>
          <w:b w:val="0"/>
          <w:bCs w:val="0"/>
        </w:rPr>
      </w:r>
    </w:p>
    <w:p>
      <w:pPr>
        <w:pStyle w:val="Heading3"/>
        <w:spacing w:line="240" w:lineRule="auto" w:before="108"/>
        <w:ind w:left="573" w:right="1034"/>
        <w:jc w:val="left"/>
      </w:pPr>
      <w:r>
        <w:rPr/>
        <w:t>本公司没有于资产负债表日，已签约而尚不必在资产负债表上列示的与关联方有关的承诺事项。</w:t>
      </w:r>
    </w:p>
    <w:p>
      <w:pPr>
        <w:pStyle w:val="Heading2"/>
        <w:spacing w:line="240" w:lineRule="auto" w:before="88"/>
        <w:ind w:right="1034"/>
        <w:jc w:val="left"/>
        <w:rPr>
          <w:b w:val="0"/>
          <w:bCs w:val="0"/>
        </w:rPr>
      </w:pPr>
      <w:r>
        <w:rPr/>
        <w:t>十三、股份支付</w:t>
      </w:r>
      <w:r>
        <w:rPr>
          <w:b w:val="0"/>
          <w:bCs w:val="0"/>
        </w:rPr>
      </w:r>
    </w:p>
    <w:p>
      <w:pPr>
        <w:pStyle w:val="Heading4"/>
        <w:spacing w:line="240" w:lineRule="auto" w:before="186"/>
        <w:ind w:right="1034"/>
        <w:jc w:val="left"/>
        <w:rPr>
          <w:b w:val="0"/>
          <w:bCs w:val="0"/>
        </w:rPr>
      </w:pPr>
      <w:r>
        <w:rPr>
          <w:rFonts w:ascii="Times New Roman" w:hAnsi="Times New Roman" w:cs="Times New Roman" w:eastAsia="Times New Roman" w:hint="default"/>
        </w:rPr>
        <w:t>1</w:t>
      </w:r>
      <w:r>
        <w:rPr/>
        <w:t>、</w:t>
      </w:r>
      <w:r>
        <w:rPr>
          <w:spacing w:val="-45"/>
        </w:rPr>
        <w:t> </w:t>
      </w:r>
      <w:r>
        <w:rPr/>
        <w:t>股份支付总体情况</w:t>
      </w:r>
      <w:r>
        <w:rPr>
          <w:b w:val="0"/>
          <w:bCs w:val="0"/>
        </w:rPr>
      </w:r>
    </w:p>
    <w:p>
      <w:pPr>
        <w:spacing w:line="240" w:lineRule="auto" w:before="1"/>
        <w:rPr>
          <w:rFonts w:ascii="宋体" w:hAnsi="宋体" w:cs="宋体" w:eastAsia="宋体" w:hint="default"/>
          <w:b/>
          <w:bCs/>
          <w:sz w:val="14"/>
          <w:szCs w:val="14"/>
        </w:rPr>
      </w:pPr>
    </w:p>
    <w:p>
      <w:pPr>
        <w:spacing w:line="384" w:lineRule="auto" w:before="0"/>
        <w:ind w:left="152" w:right="7154" w:firstLine="360"/>
        <w:jc w:val="left"/>
        <w:rPr>
          <w:rFonts w:ascii="宋体" w:hAnsi="宋体" w:cs="宋体" w:eastAsia="宋体" w:hint="default"/>
          <w:sz w:val="20"/>
          <w:szCs w:val="20"/>
        </w:rPr>
      </w:pPr>
      <w:r>
        <w:rPr>
          <w:rFonts w:ascii="宋体" w:hAnsi="宋体" w:cs="宋体" w:eastAsia="宋体" w:hint="default"/>
          <w:spacing w:val="-2"/>
          <w:sz w:val="21"/>
          <w:szCs w:val="21"/>
        </w:rPr>
        <w:t>本公司本期没有发生该事项。</w:t>
      </w:r>
      <w:r>
        <w:rPr>
          <w:rFonts w:ascii="宋体" w:hAnsi="宋体" w:cs="宋体" w:eastAsia="宋体" w:hint="default"/>
          <w:w w:val="100"/>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、重要承诺事项</w:t>
      </w:r>
      <w:r>
        <w:rPr>
          <w:rFonts w:ascii="宋体" w:hAnsi="宋体" w:cs="宋体" w:eastAsia="宋体" w:hint="default"/>
          <w:sz w:val="20"/>
          <w:szCs w:val="20"/>
        </w:rPr>
      </w:r>
    </w:p>
    <w:p>
      <w:pPr>
        <w:pStyle w:val="Heading3"/>
        <w:spacing w:line="240" w:lineRule="auto" w:before="51"/>
        <w:ind w:left="467" w:right="1034"/>
        <w:jc w:val="left"/>
      </w:pPr>
      <w:r>
        <w:rPr/>
        <w:t>本公司没有资产负债表日存在的重要承诺。</w:t>
      </w:r>
    </w:p>
    <w:p>
      <w:pPr>
        <w:spacing w:line="240" w:lineRule="auto" w:before="4"/>
        <w:rPr>
          <w:rFonts w:ascii="宋体" w:hAnsi="宋体" w:cs="宋体" w:eastAsia="宋体" w:hint="default"/>
          <w:sz w:val="15"/>
          <w:szCs w:val="15"/>
        </w:rPr>
      </w:pPr>
    </w:p>
    <w:p>
      <w:pPr>
        <w:pStyle w:val="Heading4"/>
        <w:spacing w:line="240" w:lineRule="auto"/>
        <w:ind w:right="1034"/>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1"/>
        <w:rPr>
          <w:rFonts w:ascii="宋体" w:hAnsi="宋体" w:cs="宋体" w:eastAsia="宋体" w:hint="default"/>
          <w:b/>
          <w:bCs/>
          <w:sz w:val="14"/>
          <w:szCs w:val="14"/>
        </w:rPr>
      </w:pPr>
    </w:p>
    <w:p>
      <w:pPr>
        <w:pStyle w:val="Heading3"/>
        <w:spacing w:line="240" w:lineRule="auto" w:before="0"/>
        <w:ind w:left="518" w:right="1034"/>
        <w:jc w:val="left"/>
      </w:pPr>
      <w:r>
        <w:rPr/>
        <w:t>截至报告日止本公司未结清人民币保函为</w:t>
      </w:r>
      <w:r>
        <w:rPr>
          <w:spacing w:val="-58"/>
        </w:rPr>
        <w:t> </w:t>
      </w:r>
      <w:r>
        <w:rPr>
          <w:rFonts w:ascii="Times New Roman" w:hAnsi="Times New Roman" w:cs="Times New Roman" w:eastAsia="Times New Roman" w:hint="default"/>
        </w:rPr>
        <w:t>53,928,017.40</w:t>
      </w:r>
      <w:r>
        <w:rPr>
          <w:rFonts w:ascii="Times New Roman" w:hAnsi="Times New Roman" w:cs="Times New Roman" w:eastAsia="Times New Roman" w:hint="default"/>
          <w:spacing w:val="-5"/>
        </w:rPr>
        <w:t> </w:t>
      </w:r>
      <w:r>
        <w:rPr/>
        <w:t>元，港币保函为</w:t>
      </w:r>
      <w:r>
        <w:rPr>
          <w:spacing w:val="-58"/>
        </w:rPr>
        <w:t> </w:t>
      </w:r>
      <w:r>
        <w:rPr>
          <w:rFonts w:ascii="Times New Roman" w:hAnsi="Times New Roman" w:cs="Times New Roman" w:eastAsia="Times New Roman" w:hint="default"/>
        </w:rPr>
        <w:t>2,410,211.30</w:t>
      </w:r>
      <w:r>
        <w:rPr>
          <w:rFonts w:ascii="Times New Roman" w:hAnsi="Times New Roman" w:cs="Times New Roman" w:eastAsia="Times New Roman" w:hint="default"/>
          <w:spacing w:val="-5"/>
        </w:rPr>
        <w:t> </w:t>
      </w:r>
      <w:r>
        <w:rPr/>
        <w:t>元，美元保函为</w:t>
      </w:r>
    </w:p>
    <w:p>
      <w:pPr>
        <w:spacing w:after="0" w:line="240" w:lineRule="auto"/>
        <w:jc w:val="left"/>
        <w:sectPr>
          <w:pgSz w:w="11910" w:h="16840"/>
          <w:pgMar w:header="877" w:footer="979" w:top="1100" w:bottom="1160" w:left="980" w:right="0"/>
        </w:sectPr>
      </w:pPr>
    </w:p>
    <w:p>
      <w:pPr>
        <w:spacing w:line="240" w:lineRule="auto" w:before="6"/>
        <w:rPr>
          <w:rFonts w:ascii="宋体" w:hAnsi="宋体" w:cs="宋体" w:eastAsia="宋体" w:hint="default"/>
          <w:sz w:val="27"/>
          <w:szCs w:val="27"/>
        </w:rPr>
      </w:pPr>
    </w:p>
    <w:p>
      <w:pPr>
        <w:pStyle w:val="Heading3"/>
        <w:spacing w:line="240" w:lineRule="auto" w:before="36"/>
        <w:ind w:left="518" w:right="1034"/>
        <w:jc w:val="left"/>
      </w:pPr>
      <w:r>
        <w:rPr>
          <w:rFonts w:ascii="Times New Roman" w:hAnsi="Times New Roman" w:cs="Times New Roman" w:eastAsia="Times New Roman" w:hint="default"/>
        </w:rPr>
        <w:t>9,937,615.26 </w:t>
      </w:r>
      <w:r>
        <w:rPr/>
        <w:t>元，土耳其里 </w:t>
      </w:r>
      <w:r>
        <w:rPr>
          <w:rFonts w:ascii="Times New Roman" w:hAnsi="Times New Roman" w:cs="Times New Roman" w:eastAsia="Times New Roman" w:hint="default"/>
        </w:rPr>
        <w:t>5,424,285.00</w:t>
      </w:r>
      <w:r>
        <w:rPr>
          <w:rFonts w:ascii="Times New Roman" w:hAnsi="Times New Roman" w:cs="Times New Roman" w:eastAsia="Times New Roman" w:hint="default"/>
          <w:spacing w:val="-3"/>
        </w:rPr>
        <w:t> </w:t>
      </w:r>
      <w:r>
        <w:rPr/>
        <w:t>元，对本公司财务没有重大影响。</w:t>
      </w:r>
    </w:p>
    <w:p>
      <w:pPr>
        <w:pStyle w:val="Heading2"/>
        <w:spacing w:line="240" w:lineRule="auto" w:before="75"/>
        <w:ind w:right="1034"/>
        <w:jc w:val="left"/>
        <w:rPr>
          <w:b w:val="0"/>
          <w:bCs w:val="0"/>
        </w:rPr>
      </w:pPr>
      <w:r>
        <w:rPr/>
        <w:t>十五、资产负债表日后事项</w:t>
      </w:r>
      <w:r>
        <w:rPr>
          <w:b w:val="0"/>
          <w:bCs w:val="0"/>
        </w:rPr>
      </w:r>
    </w:p>
    <w:p>
      <w:pPr>
        <w:pStyle w:val="Heading4"/>
        <w:spacing w:line="240" w:lineRule="auto" w:before="186"/>
        <w:ind w:right="1034"/>
        <w:jc w:val="left"/>
        <w:rPr>
          <w:b w:val="0"/>
          <w:bCs w:val="0"/>
        </w:rPr>
      </w:pPr>
      <w:r>
        <w:rPr>
          <w:rFonts w:ascii="Times New Roman" w:hAnsi="Times New Roman" w:cs="Times New Roman" w:eastAsia="Times New Roman" w:hint="default"/>
        </w:rPr>
        <w:t>1</w:t>
      </w:r>
      <w:r>
        <w:rPr/>
        <w:t>、</w:t>
      </w:r>
      <w:r>
        <w:rPr>
          <w:spacing w:val="-45"/>
        </w:rPr>
        <w:t> </w:t>
      </w:r>
      <w:r>
        <w:rPr/>
        <w:t>重要的非调整事项</w:t>
      </w:r>
      <w:r>
        <w:rPr>
          <w:b w:val="0"/>
          <w:bCs w:val="0"/>
        </w:rPr>
      </w:r>
    </w:p>
    <w:p>
      <w:pPr>
        <w:spacing w:line="240" w:lineRule="auto" w:before="1"/>
        <w:rPr>
          <w:rFonts w:ascii="宋体" w:hAnsi="宋体" w:cs="宋体" w:eastAsia="宋体" w:hint="default"/>
          <w:b/>
          <w:bCs/>
          <w:sz w:val="14"/>
          <w:szCs w:val="14"/>
        </w:rPr>
      </w:pPr>
    </w:p>
    <w:p>
      <w:pPr>
        <w:pStyle w:val="Heading3"/>
        <w:spacing w:line="240" w:lineRule="auto" w:before="0"/>
        <w:ind w:left="513" w:right="1034"/>
        <w:jc w:val="left"/>
      </w:pPr>
      <w:r>
        <w:rPr/>
        <w:t>本公司本期没有重要非调整事项。</w:t>
      </w:r>
    </w:p>
    <w:p>
      <w:pPr>
        <w:spacing w:line="240" w:lineRule="auto" w:before="4"/>
        <w:rPr>
          <w:rFonts w:ascii="宋体" w:hAnsi="宋体" w:cs="宋体" w:eastAsia="宋体" w:hint="default"/>
          <w:sz w:val="15"/>
          <w:szCs w:val="15"/>
        </w:rPr>
      </w:pPr>
    </w:p>
    <w:p>
      <w:pPr>
        <w:pStyle w:val="Heading4"/>
        <w:spacing w:line="240" w:lineRule="auto"/>
        <w:ind w:right="1034"/>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78"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289,079,274.12</w:t>
            </w:r>
          </w:p>
        </w:tc>
      </w:tr>
      <w:tr>
        <w:trPr>
          <w:trHeight w:val="478"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289,079,274.12</w:t>
            </w:r>
          </w:p>
        </w:tc>
      </w:tr>
    </w:tbl>
    <w:p>
      <w:pPr>
        <w:spacing w:line="393" w:lineRule="auto" w:before="71"/>
        <w:ind w:left="152" w:right="6794" w:firstLine="0"/>
        <w:jc w:val="left"/>
        <w:rPr>
          <w:rFonts w:ascii="宋体" w:hAnsi="宋体" w:cs="宋体" w:eastAsia="宋体" w:hint="default"/>
          <w:sz w:val="24"/>
          <w:szCs w:val="24"/>
        </w:rPr>
      </w:pP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、销售退回</w:t>
      </w:r>
      <w:r>
        <w:rPr>
          <w:rFonts w:ascii="宋体" w:hAnsi="宋体" w:cs="宋体" w:eastAsia="宋体" w:hint="default"/>
          <w:b/>
          <w:bCs/>
          <w:w w:val="99"/>
          <w:sz w:val="20"/>
          <w:szCs w:val="20"/>
        </w:rPr>
        <w:t> </w:t>
      </w:r>
      <w:r>
        <w:rPr>
          <w:rFonts w:ascii="宋体" w:hAnsi="宋体" w:cs="宋体" w:eastAsia="宋体" w:hint="default"/>
          <w:spacing w:val="-2"/>
          <w:sz w:val="21"/>
          <w:szCs w:val="21"/>
        </w:rPr>
        <w:t>本公司本期没有重要的销售退回情况。</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b/>
          <w:bCs/>
          <w:sz w:val="24"/>
          <w:szCs w:val="24"/>
        </w:rPr>
        <w:t>十六、其他重要事项</w:t>
      </w:r>
      <w:r>
        <w:rPr>
          <w:rFonts w:ascii="宋体" w:hAnsi="宋体" w:cs="宋体" w:eastAsia="宋体" w:hint="default"/>
          <w:sz w:val="24"/>
          <w:szCs w:val="24"/>
        </w:rPr>
      </w:r>
    </w:p>
    <w:p>
      <w:pPr>
        <w:pStyle w:val="Heading4"/>
        <w:spacing w:line="240" w:lineRule="auto" w:before="32"/>
        <w:ind w:right="1034"/>
        <w:jc w:val="left"/>
        <w:rPr>
          <w:b w:val="0"/>
          <w:bCs w:val="0"/>
        </w:rPr>
      </w:pPr>
      <w:r>
        <w:rPr>
          <w:rFonts w:ascii="Times New Roman" w:hAnsi="Times New Roman" w:cs="Times New Roman" w:eastAsia="Times New Roman" w:hint="default"/>
        </w:rPr>
        <w:t>1</w:t>
      </w:r>
      <w:r>
        <w:rPr/>
        <w:t>、</w:t>
      </w:r>
      <w:r>
        <w:rPr>
          <w:spacing w:val="-45"/>
        </w:rPr>
        <w:t> </w:t>
      </w:r>
      <w:r>
        <w:rPr/>
        <w:t>前期会计差错更正</w:t>
      </w:r>
      <w:r>
        <w:rPr>
          <w:b w:val="0"/>
          <w:bCs w:val="0"/>
        </w:rPr>
      </w:r>
    </w:p>
    <w:p>
      <w:pPr>
        <w:spacing w:line="240" w:lineRule="auto" w:before="1"/>
        <w:rPr>
          <w:rFonts w:ascii="宋体" w:hAnsi="宋体" w:cs="宋体" w:eastAsia="宋体" w:hint="default"/>
          <w:b/>
          <w:bCs/>
          <w:sz w:val="14"/>
          <w:szCs w:val="14"/>
        </w:rPr>
      </w:pPr>
    </w:p>
    <w:p>
      <w:pPr>
        <w:pStyle w:val="Heading3"/>
        <w:spacing w:line="240" w:lineRule="auto" w:before="0"/>
        <w:ind w:left="0" w:right="7375"/>
        <w:jc w:val="center"/>
      </w:pPr>
      <w:r>
        <w:rPr/>
        <w:t>本公司本期未发生该事项。</w:t>
      </w:r>
    </w:p>
    <w:p>
      <w:pPr>
        <w:spacing w:line="240" w:lineRule="auto" w:before="4"/>
        <w:rPr>
          <w:rFonts w:ascii="宋体" w:hAnsi="宋体" w:cs="宋体" w:eastAsia="宋体" w:hint="default"/>
          <w:sz w:val="15"/>
          <w:szCs w:val="15"/>
        </w:rPr>
      </w:pPr>
    </w:p>
    <w:p>
      <w:pPr>
        <w:pStyle w:val="Heading4"/>
        <w:spacing w:line="240" w:lineRule="auto"/>
        <w:ind w:right="1034"/>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
        <w:rPr>
          <w:rFonts w:ascii="宋体" w:hAnsi="宋体" w:cs="宋体" w:eastAsia="宋体" w:hint="default"/>
          <w:b/>
          <w:bCs/>
          <w:sz w:val="14"/>
          <w:szCs w:val="14"/>
        </w:rPr>
      </w:pPr>
    </w:p>
    <w:p>
      <w:pPr>
        <w:pStyle w:val="Heading3"/>
        <w:spacing w:line="240" w:lineRule="auto" w:before="0"/>
        <w:ind w:left="364" w:right="1034"/>
        <w:jc w:val="left"/>
      </w:pPr>
      <w:r>
        <w:rPr/>
        <w:t>本公司本期未发生该事项。</w:t>
      </w:r>
    </w:p>
    <w:p>
      <w:pPr>
        <w:spacing w:line="240" w:lineRule="auto" w:before="4"/>
        <w:rPr>
          <w:rFonts w:ascii="宋体" w:hAnsi="宋体" w:cs="宋体" w:eastAsia="宋体" w:hint="default"/>
          <w:sz w:val="15"/>
          <w:szCs w:val="15"/>
        </w:rPr>
      </w:pPr>
    </w:p>
    <w:p>
      <w:pPr>
        <w:pStyle w:val="Heading4"/>
        <w:spacing w:line="240" w:lineRule="auto"/>
        <w:ind w:right="1034"/>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1"/>
        <w:rPr>
          <w:rFonts w:ascii="宋体" w:hAnsi="宋体" w:cs="宋体" w:eastAsia="宋体" w:hint="default"/>
          <w:b/>
          <w:bCs/>
          <w:sz w:val="14"/>
          <w:szCs w:val="14"/>
        </w:rPr>
      </w:pPr>
    </w:p>
    <w:p>
      <w:pPr>
        <w:pStyle w:val="Heading3"/>
        <w:spacing w:line="240" w:lineRule="auto" w:before="0"/>
        <w:ind w:left="0" w:right="7375"/>
        <w:jc w:val="center"/>
      </w:pPr>
      <w:r>
        <w:rPr/>
        <w:t>本公司本期未发生该事项。</w:t>
      </w:r>
    </w:p>
    <w:p>
      <w:pPr>
        <w:spacing w:line="240" w:lineRule="auto" w:before="4"/>
        <w:rPr>
          <w:rFonts w:ascii="宋体" w:hAnsi="宋体" w:cs="宋体" w:eastAsia="宋体" w:hint="default"/>
          <w:sz w:val="15"/>
          <w:szCs w:val="15"/>
        </w:rPr>
      </w:pPr>
    </w:p>
    <w:p>
      <w:pPr>
        <w:pStyle w:val="Heading4"/>
        <w:spacing w:line="240" w:lineRule="auto"/>
        <w:ind w:right="1034"/>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
        <w:rPr>
          <w:rFonts w:ascii="宋体" w:hAnsi="宋体" w:cs="宋体" w:eastAsia="宋体" w:hint="default"/>
          <w:b/>
          <w:bCs/>
          <w:sz w:val="14"/>
          <w:szCs w:val="14"/>
        </w:rPr>
      </w:pPr>
    </w:p>
    <w:p>
      <w:pPr>
        <w:pStyle w:val="Heading3"/>
        <w:spacing w:line="240" w:lineRule="auto" w:before="0"/>
        <w:ind w:left="0" w:right="7255"/>
        <w:jc w:val="center"/>
      </w:pPr>
      <w:r>
        <w:rPr/>
        <w:t>本公司本期未发生该事项。</w:t>
      </w:r>
    </w:p>
    <w:p>
      <w:pPr>
        <w:spacing w:line="240" w:lineRule="auto" w:before="4"/>
        <w:rPr>
          <w:rFonts w:ascii="宋体" w:hAnsi="宋体" w:cs="宋体" w:eastAsia="宋体" w:hint="default"/>
          <w:sz w:val="15"/>
          <w:szCs w:val="15"/>
        </w:rPr>
      </w:pPr>
    </w:p>
    <w:p>
      <w:pPr>
        <w:pStyle w:val="Heading4"/>
        <w:spacing w:line="240" w:lineRule="auto"/>
        <w:ind w:right="1034"/>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
        <w:rPr>
          <w:rFonts w:ascii="宋体" w:hAnsi="宋体" w:cs="宋体" w:eastAsia="宋体" w:hint="default"/>
          <w:b/>
          <w:bCs/>
          <w:sz w:val="14"/>
          <w:szCs w:val="14"/>
        </w:rPr>
      </w:pPr>
    </w:p>
    <w:p>
      <w:pPr>
        <w:pStyle w:val="Heading3"/>
        <w:spacing w:line="240" w:lineRule="auto" w:before="0"/>
        <w:ind w:left="0" w:right="7255"/>
        <w:jc w:val="center"/>
      </w:pPr>
      <w:r>
        <w:rPr/>
        <w:t>本公司本期未发生该事项。</w:t>
      </w:r>
    </w:p>
    <w:p>
      <w:pPr>
        <w:spacing w:line="240" w:lineRule="auto" w:before="4"/>
        <w:rPr>
          <w:rFonts w:ascii="宋体" w:hAnsi="宋体" w:cs="宋体" w:eastAsia="宋体" w:hint="default"/>
          <w:sz w:val="15"/>
          <w:szCs w:val="15"/>
        </w:rPr>
      </w:pPr>
    </w:p>
    <w:p>
      <w:pPr>
        <w:pStyle w:val="Heading4"/>
        <w:spacing w:line="240" w:lineRule="auto"/>
        <w:ind w:right="1034"/>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8"/>
        <w:rPr>
          <w:rFonts w:ascii="宋体" w:hAnsi="宋体" w:cs="宋体" w:eastAsia="宋体" w:hint="default"/>
          <w:b/>
          <w:bCs/>
          <w:sz w:val="14"/>
          <w:szCs w:val="14"/>
        </w:rPr>
      </w:pPr>
    </w:p>
    <w:p>
      <w:pPr>
        <w:pStyle w:val="Heading4"/>
        <w:spacing w:line="240" w:lineRule="auto"/>
        <w:ind w:right="1034"/>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1"/>
        <w:rPr>
          <w:rFonts w:ascii="宋体" w:hAnsi="宋体" w:cs="宋体" w:eastAsia="宋体" w:hint="default"/>
          <w:b/>
          <w:bCs/>
          <w:sz w:val="14"/>
          <w:szCs w:val="14"/>
        </w:rPr>
      </w:pPr>
    </w:p>
    <w:p>
      <w:pPr>
        <w:pStyle w:val="Heading3"/>
        <w:spacing w:line="400" w:lineRule="auto" w:before="0"/>
        <w:ind w:left="152" w:right="1126" w:firstLine="420"/>
        <w:jc w:val="both"/>
      </w:pPr>
      <w:r>
        <w:rPr>
          <w:spacing w:val="-5"/>
        </w:rPr>
        <w:t>根据本公司的内部组织结构、管理要求及内部报告制度确定了</w:t>
      </w:r>
      <w:r>
        <w:rPr>
          <w:rFonts w:ascii="Times New Roman" w:hAnsi="Times New Roman" w:cs="Times New Roman" w:eastAsia="Times New Roman" w:hint="default"/>
          <w:spacing w:val="-5"/>
        </w:rPr>
        <w:t>2</w:t>
      </w:r>
      <w:r>
        <w:rPr>
          <w:spacing w:val="-5"/>
        </w:rPr>
        <w:t>个报告分部，分别为：制造业和其他。</w:t>
      </w:r>
      <w:r>
        <w:rPr>
          <w:w w:val="100"/>
        </w:rPr>
        <w:t> </w:t>
      </w:r>
      <w:r>
        <w:rPr>
          <w:spacing w:val="-2"/>
        </w:rPr>
        <w:t>本公司的各个报告分部分别提供不同的产品或服务，或在不同地区从事经营活动。由于每个分部需要不同</w:t>
      </w:r>
      <w:r>
        <w:rPr>
          <w:spacing w:val="-43"/>
        </w:rPr>
        <w:t> </w:t>
      </w:r>
      <w:r>
        <w:rPr>
          <w:spacing w:val="-43"/>
        </w:rPr>
      </w:r>
      <w:r>
        <w:rPr>
          <w:spacing w:val="-2"/>
        </w:rPr>
        <w:t>的技术或市场策略，本公司管理层分别单独管理各个报告分部的经营活动，定期评价这些报告分部的经营</w:t>
      </w:r>
      <w:r>
        <w:rPr>
          <w:spacing w:val="-42"/>
        </w:rPr>
        <w:t> </w:t>
      </w:r>
      <w:r>
        <w:rPr>
          <w:spacing w:val="-42"/>
        </w:rPr>
      </w:r>
      <w:r>
        <w:rPr/>
        <w:t>成果，以决定向其分配资源及评价其业绩。</w:t>
      </w:r>
    </w:p>
    <w:p>
      <w:pPr>
        <w:pStyle w:val="Heading3"/>
        <w:spacing w:line="408" w:lineRule="auto" w:before="52"/>
        <w:ind w:left="152" w:right="1126" w:firstLine="420"/>
        <w:jc w:val="both"/>
      </w:pPr>
      <w:r>
        <w:rPr>
          <w:spacing w:val="-2"/>
        </w:rPr>
        <w:t>分部间转移价格按照实际交易价格为基础确定，间接归属于各分部的费用按照一定比例在分部之间进</w:t>
      </w:r>
      <w:r>
        <w:rPr>
          <w:w w:val="100"/>
        </w:rPr>
        <w:t> </w:t>
      </w:r>
      <w:r>
        <w:rPr>
          <w:spacing w:val="-2"/>
        </w:rPr>
        <w:t>行分配。资产根据分部的经营以及资产的所在位置进行分配，分部负债包括分部经营活动形成的可归属于</w:t>
      </w:r>
      <w:r>
        <w:rPr>
          <w:spacing w:val="-43"/>
        </w:rPr>
        <w:t> </w:t>
      </w:r>
      <w:r>
        <w:rPr>
          <w:spacing w:val="-43"/>
        </w:rPr>
      </w:r>
      <w:r>
        <w:rPr>
          <w:spacing w:val="-2"/>
        </w:rPr>
        <w:t>该分部的负债。如果多个经营分部共同承担的负债相关的费用分配给这些经营分部，该共同承担的负债也</w:t>
      </w:r>
    </w:p>
    <w:p>
      <w:pPr>
        <w:spacing w:after="0" w:line="408" w:lineRule="auto"/>
        <w:jc w:val="both"/>
        <w:sectPr>
          <w:pgSz w:w="11910" w:h="16840"/>
          <w:pgMar w:header="877" w:footer="979" w:top="1100" w:bottom="1160" w:left="980" w:right="0"/>
        </w:sectPr>
      </w:pPr>
    </w:p>
    <w:p>
      <w:pPr>
        <w:spacing w:line="240" w:lineRule="auto" w:before="10"/>
        <w:rPr>
          <w:rFonts w:ascii="宋体" w:hAnsi="宋体" w:cs="宋体" w:eastAsia="宋体" w:hint="default"/>
          <w:sz w:val="26"/>
          <w:szCs w:val="26"/>
        </w:rPr>
      </w:pPr>
    </w:p>
    <w:p>
      <w:pPr>
        <w:pStyle w:val="Heading3"/>
        <w:spacing w:line="240" w:lineRule="auto" w:before="36"/>
        <w:ind w:left="152" w:right="1034"/>
        <w:jc w:val="left"/>
      </w:pPr>
      <w:r>
        <w:rPr/>
        <w:t>分配给这些经营分部。</w:t>
      </w:r>
    </w:p>
    <w:p>
      <w:pPr>
        <w:spacing w:line="240" w:lineRule="auto" w:before="4"/>
        <w:rPr>
          <w:rFonts w:ascii="宋体" w:hAnsi="宋体" w:cs="宋体" w:eastAsia="宋体" w:hint="default"/>
          <w:sz w:val="15"/>
          <w:szCs w:val="15"/>
        </w:rPr>
      </w:pPr>
    </w:p>
    <w:p>
      <w:pPr>
        <w:pStyle w:val="Heading4"/>
        <w:spacing w:line="240" w:lineRule="auto"/>
        <w:ind w:right="1034"/>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1913"/>
        <w:gridCol w:w="1916"/>
      </w:tblGrid>
      <w:tr>
        <w:trPr>
          <w:trHeight w:val="478"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11"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50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78"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2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2,429,811,460.77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3,989,760,762.31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-960,590,454.35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5,458,981,768.73</w:t>
            </w:r>
          </w:p>
        </w:tc>
      </w:tr>
      <w:tr>
        <w:trPr>
          <w:trHeight w:val="478"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其中：对外交易收入</w:t>
            </w:r>
          </w:p>
        </w:tc>
        <w:tc>
          <w:tcPr>
            <w:tcW w:w="192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1,791,022,901.87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3,667,958,866.86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5,458,981,768.73</w:t>
            </w:r>
          </w:p>
        </w:tc>
      </w:tr>
      <w:tr>
        <w:trPr>
          <w:trHeight w:val="480"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466"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92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638,788,558.90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321,801,895.45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-960,590,454.35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78"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8"/>
              <w:ind w:left="12" w:right="0"/>
              <w:jc w:val="left"/>
              <w:rPr>
                <w:rFonts w:ascii="宋体" w:hAnsi="宋体" w:cs="宋体" w:eastAsia="宋体" w:hint="default"/>
                <w:sz w:val="18"/>
                <w:szCs w:val="18"/>
              </w:rPr>
            </w:pPr>
            <w:r>
              <w:rPr>
                <w:rFonts w:ascii="宋体" w:hAnsi="宋体" w:cs="宋体" w:eastAsia="宋体" w:hint="default"/>
                <w:sz w:val="18"/>
                <w:szCs w:val="18"/>
              </w:rPr>
              <w:t>营业总成本</w:t>
            </w:r>
          </w:p>
        </w:tc>
        <w:tc>
          <w:tcPr>
            <w:tcW w:w="192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2,404,581,663.95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3,368,350,801.84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-968,650,158.71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4,804,282,307.08</w:t>
            </w:r>
          </w:p>
        </w:tc>
      </w:tr>
      <w:tr>
        <w:trPr>
          <w:trHeight w:val="478"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2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39,109,333.26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76,529,635.69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-11,665,783.99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103,973,184.96</w:t>
            </w:r>
          </w:p>
        </w:tc>
      </w:tr>
      <w:tr>
        <w:trPr>
          <w:trHeight w:val="478"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92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168,437,480.51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742,172,227.52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-3,606,079.63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907,003,628.40</w:t>
            </w:r>
          </w:p>
        </w:tc>
      </w:tr>
      <w:tr>
        <w:trPr>
          <w:trHeight w:val="478"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2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10,490,700,901.50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7,375,717,655.34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-4,426,200,043.49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13,440,218,513.35</w:t>
            </w:r>
          </w:p>
        </w:tc>
      </w:tr>
      <w:tr>
        <w:trPr>
          <w:trHeight w:val="480"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2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2,650,878,663.54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1,806,995,174.69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-527,257,331.62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3,930,616,506.61</w:t>
            </w:r>
          </w:p>
        </w:tc>
      </w:tr>
    </w:tbl>
    <w:p>
      <w:pPr>
        <w:pStyle w:val="Heading4"/>
        <w:spacing w:line="240" w:lineRule="auto" w:before="71"/>
        <w:ind w:right="1034"/>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
        <w:rPr>
          <w:rFonts w:ascii="宋体" w:hAnsi="宋体" w:cs="宋体" w:eastAsia="宋体" w:hint="default"/>
          <w:b/>
          <w:bCs/>
          <w:sz w:val="14"/>
          <w:szCs w:val="14"/>
        </w:rPr>
      </w:pPr>
    </w:p>
    <w:p>
      <w:pPr>
        <w:spacing w:line="384" w:lineRule="auto" w:before="0"/>
        <w:ind w:left="152" w:right="6899" w:firstLine="420"/>
        <w:jc w:val="left"/>
        <w:rPr>
          <w:rFonts w:ascii="宋体" w:hAnsi="宋体" w:cs="宋体" w:eastAsia="宋体" w:hint="default"/>
          <w:sz w:val="20"/>
          <w:szCs w:val="20"/>
        </w:rPr>
      </w:pPr>
      <w:r>
        <w:rPr>
          <w:rFonts w:ascii="宋体" w:hAnsi="宋体" w:cs="宋体" w:eastAsia="宋体" w:hint="default"/>
          <w:sz w:val="21"/>
          <w:szCs w:val="21"/>
        </w:rPr>
        <w:t>本公司本期未发生该事项。</w:t>
      </w:r>
      <w:r>
        <w:rPr>
          <w:rFonts w:ascii="宋体" w:hAnsi="宋体" w:cs="宋体" w:eastAsia="宋体" w:hint="default"/>
          <w:w w:val="100"/>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、应收票据及应收账款</w:t>
      </w:r>
      <w:r>
        <w:rPr>
          <w:rFonts w:ascii="宋体" w:hAnsi="宋体" w:cs="宋体" w:eastAsia="宋体" w:hint="default"/>
          <w:sz w:val="20"/>
          <w:szCs w:val="20"/>
        </w:rPr>
      </w:r>
    </w:p>
    <w:p>
      <w:pPr>
        <w:pStyle w:val="BodyText"/>
        <w:spacing w:line="240" w:lineRule="auto" w:before="7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78"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3,456,776.00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6,879,770.00</w:t>
            </w:r>
          </w:p>
        </w:tc>
      </w:tr>
      <w:tr>
        <w:trPr>
          <w:trHeight w:val="478"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515,238,201.29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535,245,100.26</w:t>
            </w:r>
          </w:p>
        </w:tc>
      </w:tr>
      <w:tr>
        <w:trPr>
          <w:trHeight w:val="478"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518,694,977.29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542,124,870.26</w:t>
            </w:r>
          </w:p>
        </w:tc>
      </w:tr>
    </w:tbl>
    <w:p>
      <w:pPr>
        <w:pStyle w:val="Heading4"/>
        <w:spacing w:line="240" w:lineRule="auto" w:before="71"/>
        <w:ind w:right="1034"/>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1"/>
        <w:rPr>
          <w:rFonts w:ascii="宋体" w:hAnsi="宋体" w:cs="宋体" w:eastAsia="宋体" w:hint="default"/>
          <w:b/>
          <w:bCs/>
          <w:sz w:val="15"/>
          <w:szCs w:val="15"/>
        </w:rPr>
      </w:pPr>
    </w:p>
    <w:p>
      <w:pPr>
        <w:pStyle w:val="Heading5"/>
        <w:spacing w:line="240" w:lineRule="auto"/>
        <w:ind w:left="152" w:right="1034"/>
        <w:jc w:val="left"/>
        <w:rPr>
          <w:b w:val="0"/>
          <w:bCs w:val="0"/>
        </w:rPr>
      </w:pPr>
      <w:r>
        <w:rPr>
          <w:rFonts w:ascii="Times New Roman" w:hAnsi="Times New Roman" w:cs="Times New Roman" w:eastAsia="Times New Roman" w:hint="default"/>
        </w:rPr>
        <w:t>1)</w:t>
      </w:r>
      <w:r>
        <w:rPr/>
        <w:t>应收票据分类列示</w:t>
      </w:r>
      <w:r>
        <w:rPr>
          <w:b w:val="0"/>
          <w:bCs w:val="0"/>
        </w:rPr>
      </w:r>
    </w:p>
    <w:p>
      <w:pPr>
        <w:spacing w:line="240" w:lineRule="auto" w:before="4"/>
        <w:rPr>
          <w:rFonts w:ascii="宋体" w:hAnsi="宋体" w:cs="宋体" w:eastAsia="宋体" w:hint="default"/>
          <w:b/>
          <w:bCs/>
          <w:sz w:val="13"/>
          <w:szCs w:val="1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80"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3,456,776.00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6,879,770.00</w:t>
            </w:r>
          </w:p>
        </w:tc>
      </w:tr>
      <w:tr>
        <w:trPr>
          <w:trHeight w:val="478"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3,456,776.00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6,879,770.00</w:t>
            </w:r>
          </w:p>
        </w:tc>
      </w:tr>
    </w:tbl>
    <w:p>
      <w:pPr>
        <w:spacing w:line="451" w:lineRule="auto" w:before="87"/>
        <w:ind w:left="244" w:right="7422" w:hanging="9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期末公司已质押的应收票据</w:t>
      </w:r>
      <w:r>
        <w:rPr>
          <w:rFonts w:ascii="宋体" w:hAnsi="宋体" w:cs="宋体" w:eastAsia="宋体" w:hint="default"/>
          <w:b/>
          <w:bCs/>
          <w:w w:val="99"/>
          <w:sz w:val="18"/>
          <w:szCs w:val="18"/>
        </w:rPr>
        <w:t> </w:t>
      </w:r>
      <w:r>
        <w:rPr>
          <w:rFonts w:ascii="宋体" w:hAnsi="宋体" w:cs="宋体" w:eastAsia="宋体" w:hint="default"/>
          <w:sz w:val="18"/>
          <w:szCs w:val="18"/>
        </w:rPr>
        <w:t>期末公司未发生已质押的应收票据情况。</w:t>
      </w:r>
    </w:p>
    <w:p>
      <w:pPr>
        <w:spacing w:after="0" w:line="451"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7"/>
          <w:szCs w:val="27"/>
        </w:rPr>
      </w:pPr>
    </w:p>
    <w:p>
      <w:pPr>
        <w:pStyle w:val="Heading5"/>
        <w:spacing w:line="240" w:lineRule="auto" w:before="44"/>
        <w:ind w:left="152" w:right="1034"/>
        <w:jc w:val="left"/>
        <w:rPr>
          <w:b w:val="0"/>
          <w:bCs w:val="0"/>
        </w:rPr>
      </w:pP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4"/>
        <w:rPr>
          <w:rFonts w:ascii="宋体" w:hAnsi="宋体" w:cs="宋体" w:eastAsia="宋体" w:hint="default"/>
          <w:b/>
          <w:bCs/>
          <w:sz w:val="13"/>
          <w:szCs w:val="1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575" w:type="dxa"/>
        <w:tblLayout w:type="fixed"/>
        <w:tblCellMar>
          <w:top w:w="0" w:type="dxa"/>
          <w:left w:w="0" w:type="dxa"/>
          <w:bottom w:w="0" w:type="dxa"/>
          <w:right w:w="0" w:type="dxa"/>
        </w:tblCellMar>
        <w:tblLook w:val="01E0"/>
      </w:tblPr>
      <w:tblGrid>
        <w:gridCol w:w="4186"/>
        <w:gridCol w:w="2648"/>
        <w:gridCol w:w="2641"/>
      </w:tblGrid>
      <w:tr>
        <w:trPr>
          <w:trHeight w:val="41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06"/>
              <w:jc w:val="right"/>
              <w:rPr>
                <w:rFonts w:ascii="宋体" w:hAnsi="宋体" w:cs="宋体" w:eastAsia="宋体" w:hint="default"/>
                <w:sz w:val="18"/>
                <w:szCs w:val="18"/>
              </w:rPr>
            </w:pPr>
            <w:r>
              <w:rPr>
                <w:rFonts w:ascii="宋体" w:hAnsi="宋体" w:cs="宋体" w:eastAsia="宋体" w:hint="default"/>
                <w:sz w:val="18"/>
                <w:szCs w:val="18"/>
              </w:rPr>
              <w:t>项目</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98"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04"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1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34,622,367.45</w:t>
            </w:r>
          </w:p>
        </w:tc>
        <w:tc>
          <w:tcPr>
            <w:tcW w:w="2641"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06"/>
              <w:jc w:val="right"/>
              <w:rPr>
                <w:rFonts w:ascii="宋体" w:hAnsi="宋体" w:cs="宋体" w:eastAsia="宋体" w:hint="default"/>
                <w:sz w:val="18"/>
                <w:szCs w:val="18"/>
              </w:rPr>
            </w:pPr>
            <w:r>
              <w:rPr>
                <w:rFonts w:ascii="宋体" w:hAnsi="宋体" w:cs="宋体" w:eastAsia="宋体" w:hint="default"/>
                <w:sz w:val="18"/>
                <w:szCs w:val="18"/>
              </w:rPr>
              <w:t>合计</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34,622,367.45</w:t>
            </w:r>
          </w:p>
        </w:tc>
        <w:tc>
          <w:tcPr>
            <w:tcW w:w="2641" w:type="dxa"/>
            <w:tcBorders>
              <w:top w:val="single" w:sz="4" w:space="0" w:color="000000"/>
              <w:left w:val="single" w:sz="4" w:space="0" w:color="000000"/>
              <w:bottom w:val="single" w:sz="4" w:space="0" w:color="000000"/>
              <w:right w:val="single" w:sz="4" w:space="0" w:color="000000"/>
            </w:tcBorders>
          </w:tcPr>
          <w:p>
            <w:pPr/>
          </w:p>
        </w:tc>
      </w:tr>
    </w:tbl>
    <w:p>
      <w:pPr>
        <w:spacing w:line="451" w:lineRule="auto" w:before="87"/>
        <w:ind w:left="333" w:right="5533" w:hanging="18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期末公司因出票人未履约而将其转应收账款的票据</w:t>
      </w:r>
      <w:r>
        <w:rPr>
          <w:rFonts w:ascii="宋体" w:hAnsi="宋体" w:cs="宋体" w:eastAsia="宋体" w:hint="default"/>
          <w:b/>
          <w:bCs/>
          <w:w w:val="99"/>
          <w:sz w:val="18"/>
          <w:szCs w:val="18"/>
        </w:rPr>
        <w:t> </w:t>
      </w:r>
      <w:r>
        <w:rPr>
          <w:rFonts w:ascii="宋体" w:hAnsi="宋体" w:cs="宋体" w:eastAsia="宋体" w:hint="default"/>
          <w:sz w:val="18"/>
          <w:szCs w:val="18"/>
        </w:rPr>
        <w:t>期末公司未发生因出票人未履约而将其转应收账款的票据情况。</w:t>
      </w:r>
    </w:p>
    <w:p>
      <w:pPr>
        <w:pStyle w:val="Heading4"/>
        <w:spacing w:line="240" w:lineRule="auto" w:before="58"/>
        <w:ind w:right="1034"/>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2"/>
        <w:rPr>
          <w:rFonts w:ascii="宋体" w:hAnsi="宋体" w:cs="宋体" w:eastAsia="宋体" w:hint="default"/>
          <w:b/>
          <w:bCs/>
          <w:sz w:val="15"/>
          <w:szCs w:val="15"/>
        </w:rPr>
      </w:pPr>
    </w:p>
    <w:p>
      <w:pPr>
        <w:pStyle w:val="Heading5"/>
        <w:spacing w:line="240" w:lineRule="auto"/>
        <w:ind w:left="152" w:right="1034"/>
        <w:jc w:val="left"/>
        <w:rPr>
          <w:b w:val="0"/>
          <w:bCs w:val="0"/>
        </w:rPr>
      </w:pPr>
      <w:r>
        <w:rPr>
          <w:rFonts w:ascii="Times New Roman" w:hAnsi="Times New Roman" w:cs="Times New Roman" w:eastAsia="Times New Roman" w:hint="default"/>
        </w:rPr>
        <w:t>1)</w:t>
      </w:r>
      <w:r>
        <w:rPr/>
        <w:t>应收账款分类披露</w:t>
      </w:r>
      <w:r>
        <w:rPr>
          <w:b w:val="0"/>
          <w:bCs w:val="0"/>
        </w:rPr>
      </w:r>
    </w:p>
    <w:p>
      <w:pPr>
        <w:pStyle w:val="BodyText"/>
        <w:spacing w:line="240" w:lineRule="auto" w:before="139"/>
        <w:ind w:left="0" w:right="1131"/>
        <w:jc w:val="right"/>
      </w:pPr>
      <w:r>
        <w:rPr/>
        <w:t>单位：</w:t>
      </w:r>
      <w:r>
        <w:rPr>
          <w:spacing w:val="1"/>
        </w:rPr>
        <w:t> </w:t>
      </w:r>
      <w:r>
        <w:rPr/>
        <w:t>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624"/>
        <w:gridCol w:w="928"/>
        <w:gridCol w:w="853"/>
        <w:gridCol w:w="850"/>
        <w:gridCol w:w="710"/>
        <w:gridCol w:w="708"/>
        <w:gridCol w:w="850"/>
        <w:gridCol w:w="710"/>
        <w:gridCol w:w="850"/>
        <w:gridCol w:w="554"/>
        <w:gridCol w:w="931"/>
      </w:tblGrid>
      <w:tr>
        <w:trPr>
          <w:trHeight w:val="317"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40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8"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78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5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4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4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0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3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158"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780" w:type="dxa"/>
            <w:gridSpan w:val="2"/>
            <w:vMerge/>
            <w:tcBorders>
              <w:left w:val="single" w:sz="4" w:space="0" w:color="000000"/>
              <w:bottom w:val="single" w:sz="4" w:space="0" w:color="000000"/>
              <w:right w:val="single" w:sz="4" w:space="0" w:color="000000"/>
            </w:tcBorders>
            <w:shd w:val="clear" w:color="auto" w:fill="D2D2D2"/>
          </w:tcPr>
          <w:p>
            <w:pPr/>
          </w:p>
        </w:tc>
        <w:tc>
          <w:tcPr>
            <w:tcW w:w="1560" w:type="dxa"/>
            <w:gridSpan w:val="2"/>
            <w:vMerge/>
            <w:tcBorders>
              <w:left w:val="single" w:sz="4" w:space="0" w:color="000000"/>
              <w:bottom w:val="single" w:sz="4" w:space="0" w:color="000000"/>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0"/>
              <w:ind w:left="259" w:right="77" w:hanging="181"/>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560" w:type="dxa"/>
            <w:gridSpan w:val="2"/>
            <w:vMerge/>
            <w:tcBorders>
              <w:left w:val="single" w:sz="4" w:space="0" w:color="000000"/>
              <w:bottom w:val="single" w:sz="4" w:space="0" w:color="000000"/>
              <w:right w:val="single" w:sz="4" w:space="0" w:color="000000"/>
            </w:tcBorders>
            <w:shd w:val="clear" w:color="auto" w:fill="D2D2D2"/>
          </w:tcPr>
          <w:p>
            <w:pPr/>
          </w:p>
        </w:tc>
        <w:tc>
          <w:tcPr>
            <w:tcW w:w="1405"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928"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85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850"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259" w:right="79"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08"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5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91" w:right="91"/>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4"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92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
              <w:ind w:left="2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
              <w:ind w:left="23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54" w:type="dxa"/>
            <w:vMerge/>
            <w:tcBorders>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right w:val="single" w:sz="4" w:space="0" w:color="000000"/>
            </w:tcBorders>
            <w:shd w:val="clear" w:color="auto" w:fill="D2D2D2"/>
          </w:tcPr>
          <w:p>
            <w:pPr/>
          </w:p>
        </w:tc>
        <w:tc>
          <w:tcPr>
            <w:tcW w:w="928"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554" w:type="dxa"/>
            <w:vMerge/>
            <w:tcBorders>
              <w:left w:val="single" w:sz="4" w:space="0" w:color="000000"/>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3"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9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54"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946"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4"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928" w:type="dxa"/>
            <w:tcBorders>
              <w:top w:val="single" w:sz="4" w:space="0" w:color="000000"/>
              <w:left w:val="single" w:sz="9" w:space="0" w:color="D2D2D2"/>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4"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92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537,361,97</w:t>
            </w:r>
          </w:p>
          <w:p>
            <w:pPr>
              <w:pStyle w:val="TableParagraph"/>
              <w:spacing w:line="240" w:lineRule="auto" w:before="105"/>
              <w:ind w:left="575" w:right="0"/>
              <w:jc w:val="left"/>
              <w:rPr>
                <w:rFonts w:ascii="Times New Roman" w:hAnsi="Times New Roman" w:cs="Times New Roman" w:eastAsia="Times New Roman" w:hint="default"/>
                <w:sz w:val="18"/>
                <w:szCs w:val="18"/>
              </w:rPr>
            </w:pPr>
            <w:r>
              <w:rPr>
                <w:rFonts w:ascii="Times New Roman"/>
                <w:sz w:val="18"/>
              </w:rPr>
              <w:t>8.85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95.69%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38,611,70</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7.65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7.19%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498,750,</w:t>
            </w:r>
          </w:p>
          <w:p>
            <w:pPr>
              <w:pStyle w:val="TableParagraph"/>
              <w:spacing w:line="240" w:lineRule="auto" w:before="105"/>
              <w:ind w:left="160" w:right="0"/>
              <w:jc w:val="center"/>
              <w:rPr>
                <w:rFonts w:ascii="Times New Roman" w:hAnsi="Times New Roman" w:cs="Times New Roman" w:eastAsia="Times New Roman" w:hint="default"/>
                <w:sz w:val="18"/>
                <w:szCs w:val="18"/>
              </w:rPr>
            </w:pPr>
            <w:r>
              <w:rPr>
                <w:rFonts w:ascii="Times New Roman"/>
                <w:sz w:val="18"/>
              </w:rPr>
              <w:t>271.20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559,167,5</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32.87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 w:right="0"/>
              <w:jc w:val="lef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23,922,43</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2.61</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5" w:right="0"/>
              <w:jc w:val="left"/>
              <w:rPr>
                <w:rFonts w:ascii="Times New Roman" w:hAnsi="Times New Roman" w:cs="Times New Roman" w:eastAsia="Times New Roman" w:hint="default"/>
                <w:sz w:val="18"/>
                <w:szCs w:val="18"/>
              </w:rPr>
            </w:pPr>
            <w:r>
              <w:rPr>
                <w:rFonts w:ascii="Times New Roman"/>
                <w:sz w:val="18"/>
              </w:rPr>
              <w:t>4.28%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535,245,10</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0.26</w:t>
            </w:r>
          </w:p>
        </w:tc>
      </w:tr>
      <w:tr>
        <w:trPr>
          <w:trHeight w:val="948"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4"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92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24,225,994.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4.31%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7,738,064.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z w:val="18"/>
              </w:rPr>
              <w:t>31.94%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16,487,9</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30.09</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928" w:type="dxa"/>
            <w:vMerge w:val="restart"/>
            <w:tcBorders>
              <w:top w:val="single" w:sz="4" w:space="0" w:color="000000"/>
              <w:left w:val="single" w:sz="9" w:space="0" w:color="D2D2D2"/>
              <w:right w:val="single" w:sz="4" w:space="0" w:color="000000"/>
            </w:tcBorders>
          </w:tcPr>
          <w:p>
            <w:pPr>
              <w:pStyle w:val="TableParagraph"/>
              <w:spacing w:line="240" w:lineRule="auto" w:before="50"/>
              <w:ind w:left="79" w:right="0"/>
              <w:jc w:val="left"/>
              <w:rPr>
                <w:rFonts w:ascii="Times New Roman" w:hAnsi="Times New Roman" w:cs="Times New Roman" w:eastAsia="Times New Roman" w:hint="default"/>
                <w:sz w:val="18"/>
                <w:szCs w:val="18"/>
              </w:rPr>
            </w:pPr>
            <w:r>
              <w:rPr>
                <w:rFonts w:ascii="Times New Roman"/>
                <w:sz w:val="18"/>
              </w:rPr>
              <w:t>561,587,97</w:t>
            </w:r>
          </w:p>
          <w:p>
            <w:pPr>
              <w:pStyle w:val="TableParagraph"/>
              <w:spacing w:line="240" w:lineRule="auto" w:before="105"/>
              <w:ind w:left="575" w:right="0"/>
              <w:jc w:val="left"/>
              <w:rPr>
                <w:rFonts w:ascii="Times New Roman" w:hAnsi="Times New Roman" w:cs="Times New Roman" w:eastAsia="Times New Roman" w:hint="default"/>
                <w:sz w:val="18"/>
                <w:szCs w:val="18"/>
              </w:rPr>
            </w:pPr>
            <w:r>
              <w:rPr>
                <w:rFonts w:ascii="Times New Roman"/>
                <w:sz w:val="18"/>
              </w:rPr>
              <w:t>3.09</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100.00%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46,349,77</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1.80</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8.25%</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50"/>
              <w:ind w:left="24" w:right="0"/>
              <w:jc w:val="center"/>
              <w:rPr>
                <w:rFonts w:ascii="Times New Roman" w:hAnsi="Times New Roman" w:cs="Times New Roman" w:eastAsia="Times New Roman" w:hint="default"/>
                <w:sz w:val="18"/>
                <w:szCs w:val="18"/>
              </w:rPr>
            </w:pPr>
            <w:r>
              <w:rPr>
                <w:rFonts w:ascii="Times New Roman"/>
                <w:sz w:val="18"/>
              </w:rPr>
              <w:t>515,238,</w:t>
            </w:r>
          </w:p>
          <w:p>
            <w:pPr>
              <w:pStyle w:val="TableParagraph"/>
              <w:spacing w:line="240" w:lineRule="auto" w:before="105"/>
              <w:ind w:left="160" w:right="0"/>
              <w:jc w:val="center"/>
              <w:rPr>
                <w:rFonts w:ascii="Times New Roman" w:hAnsi="Times New Roman" w:cs="Times New Roman" w:eastAsia="Times New Roman" w:hint="default"/>
                <w:sz w:val="18"/>
                <w:szCs w:val="18"/>
              </w:rPr>
            </w:pPr>
            <w:r>
              <w:rPr>
                <w:rFonts w:ascii="Times New Roman"/>
                <w:sz w:val="18"/>
              </w:rPr>
              <w:t>201.29</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559,167,5</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32.87</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23,922,43</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2.61</w:t>
            </w:r>
          </w:p>
        </w:tc>
        <w:tc>
          <w:tcPr>
            <w:tcW w:w="55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4.28%</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50"/>
              <w:ind w:left="88" w:right="0"/>
              <w:jc w:val="left"/>
              <w:rPr>
                <w:rFonts w:ascii="Times New Roman" w:hAnsi="Times New Roman" w:cs="Times New Roman" w:eastAsia="Times New Roman" w:hint="default"/>
                <w:sz w:val="18"/>
                <w:szCs w:val="18"/>
              </w:rPr>
            </w:pPr>
            <w:r>
              <w:rPr>
                <w:rFonts w:ascii="Times New Roman"/>
                <w:sz w:val="18"/>
              </w:rPr>
              <w:t>535,245,10</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0.26</w:t>
            </w:r>
          </w:p>
        </w:tc>
      </w:tr>
      <w:tr>
        <w:trPr>
          <w:trHeight w:val="312" w:hRule="exact"/>
        </w:trPr>
        <w:tc>
          <w:tcPr>
            <w:tcW w:w="16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8" w:type="dxa"/>
            <w:vMerge/>
            <w:tcBorders>
              <w:left w:val="single" w:sz="9" w:space="0" w:color="D2D2D2"/>
              <w:right w:val="single" w:sz="4" w:space="0" w:color="000000"/>
            </w:tcBorders>
          </w:tcPr>
          <w:p>
            <w:pP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5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928" w:type="dxa"/>
            <w:vMerge/>
            <w:tcBorders>
              <w:left w:val="single" w:sz="9" w:space="0" w:color="D2D2D2"/>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55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BodyText"/>
        <w:spacing w:line="477" w:lineRule="auto" w:before="87"/>
        <w:ind w:right="6254"/>
        <w:jc w:val="left"/>
      </w:pPr>
      <w:r>
        <w:rPr/>
        <w:t>期末没有单项金额重大并单项计提坏账准备的应收账款。 组合中，按账龄分析法计提坏账准备的应收账款：</w:t>
      </w:r>
    </w:p>
    <w:p>
      <w:pPr>
        <w:pStyle w:val="BodyText"/>
        <w:spacing w:line="240" w:lineRule="auto" w:before="55"/>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2471"/>
        <w:gridCol w:w="2306"/>
        <w:gridCol w:w="2391"/>
        <w:gridCol w:w="2391"/>
      </w:tblGrid>
      <w:tr>
        <w:trPr>
          <w:trHeight w:val="245" w:hRule="exact"/>
        </w:trPr>
        <w:tc>
          <w:tcPr>
            <w:tcW w:w="24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7"/>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28" w:hRule="exact"/>
        </w:trPr>
        <w:tc>
          <w:tcPr>
            <w:tcW w:w="24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88" w:type="dxa"/>
            <w:gridSpan w:val="3"/>
            <w:vMerge/>
            <w:tcBorders>
              <w:left w:val="single" w:sz="4" w:space="0" w:color="000000"/>
              <w:bottom w:val="single" w:sz="4" w:space="0" w:color="000000"/>
              <w:right w:val="single" w:sz="4" w:space="0" w:color="000000"/>
            </w:tcBorders>
            <w:shd w:val="clear" w:color="auto" w:fill="D2D2D2"/>
          </w:tcPr>
          <w:p>
            <w:pPr/>
          </w:p>
        </w:tc>
      </w:tr>
      <w:tr>
        <w:trPr>
          <w:trHeight w:val="240" w:hRule="exact"/>
        </w:trPr>
        <w:tc>
          <w:tcPr>
            <w:tcW w:w="2471" w:type="dxa"/>
            <w:vMerge/>
            <w:tcBorders>
              <w:left w:val="single" w:sz="4" w:space="0" w:color="000000"/>
              <w:bottom w:val="nil" w:sz="6" w:space="0" w:color="auto"/>
              <w:right w:val="single" w:sz="4" w:space="0" w:color="000000"/>
            </w:tcBorders>
            <w:shd w:val="clear" w:color="auto" w:fill="D2D2D2"/>
          </w:tcPr>
          <w:p>
            <w:pPr/>
          </w:p>
        </w:tc>
        <w:tc>
          <w:tcPr>
            <w:tcW w:w="2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2"/>
              <w:ind w:left="11"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42" w:hRule="exact"/>
        </w:trPr>
        <w:tc>
          <w:tcPr>
            <w:tcW w:w="247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6"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78"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260,389,127.27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1,301,945.69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0.50%</w:t>
            </w:r>
          </w:p>
        </w:tc>
      </w:tr>
      <w:tr>
        <w:trPr>
          <w:trHeight w:val="480"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82,087,575.70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4,104,378.81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5.00%</w:t>
            </w:r>
          </w:p>
        </w:tc>
      </w:tr>
      <w:tr>
        <w:trPr>
          <w:trHeight w:val="478"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63,009,547.62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6,300,954.76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10.00%</w:t>
            </w:r>
          </w:p>
        </w:tc>
      </w:tr>
      <w:tr>
        <w:trPr>
          <w:trHeight w:val="478"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56,951,496.25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26,904,428.39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47.24%</w:t>
            </w:r>
          </w:p>
        </w:tc>
      </w:tr>
      <w:tr>
        <w:trPr>
          <w:trHeight w:val="478"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39,657,321.56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11,897,196.48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30.00%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78"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4,573,885.57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2,286,942.79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50.00%</w:t>
            </w:r>
          </w:p>
        </w:tc>
      </w:tr>
      <w:tr>
        <w:trPr>
          <w:trHeight w:val="478"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12,720,289.12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12,720,289.12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80"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462,437,746.84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38,611,707.65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8.35%</w:t>
            </w:r>
          </w:p>
        </w:tc>
      </w:tr>
    </w:tbl>
    <w:p>
      <w:pPr>
        <w:spacing w:line="415" w:lineRule="auto" w:before="64"/>
        <w:ind w:left="152" w:right="679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r>
        <w:rPr>
          <w:rFonts w:ascii="宋体" w:hAnsi="宋体" w:cs="宋体" w:eastAsia="宋体" w:hint="default"/>
          <w:sz w:val="21"/>
          <w:szCs w:val="21"/>
        </w:rPr>
        <w:t>详见本附注五、</w:t>
      </w:r>
      <w:r>
        <w:rPr>
          <w:rFonts w:ascii="Times New Roman" w:hAnsi="Times New Roman" w:cs="Times New Roman" w:eastAsia="Times New Roman" w:hint="default"/>
          <w:sz w:val="18"/>
          <w:szCs w:val="18"/>
        </w:rPr>
        <w:t>11</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18"/>
          <w:szCs w:val="18"/>
        </w:rPr>
        <w:t>组合中，采用其他方法计提坏账准备的应收账款：</w:t>
      </w:r>
    </w:p>
    <w:p>
      <w:pPr>
        <w:pStyle w:val="BodyText"/>
        <w:spacing w:line="240" w:lineRule="auto" w:before="101"/>
        <w:ind w:left="0" w:right="1131"/>
        <w:jc w:val="right"/>
      </w:pPr>
      <w:r>
        <w:rPr/>
        <w:t>单位：元</w:t>
      </w:r>
    </w:p>
    <w:p>
      <w:pPr>
        <w:spacing w:line="240" w:lineRule="auto" w:before="1"/>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215"/>
        <w:gridCol w:w="1925"/>
        <w:gridCol w:w="1808"/>
        <w:gridCol w:w="2499"/>
      </w:tblGrid>
      <w:tr>
        <w:trPr>
          <w:trHeight w:val="497" w:hRule="exact"/>
        </w:trPr>
        <w:tc>
          <w:tcPr>
            <w:tcW w:w="3215" w:type="dxa"/>
            <w:vMerge w:val="restart"/>
            <w:tcBorders>
              <w:top w:val="single" w:sz="4" w:space="0" w:color="000000"/>
              <w:left w:val="single" w:sz="4" w:space="0" w:color="000000"/>
              <w:right w:val="single" w:sz="4" w:space="0" w:color="000000"/>
            </w:tcBorders>
          </w:tcPr>
          <w:p>
            <w:pPr>
              <w:pStyle w:val="TableParagraph"/>
              <w:spacing w:line="240" w:lineRule="auto" w:before="97"/>
              <w:ind w:left="998"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62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500" w:hRule="exact"/>
        </w:trPr>
        <w:tc>
          <w:tcPr>
            <w:tcW w:w="3215" w:type="dxa"/>
            <w:vMerge/>
            <w:tcBorders>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6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4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7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497"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合并关联方</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Times New Roman" w:hAnsi="Times New Roman" w:cs="Times New Roman" w:eastAsia="Times New Roman" w:hint="default"/>
                <w:sz w:val="18"/>
                <w:szCs w:val="18"/>
              </w:rPr>
            </w:pPr>
            <w:r>
              <w:rPr>
                <w:rFonts w:ascii="Times New Roman"/>
                <w:spacing w:val="-1"/>
                <w:sz w:val="18"/>
              </w:rPr>
              <w:t>74,924,232.01</w:t>
            </w:r>
          </w:p>
        </w:tc>
        <w:tc>
          <w:tcPr>
            <w:tcW w:w="1808"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99"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right"/>
              <w:rPr>
                <w:rFonts w:ascii="Times New Roman" w:hAnsi="Times New Roman" w:cs="Times New Roman" w:eastAsia="Times New Roman" w:hint="default"/>
                <w:sz w:val="18"/>
                <w:szCs w:val="18"/>
              </w:rPr>
            </w:pPr>
            <w:r>
              <w:rPr>
                <w:rFonts w:ascii="Times New Roman"/>
                <w:spacing w:val="-1"/>
                <w:sz w:val="18"/>
              </w:rPr>
              <w:t>74,924,232.01</w:t>
            </w:r>
          </w:p>
        </w:tc>
        <w:tc>
          <w:tcPr>
            <w:tcW w:w="1808"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bl>
    <w:p>
      <w:pPr>
        <w:pStyle w:val="Heading5"/>
        <w:spacing w:line="240" w:lineRule="auto" w:before="87"/>
        <w:ind w:left="152" w:right="1034"/>
        <w:jc w:val="left"/>
        <w:rPr>
          <w:b w:val="0"/>
          <w:bCs w:val="0"/>
        </w:rPr>
      </w:pP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16"/>
          <w:szCs w:val="16"/>
        </w:rPr>
      </w:pPr>
    </w:p>
    <w:p>
      <w:pPr>
        <w:pStyle w:val="BodyText"/>
        <w:spacing w:line="240" w:lineRule="auto"/>
        <w:ind w:left="333" w:right="1034"/>
        <w:jc w:val="left"/>
      </w:pPr>
      <w:r>
        <w:rPr/>
        <w:t>本期计提坏账准备金额</w:t>
      </w:r>
      <w:r>
        <w:rPr>
          <w:spacing w:val="-47"/>
        </w:rPr>
        <w:t> </w:t>
      </w:r>
      <w:r>
        <w:rPr>
          <w:rFonts w:ascii="Times New Roman" w:hAnsi="Times New Roman" w:cs="Times New Roman" w:eastAsia="Times New Roman" w:hint="default"/>
        </w:rPr>
        <w:t>22,427,339.19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16"/>
          <w:szCs w:val="16"/>
        </w:rPr>
      </w:pPr>
    </w:p>
    <w:p>
      <w:pPr>
        <w:spacing w:line="451" w:lineRule="auto" w:before="0"/>
        <w:ind w:left="333" w:right="7513" w:hanging="18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本期实际核销的应收账款情况</w:t>
      </w:r>
      <w:r>
        <w:rPr>
          <w:rFonts w:ascii="宋体" w:hAnsi="宋体" w:cs="宋体" w:eastAsia="宋体" w:hint="default"/>
          <w:b/>
          <w:bCs/>
          <w:w w:val="99"/>
          <w:sz w:val="18"/>
          <w:szCs w:val="18"/>
        </w:rPr>
        <w:t> </w:t>
      </w:r>
      <w:r>
        <w:rPr>
          <w:rFonts w:ascii="宋体" w:hAnsi="宋体" w:cs="宋体" w:eastAsia="宋体" w:hint="default"/>
          <w:sz w:val="18"/>
          <w:szCs w:val="18"/>
        </w:rPr>
        <w:t>本期未发生实际核销的应收账款情况。</w:t>
      </w:r>
    </w:p>
    <w:p>
      <w:pPr>
        <w:pStyle w:val="Heading5"/>
        <w:spacing w:line="240" w:lineRule="auto" w:before="74"/>
        <w:ind w:left="152" w:right="1034"/>
        <w:jc w:val="left"/>
        <w:rPr>
          <w:b w:val="0"/>
          <w:bCs w:val="0"/>
        </w:rPr>
      </w:pP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16"/>
          <w:szCs w:val="16"/>
        </w:rPr>
      </w:pPr>
    </w:p>
    <w:p>
      <w:pPr>
        <w:pStyle w:val="BodyText"/>
        <w:spacing w:line="451" w:lineRule="auto"/>
        <w:ind w:right="1123" w:firstLine="180"/>
        <w:jc w:val="left"/>
      </w:pPr>
      <w:r>
        <w:rPr/>
        <w:t>按欠款方集中度归集的期末余额前五名应收账款汇总金额</w:t>
      </w:r>
      <w:r>
        <w:rPr>
          <w:spacing w:val="-42"/>
        </w:rPr>
        <w:t> </w:t>
      </w:r>
      <w:r>
        <w:rPr>
          <w:rFonts w:ascii="Times New Roman" w:hAnsi="Times New Roman" w:cs="Times New Roman" w:eastAsia="Times New Roman" w:hint="default"/>
          <w:spacing w:val="-1"/>
        </w:rPr>
        <w:t>231,842,397.49</w:t>
      </w:r>
      <w:r>
        <w:rPr>
          <w:rFonts w:ascii="Times New Roman" w:hAnsi="Times New Roman" w:cs="Times New Roman" w:eastAsia="Times New Roman" w:hint="default"/>
          <w:spacing w:val="6"/>
        </w:rPr>
        <w:t> </w:t>
      </w:r>
      <w:r>
        <w:rPr>
          <w:spacing w:val="-6"/>
        </w:rPr>
        <w:t>元，占应收账款期末余额合计数的比例</w:t>
      </w:r>
      <w:r>
        <w:rPr>
          <w:spacing w:val="-42"/>
        </w:rPr>
        <w:t> </w:t>
      </w:r>
      <w:r>
        <w:rPr>
          <w:rFonts w:ascii="Times New Roman" w:hAnsi="Times New Roman" w:cs="Times New Roman" w:eastAsia="Times New Roman" w:hint="default"/>
        </w:rPr>
        <w:t>41.29%</w:t>
      </w:r>
      <w:r>
        <w:rPr/>
        <w:t>， 相应计提的坏账准备期末余额汇总</w:t>
      </w:r>
      <w:r>
        <w:rPr>
          <w:spacing w:val="-46"/>
        </w:rPr>
        <w:t> </w:t>
      </w:r>
      <w:r>
        <w:rPr>
          <w:rFonts w:ascii="Times New Roman" w:hAnsi="Times New Roman" w:cs="Times New Roman" w:eastAsia="Times New Roman" w:hint="default"/>
        </w:rPr>
        <w:t>14,790,842.58</w:t>
      </w:r>
      <w:r>
        <w:rPr>
          <w:rFonts w:ascii="Times New Roman" w:hAnsi="Times New Roman" w:cs="Times New Roman" w:eastAsia="Times New Roman" w:hint="default"/>
          <w:spacing w:val="-1"/>
        </w:rPr>
        <w:t> </w:t>
      </w:r>
      <w:r>
        <w:rPr/>
        <w:t>元。</w:t>
      </w:r>
    </w:p>
    <w:p>
      <w:pPr>
        <w:spacing w:line="451" w:lineRule="auto" w:before="43"/>
        <w:ind w:left="333" w:right="6613" w:hanging="18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因金融资产转移而终止确认的应收账款</w:t>
      </w:r>
      <w:r>
        <w:rPr>
          <w:rFonts w:ascii="宋体" w:hAnsi="宋体" w:cs="宋体" w:eastAsia="宋体" w:hint="default"/>
          <w:b/>
          <w:bCs/>
          <w:w w:val="99"/>
          <w:sz w:val="18"/>
          <w:szCs w:val="18"/>
        </w:rPr>
        <w:t> </w:t>
      </w:r>
      <w:r>
        <w:rPr>
          <w:rFonts w:ascii="宋体" w:hAnsi="宋体" w:cs="宋体" w:eastAsia="宋体" w:hint="default"/>
          <w:sz w:val="18"/>
          <w:szCs w:val="18"/>
        </w:rPr>
        <w:t>本期没有因金融资产转移而终止确认的应收款项。</w:t>
      </w:r>
    </w:p>
    <w:p>
      <w:pPr>
        <w:spacing w:line="451" w:lineRule="auto" w:before="74"/>
        <w:ind w:left="333" w:right="5713" w:hanging="18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转移应收账款且继续涉入形成的资产、负债金额</w:t>
      </w:r>
      <w:r>
        <w:rPr>
          <w:rFonts w:ascii="宋体" w:hAnsi="宋体" w:cs="宋体" w:eastAsia="宋体" w:hint="default"/>
          <w:b/>
          <w:bCs/>
          <w:w w:val="99"/>
          <w:sz w:val="18"/>
          <w:szCs w:val="18"/>
        </w:rPr>
        <w:t> </w:t>
      </w:r>
      <w:r>
        <w:rPr>
          <w:rFonts w:ascii="宋体" w:hAnsi="宋体" w:cs="宋体" w:eastAsia="宋体" w:hint="default"/>
          <w:sz w:val="18"/>
          <w:szCs w:val="18"/>
        </w:rPr>
        <w:t>本期未发生转移应收账款且继续涉入形成的资产、负债情况。</w:t>
      </w:r>
    </w:p>
    <w:p>
      <w:pPr>
        <w:pStyle w:val="Heading4"/>
        <w:spacing w:line="240" w:lineRule="auto" w:before="58"/>
        <w:ind w:right="1034"/>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1"/>
        <w:rPr>
          <w:rFonts w:ascii="宋体" w:hAnsi="宋体" w:cs="宋体" w:eastAsia="宋体" w:hint="default"/>
          <w:b/>
          <w:bCs/>
          <w:sz w:val="15"/>
          <w:szCs w:val="15"/>
        </w:rPr>
      </w:pPr>
    </w:p>
    <w:p>
      <w:pPr>
        <w:pStyle w:val="BodyText"/>
        <w:spacing w:line="240" w:lineRule="auto"/>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78"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20,400,000.00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91,528,330.69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100,884,240.05</w:t>
            </w:r>
          </w:p>
        </w:tc>
      </w:tr>
      <w:tr>
        <w:trPr>
          <w:trHeight w:val="480"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111,928,330.69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100,884,240.05</w:t>
            </w:r>
          </w:p>
        </w:tc>
      </w:tr>
    </w:tbl>
    <w:p>
      <w:pPr>
        <w:pStyle w:val="Heading4"/>
        <w:spacing w:line="240" w:lineRule="auto" w:before="71"/>
        <w:ind w:right="1034"/>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11"/>
        <w:rPr>
          <w:rFonts w:ascii="宋体" w:hAnsi="宋体" w:cs="宋体" w:eastAsia="宋体" w:hint="default"/>
          <w:b/>
          <w:bCs/>
          <w:sz w:val="15"/>
          <w:szCs w:val="15"/>
        </w:rPr>
      </w:pPr>
    </w:p>
    <w:p>
      <w:pPr>
        <w:pStyle w:val="Heading5"/>
        <w:spacing w:line="240" w:lineRule="auto"/>
        <w:ind w:left="152" w:right="1034"/>
        <w:jc w:val="left"/>
        <w:rPr>
          <w:b w:val="0"/>
          <w:bCs w:val="0"/>
        </w:rPr>
      </w:pPr>
      <w:r>
        <w:rPr>
          <w:rFonts w:ascii="Times New Roman" w:hAnsi="Times New Roman" w:cs="Times New Roman" w:eastAsia="Times New Roman" w:hint="default"/>
        </w:rPr>
        <w:t>1)</w:t>
      </w:r>
      <w:r>
        <w:rPr/>
        <w:t>应收股利</w:t>
      </w:r>
      <w:r>
        <w:rPr>
          <w:b w:val="0"/>
          <w:bCs w:val="0"/>
        </w:rPr>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b/>
          <w:bCs/>
          <w:sz w:val="27"/>
          <w:szCs w:val="27"/>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78"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广州穗通金融服务有限公司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20,400,000.00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20,400,000.00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451" w:lineRule="auto" w:before="87"/>
        <w:ind w:left="335" w:right="6701" w:hanging="18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重要的账龄超过</w:t>
      </w:r>
      <w:r>
        <w:rPr>
          <w:rFonts w:ascii="宋体" w:hAnsi="宋体" w:cs="宋体" w:eastAsia="宋体" w:hint="default"/>
          <w:b/>
          <w:bCs/>
          <w:spacing w:val="-44"/>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年的应收股利</w:t>
      </w:r>
      <w:r>
        <w:rPr>
          <w:rFonts w:ascii="宋体" w:hAnsi="宋体" w:cs="宋体" w:eastAsia="宋体" w:hint="default"/>
          <w:b/>
          <w:bCs/>
          <w:w w:val="99"/>
          <w:sz w:val="18"/>
          <w:szCs w:val="18"/>
        </w:rPr>
        <w:t> </w:t>
      </w:r>
      <w:r>
        <w:rPr>
          <w:rFonts w:ascii="宋体" w:hAnsi="宋体" w:cs="宋体" w:eastAsia="宋体" w:hint="default"/>
          <w:sz w:val="18"/>
          <w:szCs w:val="18"/>
        </w:rPr>
        <w:t>本期未发生重要的账龄超过</w:t>
      </w:r>
      <w:r>
        <w:rPr>
          <w:rFonts w:ascii="Times New Roman" w:hAnsi="Times New Roman" w:cs="Times New Roman" w:eastAsia="Times New Roman" w:hint="default"/>
          <w:sz w:val="18"/>
          <w:szCs w:val="18"/>
        </w:rPr>
        <w:t>1</w:t>
      </w:r>
      <w:r>
        <w:rPr>
          <w:rFonts w:ascii="宋体" w:hAnsi="宋体" w:cs="宋体" w:eastAsia="宋体" w:hint="default"/>
          <w:sz w:val="18"/>
          <w:szCs w:val="18"/>
        </w:rPr>
        <w:t>年的应收股利情况。</w:t>
      </w:r>
    </w:p>
    <w:p>
      <w:pPr>
        <w:pStyle w:val="Heading4"/>
        <w:spacing w:line="240" w:lineRule="auto" w:before="27"/>
        <w:ind w:right="1034"/>
        <w:jc w:val="left"/>
        <w:rPr>
          <w:b w:val="0"/>
          <w:bCs w:val="0"/>
        </w:rPr>
      </w:pPr>
      <w:r>
        <w:rPr/>
        <w:t>（</w:t>
      </w: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15"/>
          <w:szCs w:val="15"/>
        </w:rPr>
      </w:pPr>
    </w:p>
    <w:p>
      <w:pPr>
        <w:pStyle w:val="BodyText"/>
        <w:spacing w:line="240" w:lineRule="auto"/>
        <w:ind w:right="1034"/>
        <w:jc w:val="left"/>
      </w:pPr>
      <w:r>
        <w:rPr>
          <w:rFonts w:ascii="Times New Roman" w:hAnsi="Times New Roman" w:cs="Times New Roman" w:eastAsia="Times New Roman" w:hint="default"/>
        </w:rPr>
        <w:t>1)</w:t>
      </w:r>
      <w:r>
        <w:rPr/>
        <w:t>其他应收款分类披露</w:t>
      </w:r>
    </w:p>
    <w:p>
      <w:pPr>
        <w:pStyle w:val="BodyText"/>
        <w:spacing w:line="240" w:lineRule="auto" w:before="139"/>
        <w:ind w:left="0" w:right="1131"/>
        <w:jc w:val="right"/>
      </w:pPr>
      <w:r>
        <w:rPr/>
        <w:t>单位：</w:t>
      </w:r>
      <w:r>
        <w:rPr>
          <w:spacing w:val="1"/>
        </w:rPr>
        <w:t> </w:t>
      </w:r>
      <w:r>
        <w:rPr/>
        <w:t>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115"/>
        <w:gridCol w:w="994"/>
        <w:gridCol w:w="566"/>
        <w:gridCol w:w="850"/>
        <w:gridCol w:w="427"/>
        <w:gridCol w:w="850"/>
        <w:gridCol w:w="850"/>
        <w:gridCol w:w="569"/>
        <w:gridCol w:w="850"/>
        <w:gridCol w:w="554"/>
        <w:gridCol w:w="931"/>
      </w:tblGrid>
      <w:tr>
        <w:trPr>
          <w:trHeight w:val="317" w:hRule="exact"/>
        </w:trPr>
        <w:tc>
          <w:tcPr>
            <w:tcW w:w="2115" w:type="dxa"/>
            <w:vMerge w:val="restart"/>
            <w:tcBorders>
              <w:top w:val="single" w:sz="4" w:space="0" w:color="000000"/>
              <w:left w:val="single" w:sz="4" w:space="0" w:color="000000"/>
              <w:right w:val="single" w:sz="4" w:space="0" w:color="000000"/>
            </w:tcBorders>
            <w:shd w:val="clear" w:color="auto" w:fill="D2D2D2"/>
          </w:tcPr>
          <w:p>
            <w:pPr/>
          </w:p>
        </w:tc>
        <w:tc>
          <w:tcPr>
            <w:tcW w:w="368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5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2115" w:type="dxa"/>
            <w:vMerge/>
            <w:tcBorders>
              <w:left w:val="single" w:sz="4" w:space="0" w:color="000000"/>
              <w:bottom w:val="nil" w:sz="6" w:space="0" w:color="auto"/>
              <w:right w:val="single" w:sz="4" w:space="0" w:color="000000"/>
            </w:tcBorders>
            <w:shd w:val="clear" w:color="auto" w:fill="D2D2D2"/>
          </w:tcPr>
          <w:p>
            <w:pPr/>
          </w:p>
        </w:tc>
        <w:tc>
          <w:tcPr>
            <w:tcW w:w="156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4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27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141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0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3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161" w:hRule="exact"/>
        </w:trPr>
        <w:tc>
          <w:tcPr>
            <w:tcW w:w="21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9"/>
              <w:jc w:val="center"/>
              <w:rPr>
                <w:rFonts w:ascii="宋体" w:hAnsi="宋体" w:cs="宋体" w:eastAsia="宋体" w:hint="default"/>
                <w:sz w:val="18"/>
                <w:szCs w:val="18"/>
              </w:rPr>
            </w:pPr>
            <w:r>
              <w:rPr>
                <w:rFonts w:ascii="宋体" w:hAnsi="宋体" w:cs="宋体" w:eastAsia="宋体" w:hint="default"/>
                <w:sz w:val="18"/>
                <w:szCs w:val="18"/>
              </w:rPr>
              <w:t>类别</w:t>
            </w:r>
          </w:p>
        </w:tc>
        <w:tc>
          <w:tcPr>
            <w:tcW w:w="1561" w:type="dxa"/>
            <w:gridSpan w:val="2"/>
            <w:vMerge/>
            <w:tcBorders>
              <w:left w:val="single" w:sz="4" w:space="0" w:color="000000"/>
              <w:bottom w:val="single" w:sz="4" w:space="0" w:color="000000"/>
              <w:right w:val="single" w:sz="4" w:space="0" w:color="000000"/>
            </w:tcBorders>
            <w:shd w:val="clear" w:color="auto" w:fill="D2D2D2"/>
          </w:tcPr>
          <w:p>
            <w:pPr/>
          </w:p>
        </w:tc>
        <w:tc>
          <w:tcPr>
            <w:tcW w:w="1277" w:type="dxa"/>
            <w:gridSpan w:val="2"/>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418" w:type="dxa"/>
            <w:gridSpan w:val="2"/>
            <w:vMerge/>
            <w:tcBorders>
              <w:left w:val="single" w:sz="4" w:space="0" w:color="000000"/>
              <w:bottom w:val="single" w:sz="4" w:space="0" w:color="000000"/>
              <w:right w:val="single" w:sz="4" w:space="0" w:color="000000"/>
            </w:tcBorders>
            <w:shd w:val="clear" w:color="auto" w:fill="D2D2D2"/>
          </w:tcPr>
          <w:p>
            <w:pPr/>
          </w:p>
        </w:tc>
        <w:tc>
          <w:tcPr>
            <w:tcW w:w="1405"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2115" w:type="dxa"/>
            <w:vMerge/>
            <w:tcBorders>
              <w:left w:val="single" w:sz="4" w:space="0" w:color="000000"/>
              <w:bottom w:val="single" w:sz="4" w:space="0" w:color="FFFFFF"/>
              <w:right w:val="single" w:sz="4" w:space="0" w:color="000000"/>
            </w:tcBorders>
            <w:shd w:val="clear" w:color="auto" w:fill="D2D2D2"/>
          </w:tcPr>
          <w:p>
            <w:pPr/>
          </w:p>
        </w:tc>
        <w:tc>
          <w:tcPr>
            <w:tcW w:w="99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566"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850"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4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28" w:right="2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850" w:type="dxa"/>
            <w:vMerge w:val="restart"/>
            <w:tcBorders>
              <w:top w:val="nil" w:sz="6" w:space="0" w:color="auto"/>
              <w:left w:val="single" w:sz="23" w:space="0" w:color="D2D2D2"/>
              <w:right w:val="single" w:sz="23" w:space="0" w:color="D2D2D2"/>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账面价值</w:t>
            </w:r>
            <w:r>
              <w:rPr>
                <w:rFonts w:ascii="宋体" w:hAnsi="宋体" w:cs="宋体" w:eastAsia="宋体" w:hint="default"/>
                <w:sz w:val="18"/>
                <w:szCs w:val="18"/>
              </w:rPr>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69"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5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91" w:right="91"/>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4" w:hRule="exact"/>
        </w:trPr>
        <w:tc>
          <w:tcPr>
            <w:tcW w:w="2115" w:type="dxa"/>
            <w:vMerge w:val="restart"/>
            <w:tcBorders>
              <w:top w:val="single" w:sz="4" w:space="0" w:color="FFFFFF"/>
              <w:left w:val="single" w:sz="4" w:space="0" w:color="000000"/>
              <w:right w:val="single" w:sz="4" w:space="0" w:color="000000"/>
            </w:tcBorders>
            <w:shd w:val="clear" w:color="auto" w:fill="D2D2D2"/>
          </w:tcPr>
          <w:p>
            <w:pPr/>
          </w:p>
        </w:tc>
        <w:tc>
          <w:tcPr>
            <w:tcW w:w="99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
              <w:ind w:left="31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
              <w:ind w:left="9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
              <w:ind w:left="2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427" w:type="dxa"/>
            <w:vMerge/>
            <w:tcBorders>
              <w:left w:val="single" w:sz="4" w:space="0" w:color="000000"/>
              <w:right w:val="single" w:sz="4" w:space="0" w:color="000000"/>
            </w:tcBorders>
            <w:shd w:val="clear" w:color="auto" w:fill="D2D2D2"/>
          </w:tcPr>
          <w:p>
            <w:pPr/>
          </w:p>
        </w:tc>
        <w:tc>
          <w:tcPr>
            <w:tcW w:w="850" w:type="dxa"/>
            <w:vMerge/>
            <w:tcBorders>
              <w:left w:val="single" w:sz="23" w:space="0" w:color="D2D2D2"/>
              <w:bottom w:val="nil" w:sz="6" w:space="0" w:color="auto"/>
              <w:right w:val="single" w:sz="23" w:space="0" w:color="D2D2D2"/>
            </w:tcBorders>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3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54" w:type="dxa"/>
            <w:vMerge/>
            <w:tcBorders>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115" w:type="dxa"/>
            <w:vMerge/>
            <w:tcBorders>
              <w:left w:val="single" w:sz="4" w:space="0" w:color="000000"/>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554" w:type="dxa"/>
            <w:vMerge/>
            <w:tcBorders>
              <w:left w:val="single" w:sz="4" w:space="0" w:color="000000"/>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115"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427"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69"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54"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634" w:hRule="exact"/>
        </w:trPr>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111"/>
              <w:jc w:val="left"/>
              <w:rPr>
                <w:rFonts w:ascii="宋体" w:hAnsi="宋体" w:cs="宋体" w:eastAsia="宋体" w:hint="default"/>
                <w:sz w:val="18"/>
                <w:szCs w:val="18"/>
              </w:rPr>
            </w:pPr>
            <w:r>
              <w:rPr>
                <w:rFonts w:ascii="宋体" w:hAnsi="宋体" w:cs="宋体" w:eastAsia="宋体" w:hint="default"/>
                <w:sz w:val="18"/>
                <w:szCs w:val="18"/>
              </w:rPr>
              <w:t>单项金额重大并单独计提 坏账准备的其他应收款</w:t>
            </w:r>
          </w:p>
        </w:tc>
        <w:tc>
          <w:tcPr>
            <w:tcW w:w="994" w:type="dxa"/>
            <w:tcBorders>
              <w:top w:val="single" w:sz="4" w:space="0" w:color="000000"/>
              <w:left w:val="single" w:sz="10"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111"/>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坏账准备的其他应收款</w:t>
            </w:r>
          </w:p>
        </w:tc>
        <w:tc>
          <w:tcPr>
            <w:tcW w:w="9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94,864,102.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3,335,771.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71</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5" w:right="0"/>
              <w:jc w:val="center"/>
              <w:rPr>
                <w:rFonts w:ascii="Times New Roman" w:hAnsi="Times New Roman" w:cs="Times New Roman" w:eastAsia="Times New Roman" w:hint="default"/>
                <w:sz w:val="18"/>
                <w:szCs w:val="18"/>
              </w:rPr>
            </w:pPr>
            <w:r>
              <w:rPr>
                <w:rFonts w:ascii="Times New Roman"/>
                <w:sz w:val="18"/>
              </w:rPr>
              <w:t>3.52</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91,528,33</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0.69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103,186,1</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22.80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2,301,882.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2.23%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8" w:right="0"/>
              <w:jc w:val="left"/>
              <w:rPr>
                <w:rFonts w:ascii="Times New Roman" w:hAnsi="Times New Roman" w:cs="Times New Roman" w:eastAsia="Times New Roman" w:hint="default"/>
                <w:sz w:val="18"/>
                <w:szCs w:val="18"/>
              </w:rPr>
            </w:pPr>
            <w:r>
              <w:rPr>
                <w:rFonts w:ascii="Times New Roman"/>
                <w:sz w:val="18"/>
              </w:rPr>
              <w:t>100,884,24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0.05</w:t>
            </w:r>
          </w:p>
        </w:tc>
      </w:tr>
      <w:tr>
        <w:trPr>
          <w:trHeight w:val="636" w:hRule="exact"/>
        </w:trPr>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2" w:right="111"/>
              <w:jc w:val="left"/>
              <w:rPr>
                <w:rFonts w:ascii="宋体" w:hAnsi="宋体" w:cs="宋体" w:eastAsia="宋体" w:hint="default"/>
                <w:sz w:val="18"/>
                <w:szCs w:val="18"/>
              </w:rPr>
            </w:pPr>
            <w:r>
              <w:rPr>
                <w:rFonts w:ascii="宋体" w:hAnsi="宋体" w:cs="宋体" w:eastAsia="宋体" w:hint="default"/>
                <w:sz w:val="18"/>
                <w:szCs w:val="18"/>
              </w:rPr>
              <w:t>单项金额不重大但单独计 提坏账准备的其他应收款</w:t>
            </w:r>
          </w:p>
        </w:tc>
        <w:tc>
          <w:tcPr>
            <w:tcW w:w="994" w:type="dxa"/>
            <w:tcBorders>
              <w:top w:val="single" w:sz="4" w:space="0" w:color="000000"/>
              <w:left w:val="single" w:sz="10"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115"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vMerge w:val="restart"/>
            <w:tcBorders>
              <w:top w:val="single" w:sz="4" w:space="0" w:color="000000"/>
              <w:left w:val="single" w:sz="10" w:space="0" w:color="D2D2D2"/>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94,864,102.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3,335,771.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71</w:t>
            </w:r>
          </w:p>
        </w:tc>
        <w:tc>
          <w:tcPr>
            <w:tcW w:w="427" w:type="dxa"/>
            <w:vMerge w:val="restart"/>
            <w:tcBorders>
              <w:top w:val="single" w:sz="4" w:space="0" w:color="000000"/>
              <w:left w:val="single" w:sz="4" w:space="0" w:color="000000"/>
              <w:right w:val="single" w:sz="4" w:space="0" w:color="000000"/>
            </w:tcBorders>
          </w:tcPr>
          <w:p>
            <w:pPr>
              <w:pStyle w:val="TableParagraph"/>
              <w:spacing w:line="240" w:lineRule="auto" w:before="50"/>
              <w:ind w:left="55" w:right="0"/>
              <w:jc w:val="center"/>
              <w:rPr>
                <w:rFonts w:ascii="Times New Roman" w:hAnsi="Times New Roman" w:cs="Times New Roman" w:eastAsia="Times New Roman" w:hint="default"/>
                <w:sz w:val="18"/>
                <w:szCs w:val="18"/>
              </w:rPr>
            </w:pPr>
            <w:r>
              <w:rPr>
                <w:rFonts w:ascii="Times New Roman"/>
                <w:sz w:val="18"/>
              </w:rPr>
              <w:t>3.52</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91,528,33</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0.69</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103,186,1</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22.80</w:t>
            </w: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2,301,882.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c>
          <w:tcPr>
            <w:tcW w:w="55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2.23%</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50"/>
              <w:ind w:left="88" w:right="0"/>
              <w:jc w:val="left"/>
              <w:rPr>
                <w:rFonts w:ascii="Times New Roman" w:hAnsi="Times New Roman" w:cs="Times New Roman" w:eastAsia="Times New Roman" w:hint="default"/>
                <w:sz w:val="18"/>
                <w:szCs w:val="18"/>
              </w:rPr>
            </w:pPr>
            <w:r>
              <w:rPr>
                <w:rFonts w:ascii="Times New Roman"/>
                <w:sz w:val="18"/>
              </w:rPr>
              <w:t>100,884,24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0.05</w:t>
            </w:r>
          </w:p>
        </w:tc>
      </w:tr>
      <w:tr>
        <w:trPr>
          <w:trHeight w:val="312" w:hRule="exact"/>
        </w:trPr>
        <w:tc>
          <w:tcPr>
            <w:tcW w:w="21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4" w:type="dxa"/>
            <w:vMerge/>
            <w:tcBorders>
              <w:left w:val="single" w:sz="10" w:space="0" w:color="D2D2D2"/>
              <w:right w:val="single" w:sz="4" w:space="0" w:color="000000"/>
            </w:tcBorders>
          </w:tcPr>
          <w:p>
            <w:pPr/>
          </w:p>
        </w:tc>
        <w:tc>
          <w:tcPr>
            <w:tcW w:w="5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5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2115"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vMerge/>
            <w:tcBorders>
              <w:left w:val="single" w:sz="10" w:space="0" w:color="D2D2D2"/>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55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BodyText"/>
        <w:spacing w:line="477" w:lineRule="auto" w:before="87"/>
        <w:ind w:right="6074"/>
        <w:jc w:val="left"/>
      </w:pPr>
      <w:r>
        <w:rPr/>
        <w:t>期末没有单项金额重大并单项计提坏账准备的其他应收款。 组合中，按账龄分析法计提坏账准备的其他应收款：</w:t>
      </w:r>
    </w:p>
    <w:p>
      <w:pPr>
        <w:pStyle w:val="BodyText"/>
        <w:spacing w:line="240" w:lineRule="auto" w:before="5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2471"/>
        <w:gridCol w:w="2306"/>
        <w:gridCol w:w="2391"/>
        <w:gridCol w:w="2391"/>
      </w:tblGrid>
      <w:tr>
        <w:trPr>
          <w:trHeight w:val="245" w:hRule="exact"/>
        </w:trPr>
        <w:tc>
          <w:tcPr>
            <w:tcW w:w="24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7"/>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28" w:hRule="exact"/>
        </w:trPr>
        <w:tc>
          <w:tcPr>
            <w:tcW w:w="24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88" w:type="dxa"/>
            <w:gridSpan w:val="3"/>
            <w:vMerge/>
            <w:tcBorders>
              <w:left w:val="single" w:sz="4" w:space="0" w:color="000000"/>
              <w:bottom w:val="single" w:sz="4" w:space="0" w:color="000000"/>
              <w:right w:val="single" w:sz="4" w:space="0" w:color="000000"/>
            </w:tcBorders>
            <w:shd w:val="clear" w:color="auto" w:fill="D2D2D2"/>
          </w:tcPr>
          <w:p>
            <w:pPr/>
          </w:p>
        </w:tc>
      </w:tr>
      <w:tr>
        <w:trPr>
          <w:trHeight w:val="241" w:hRule="exact"/>
        </w:trPr>
        <w:tc>
          <w:tcPr>
            <w:tcW w:w="2471" w:type="dxa"/>
            <w:vMerge/>
            <w:tcBorders>
              <w:left w:val="single" w:sz="4" w:space="0" w:color="000000"/>
              <w:bottom w:val="nil" w:sz="6" w:space="0" w:color="auto"/>
              <w:right w:val="single" w:sz="4" w:space="0" w:color="000000"/>
            </w:tcBorders>
            <w:shd w:val="clear" w:color="auto" w:fill="D2D2D2"/>
          </w:tcPr>
          <w:p>
            <w:pPr/>
          </w:p>
        </w:tc>
        <w:tc>
          <w:tcPr>
            <w:tcW w:w="2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2"/>
              <w:ind w:left="7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42" w:hRule="exact"/>
        </w:trPr>
        <w:tc>
          <w:tcPr>
            <w:tcW w:w="247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6"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78"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15,360,252.65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76,801.28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0.50%</w:t>
            </w:r>
          </w:p>
        </w:tc>
      </w:tr>
      <w:tr>
        <w:trPr>
          <w:trHeight w:val="480"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3,727,169.22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186,358.47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5.00%</w:t>
            </w:r>
          </w:p>
        </w:tc>
      </w:tr>
      <w:tr>
        <w:trPr>
          <w:trHeight w:val="478"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1,712,887.76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171,288.78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10.00%</w:t>
            </w:r>
          </w:p>
        </w:tc>
      </w:tr>
      <w:tr>
        <w:trPr>
          <w:trHeight w:val="478"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7,561,760.29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2,901,323.18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38.37%</w:t>
            </w:r>
          </w:p>
        </w:tc>
      </w:tr>
      <w:tr>
        <w:trPr>
          <w:trHeight w:val="478"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4,498,749.44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1,349,624.83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30.00%</w:t>
            </w:r>
          </w:p>
        </w:tc>
      </w:tr>
      <w:tr>
        <w:trPr>
          <w:trHeight w:val="478"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3,022,625.00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1,511,312.50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50.00%</w:t>
            </w:r>
          </w:p>
        </w:tc>
      </w:tr>
      <w:tr>
        <w:trPr>
          <w:trHeight w:val="480"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40,385.85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40,385.85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78"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229" w:right="0"/>
              <w:jc w:val="left"/>
              <w:rPr>
                <w:rFonts w:ascii="Times New Roman" w:hAnsi="Times New Roman" w:cs="Times New Roman" w:eastAsia="Times New Roman" w:hint="default"/>
                <w:sz w:val="18"/>
                <w:szCs w:val="18"/>
              </w:rPr>
            </w:pPr>
            <w:r>
              <w:rPr>
                <w:rFonts w:ascii="Times New Roman"/>
                <w:sz w:val="18"/>
              </w:rPr>
              <w:t>28,362,069.92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411" w:right="0"/>
              <w:jc w:val="left"/>
              <w:rPr>
                <w:rFonts w:ascii="Times New Roman" w:hAnsi="Times New Roman" w:cs="Times New Roman" w:eastAsia="Times New Roman" w:hint="default"/>
                <w:sz w:val="18"/>
                <w:szCs w:val="18"/>
              </w:rPr>
            </w:pPr>
            <w:r>
              <w:rPr>
                <w:rFonts w:ascii="Times New Roman"/>
                <w:sz w:val="18"/>
              </w:rPr>
              <w:t>3,335,771.71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11.76%</w:t>
            </w:r>
          </w:p>
        </w:tc>
      </w:tr>
    </w:tbl>
    <w:p>
      <w:pPr>
        <w:pStyle w:val="BodyText"/>
        <w:spacing w:line="451" w:lineRule="auto" w:before="87"/>
        <w:ind w:right="6614"/>
        <w:jc w:val="left"/>
      </w:pPr>
      <w:r>
        <w:rPr/>
        <w:t>确定该组合依据的说明：详见本附注五、</w:t>
      </w:r>
      <w:r>
        <w:rPr>
          <w:rFonts w:ascii="Times New Roman" w:hAnsi="Times New Roman" w:cs="Times New Roman" w:eastAsia="Times New Roman" w:hint="default"/>
        </w:rPr>
        <w:t>11</w:t>
      </w:r>
      <w:r>
        <w:rPr/>
        <w:t>。</w:t>
      </w:r>
      <w:r>
        <w:rPr>
          <w:spacing w:val="-87"/>
        </w:rPr>
        <w:t> </w:t>
      </w:r>
      <w:r>
        <w:rPr/>
        <w:t>组合中，采用其他方法计提坏账准备的其他应收款：</w:t>
      </w:r>
    </w:p>
    <w:p>
      <w:pPr>
        <w:pStyle w:val="BodyText"/>
        <w:spacing w:line="240" w:lineRule="auto" w:before="74"/>
        <w:ind w:left="0" w:right="1131"/>
        <w:jc w:val="right"/>
      </w:pPr>
      <w:r>
        <w:rPr/>
        <w:t>单位：元</w:t>
      </w:r>
    </w:p>
    <w:p>
      <w:pPr>
        <w:spacing w:line="240" w:lineRule="auto" w:before="1"/>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3263"/>
        <w:gridCol w:w="1983"/>
        <w:gridCol w:w="1843"/>
        <w:gridCol w:w="2413"/>
      </w:tblGrid>
      <w:tr>
        <w:trPr>
          <w:trHeight w:val="504" w:hRule="exact"/>
        </w:trPr>
        <w:tc>
          <w:tcPr>
            <w:tcW w:w="3263" w:type="dxa"/>
            <w:vMerge w:val="restart"/>
            <w:tcBorders>
              <w:top w:val="single" w:sz="6" w:space="0" w:color="000000"/>
              <w:left w:val="single" w:sz="6" w:space="0" w:color="000000"/>
              <w:right w:val="single" w:sz="6"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23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502" w:hRule="exact"/>
        </w:trPr>
        <w:tc>
          <w:tcPr>
            <w:tcW w:w="3263" w:type="dxa"/>
            <w:vMerge/>
            <w:tcBorders>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53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55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7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504"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 w:right="0"/>
              <w:jc w:val="left"/>
              <w:rPr>
                <w:rFonts w:ascii="宋体" w:hAnsi="宋体" w:cs="宋体" w:eastAsia="宋体" w:hint="default"/>
                <w:sz w:val="18"/>
                <w:szCs w:val="18"/>
              </w:rPr>
            </w:pPr>
            <w:r>
              <w:rPr>
                <w:rFonts w:ascii="宋体" w:hAnsi="宋体" w:cs="宋体" w:eastAsia="宋体" w:hint="default"/>
                <w:sz w:val="18"/>
                <w:szCs w:val="18"/>
              </w:rPr>
              <w:t>合并关联方</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pacing w:val="-1"/>
                <w:sz w:val="18"/>
              </w:rPr>
              <w:t>66,502,032.48</w:t>
            </w:r>
          </w:p>
        </w:tc>
        <w:tc>
          <w:tcPr>
            <w:tcW w:w="1843"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
        </w:tc>
      </w:tr>
      <w:tr>
        <w:trPr>
          <w:trHeight w:val="505"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right"/>
              <w:rPr>
                <w:rFonts w:ascii="Times New Roman" w:hAnsi="Times New Roman" w:cs="Times New Roman" w:eastAsia="Times New Roman" w:hint="default"/>
                <w:sz w:val="18"/>
                <w:szCs w:val="18"/>
              </w:rPr>
            </w:pPr>
            <w:r>
              <w:rPr>
                <w:rFonts w:ascii="Times New Roman"/>
                <w:spacing w:val="-1"/>
                <w:sz w:val="18"/>
              </w:rPr>
              <w:t>66,502,032.48</w:t>
            </w:r>
          </w:p>
        </w:tc>
        <w:tc>
          <w:tcPr>
            <w:tcW w:w="1843"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
        </w:tc>
      </w:tr>
    </w:tbl>
    <w:p>
      <w:pPr>
        <w:pStyle w:val="Heading5"/>
        <w:spacing w:line="240" w:lineRule="auto" w:before="87"/>
        <w:ind w:left="152" w:right="1034"/>
        <w:jc w:val="left"/>
        <w:rPr>
          <w:b w:val="0"/>
          <w:bCs w:val="0"/>
        </w:rPr>
      </w:pP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16"/>
          <w:szCs w:val="16"/>
        </w:rPr>
      </w:pPr>
    </w:p>
    <w:p>
      <w:pPr>
        <w:pStyle w:val="BodyText"/>
        <w:spacing w:line="240" w:lineRule="auto"/>
        <w:ind w:right="1034"/>
        <w:jc w:val="left"/>
      </w:pPr>
      <w:r>
        <w:rPr/>
        <w:t>本期计提坏账准备金额</w:t>
      </w:r>
      <w:r>
        <w:rPr>
          <w:spacing w:val="-46"/>
        </w:rPr>
        <w:t> </w:t>
      </w:r>
      <w:r>
        <w:rPr>
          <w:rFonts w:ascii="Times New Roman" w:hAnsi="Times New Roman" w:cs="Times New Roman" w:eastAsia="Times New Roman" w:hint="default"/>
        </w:rPr>
        <w:t>1,033,888.96</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w:t>
      </w:r>
    </w:p>
    <w:p>
      <w:pPr>
        <w:spacing w:line="240" w:lineRule="auto" w:before="9"/>
        <w:rPr>
          <w:rFonts w:ascii="宋体" w:hAnsi="宋体" w:cs="宋体" w:eastAsia="宋体" w:hint="default"/>
          <w:sz w:val="16"/>
          <w:szCs w:val="16"/>
        </w:rPr>
      </w:pPr>
    </w:p>
    <w:p>
      <w:pPr>
        <w:spacing w:line="451" w:lineRule="auto" w:before="0"/>
        <w:ind w:left="333" w:right="7513" w:hanging="18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本期实际核销的其他应收款情况</w:t>
      </w:r>
      <w:r>
        <w:rPr>
          <w:rFonts w:ascii="宋体" w:hAnsi="宋体" w:cs="宋体" w:eastAsia="宋体" w:hint="default"/>
          <w:b/>
          <w:bCs/>
          <w:w w:val="99"/>
          <w:sz w:val="18"/>
          <w:szCs w:val="18"/>
        </w:rPr>
        <w:t> </w:t>
      </w:r>
      <w:r>
        <w:rPr>
          <w:rFonts w:ascii="宋体" w:hAnsi="宋体" w:cs="宋体" w:eastAsia="宋体" w:hint="default"/>
          <w:sz w:val="18"/>
          <w:szCs w:val="18"/>
        </w:rPr>
        <w:t>本报告期没有实际核销的其他应收款。</w:t>
      </w:r>
    </w:p>
    <w:p>
      <w:pPr>
        <w:pStyle w:val="Heading5"/>
        <w:spacing w:line="240" w:lineRule="auto" w:before="74"/>
        <w:ind w:left="152" w:right="1034"/>
        <w:jc w:val="left"/>
        <w:rPr>
          <w:b w:val="0"/>
          <w:bCs w:val="0"/>
        </w:rPr>
      </w:pP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13"/>
          <w:szCs w:val="1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78"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78"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16,449,009.89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18,995,706.68</w:t>
            </w:r>
          </w:p>
        </w:tc>
      </w:tr>
      <w:tr>
        <w:trPr>
          <w:trHeight w:val="478"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72,318,590.18</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77,407,910.43</w:t>
            </w:r>
          </w:p>
        </w:tc>
      </w:tr>
      <w:tr>
        <w:trPr>
          <w:trHeight w:val="480"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职工借款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6,096,502.33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6,782,505.69</w:t>
            </w:r>
          </w:p>
        </w:tc>
      </w:tr>
      <w:tr>
        <w:trPr>
          <w:trHeight w:val="478"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94,864,102.40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103,186,122.80</w:t>
            </w:r>
          </w:p>
        </w:tc>
      </w:tr>
    </w:tbl>
    <w:p>
      <w:pPr>
        <w:pStyle w:val="Heading5"/>
        <w:spacing w:line="240" w:lineRule="auto" w:before="87"/>
        <w:ind w:left="152" w:right="1034"/>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4"/>
        <w:rPr>
          <w:rFonts w:ascii="宋体" w:hAnsi="宋体" w:cs="宋体" w:eastAsia="宋体" w:hint="default"/>
          <w:b/>
          <w:bCs/>
          <w:sz w:val="13"/>
          <w:szCs w:val="1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946"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83" w:right="0"/>
              <w:jc w:val="left"/>
              <w:rPr>
                <w:rFonts w:ascii="宋体" w:hAnsi="宋体" w:cs="宋体" w:eastAsia="宋体" w:hint="default"/>
                <w:sz w:val="18"/>
                <w:szCs w:val="18"/>
              </w:rPr>
            </w:pPr>
            <w:r>
              <w:rPr>
                <w:rFonts w:ascii="宋体" w:hAnsi="宋体" w:cs="宋体" w:eastAsia="宋体" w:hint="default"/>
                <w:sz w:val="18"/>
                <w:szCs w:val="18"/>
              </w:rPr>
              <w:t>占其他应收款期末</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78"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47,278,744.73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z w:val="18"/>
              </w:rPr>
              <w:t>49.84%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11,534,274.74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z w:val="18"/>
              </w:rPr>
              <w:t>12.16%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4,845,116.90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5.11%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3,080,000.00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3.25%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732,250.00</w:t>
            </w:r>
          </w:p>
        </w:tc>
      </w:tr>
      <w:tr>
        <w:trPr>
          <w:trHeight w:val="478"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2,850,000.00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3.00%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1,425,000.00</w:t>
            </w:r>
          </w:p>
        </w:tc>
      </w:tr>
      <w:tr>
        <w:trPr>
          <w:trHeight w:val="478"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69,588,136.37</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z w:val="18"/>
              </w:rPr>
              <w:t>73.36%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2,157,250.00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7"/>
          <w:szCs w:val="27"/>
        </w:rPr>
      </w:pPr>
    </w:p>
    <w:p>
      <w:pPr>
        <w:spacing w:line="451" w:lineRule="auto" w:before="44"/>
        <w:ind w:left="333" w:right="7873" w:hanging="18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涉及政府补助的应收款项</w:t>
      </w:r>
      <w:r>
        <w:rPr>
          <w:rFonts w:ascii="宋体" w:hAnsi="宋体" w:cs="宋体" w:eastAsia="宋体" w:hint="default"/>
          <w:b/>
          <w:bCs/>
          <w:w w:val="99"/>
          <w:sz w:val="18"/>
          <w:szCs w:val="18"/>
        </w:rPr>
        <w:t> </w:t>
      </w:r>
      <w:r>
        <w:rPr>
          <w:rFonts w:ascii="宋体" w:hAnsi="宋体" w:cs="宋体" w:eastAsia="宋体" w:hint="default"/>
          <w:sz w:val="18"/>
          <w:szCs w:val="18"/>
        </w:rPr>
        <w:t>期末无涉及政府补助的应收款项。</w:t>
      </w:r>
    </w:p>
    <w:p>
      <w:pPr>
        <w:spacing w:line="451" w:lineRule="auto" w:before="74"/>
        <w:ind w:left="333" w:right="6613" w:hanging="18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因金融资产转移而终止确认的其他应收款</w:t>
      </w:r>
      <w:r>
        <w:rPr>
          <w:rFonts w:ascii="宋体" w:hAnsi="宋体" w:cs="宋体" w:eastAsia="宋体" w:hint="default"/>
          <w:b/>
          <w:bCs/>
          <w:w w:val="99"/>
          <w:sz w:val="18"/>
          <w:szCs w:val="18"/>
        </w:rPr>
        <w:t> </w:t>
      </w:r>
      <w:r>
        <w:rPr>
          <w:rFonts w:ascii="宋体" w:hAnsi="宋体" w:cs="宋体" w:eastAsia="宋体" w:hint="default"/>
          <w:sz w:val="18"/>
          <w:szCs w:val="18"/>
        </w:rPr>
        <w:t>本期没有因金融资产转移而终止确认的应收款项。</w:t>
      </w:r>
    </w:p>
    <w:p>
      <w:pPr>
        <w:spacing w:line="451" w:lineRule="auto" w:before="74"/>
        <w:ind w:left="333" w:right="6073" w:hanging="18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8)</w:t>
      </w:r>
      <w:r>
        <w:rPr>
          <w:rFonts w:ascii="宋体" w:hAnsi="宋体" w:cs="宋体" w:eastAsia="宋体" w:hint="default"/>
          <w:b/>
          <w:bCs/>
          <w:sz w:val="18"/>
          <w:szCs w:val="18"/>
        </w:rPr>
        <w:t>转移其他应收款且继续涉入形成的资产、负债金额</w:t>
      </w:r>
      <w:r>
        <w:rPr>
          <w:rFonts w:ascii="宋体" w:hAnsi="宋体" w:cs="宋体" w:eastAsia="宋体" w:hint="default"/>
          <w:b/>
          <w:bCs/>
          <w:w w:val="99"/>
          <w:sz w:val="18"/>
          <w:szCs w:val="18"/>
        </w:rPr>
        <w:t> </w:t>
      </w:r>
      <w:r>
        <w:rPr>
          <w:rFonts w:ascii="宋体" w:hAnsi="宋体" w:cs="宋体" w:eastAsia="宋体" w:hint="default"/>
          <w:sz w:val="18"/>
          <w:szCs w:val="18"/>
        </w:rPr>
        <w:t>本期没有转移其他应收款且继续涉入形成的资产、负债。</w:t>
      </w:r>
    </w:p>
    <w:p>
      <w:pPr>
        <w:pStyle w:val="Heading4"/>
        <w:spacing w:line="240" w:lineRule="auto" w:before="58"/>
        <w:ind w:right="1034"/>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985"/>
        <w:gridCol w:w="1419"/>
        <w:gridCol w:w="1133"/>
        <w:gridCol w:w="1419"/>
        <w:gridCol w:w="1416"/>
        <w:gridCol w:w="833"/>
        <w:gridCol w:w="1368"/>
      </w:tblGrid>
      <w:tr>
        <w:trPr>
          <w:trHeight w:val="245" w:hRule="exact"/>
        </w:trPr>
        <w:tc>
          <w:tcPr>
            <w:tcW w:w="19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97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28" w:hRule="exact"/>
        </w:trPr>
        <w:tc>
          <w:tcPr>
            <w:tcW w:w="19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71" w:type="dxa"/>
            <w:gridSpan w:val="3"/>
            <w:vMerge/>
            <w:tcBorders>
              <w:left w:val="single" w:sz="4" w:space="0" w:color="000000"/>
              <w:bottom w:val="single" w:sz="4" w:space="0" w:color="000000"/>
              <w:right w:val="single" w:sz="4" w:space="0" w:color="000000"/>
            </w:tcBorders>
            <w:shd w:val="clear" w:color="auto" w:fill="D2D2D2"/>
          </w:tcPr>
          <w:p>
            <w:pPr/>
          </w:p>
        </w:tc>
        <w:tc>
          <w:tcPr>
            <w:tcW w:w="3617" w:type="dxa"/>
            <w:gridSpan w:val="3"/>
            <w:vMerge/>
            <w:tcBorders>
              <w:left w:val="single" w:sz="4" w:space="0" w:color="000000"/>
              <w:bottom w:val="single" w:sz="4" w:space="0" w:color="000000"/>
              <w:right w:val="single" w:sz="4" w:space="0" w:color="000000"/>
            </w:tcBorders>
            <w:shd w:val="clear" w:color="auto" w:fill="D2D2D2"/>
          </w:tcPr>
          <w:p>
            <w:pPr/>
          </w:p>
        </w:tc>
      </w:tr>
      <w:tr>
        <w:trPr>
          <w:trHeight w:val="240" w:hRule="exact"/>
        </w:trPr>
        <w:tc>
          <w:tcPr>
            <w:tcW w:w="1985" w:type="dxa"/>
            <w:vMerge/>
            <w:tcBorders>
              <w:left w:val="single" w:sz="4" w:space="0" w:color="000000"/>
              <w:bottom w:val="nil" w:sz="6" w:space="0" w:color="auto"/>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2"/>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2"/>
              <w:ind w:left="20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2"/>
              <w:ind w:left="34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2"/>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2"/>
              <w:ind w:left="5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2"/>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2" w:hRule="exact"/>
        </w:trPr>
        <w:tc>
          <w:tcPr>
            <w:tcW w:w="19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833"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4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4,255,390,770.48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14,100,114.46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4,241,290,656.02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3,756,590,770.48</w:t>
            </w:r>
          </w:p>
        </w:tc>
        <w:tc>
          <w:tcPr>
            <w:tcW w:w="83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50" w:right="0"/>
              <w:jc w:val="center"/>
              <w:rPr>
                <w:rFonts w:ascii="Times New Roman" w:hAnsi="Times New Roman" w:cs="Times New Roman" w:eastAsia="Times New Roman" w:hint="default"/>
                <w:sz w:val="18"/>
                <w:szCs w:val="18"/>
              </w:rPr>
            </w:pPr>
            <w:r>
              <w:rPr>
                <w:rFonts w:ascii="Times New Roman"/>
                <w:sz w:val="18"/>
              </w:rPr>
              <w:t>3,756,590,770.48</w:t>
            </w:r>
          </w:p>
        </w:tc>
      </w:tr>
      <w:tr>
        <w:trPr>
          <w:trHeight w:val="480"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4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373,894,765.79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373,894,765.79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619,606,605.43</w:t>
            </w:r>
          </w:p>
        </w:tc>
        <w:tc>
          <w:tcPr>
            <w:tcW w:w="83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84" w:right="0"/>
              <w:jc w:val="center"/>
              <w:rPr>
                <w:rFonts w:ascii="Times New Roman" w:hAnsi="Times New Roman" w:cs="Times New Roman" w:eastAsia="Times New Roman" w:hint="default"/>
                <w:sz w:val="18"/>
                <w:szCs w:val="18"/>
              </w:rPr>
            </w:pPr>
            <w:r>
              <w:rPr>
                <w:rFonts w:ascii="Times New Roman"/>
                <w:sz w:val="18"/>
              </w:rPr>
              <w:t>619,606,605.43</w:t>
            </w:r>
          </w:p>
        </w:tc>
      </w:tr>
      <w:tr>
        <w:trPr>
          <w:trHeight w:val="478"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4,629,285,536.27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14,100,114.46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4,615,185,421.81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4,376,197,375.91</w:t>
            </w:r>
          </w:p>
        </w:tc>
        <w:tc>
          <w:tcPr>
            <w:tcW w:w="83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50" w:right="0"/>
              <w:jc w:val="center"/>
              <w:rPr>
                <w:rFonts w:ascii="Times New Roman" w:hAnsi="Times New Roman" w:cs="Times New Roman" w:eastAsia="Times New Roman" w:hint="default"/>
                <w:sz w:val="18"/>
                <w:szCs w:val="18"/>
              </w:rPr>
            </w:pPr>
            <w:r>
              <w:rPr>
                <w:rFonts w:ascii="Times New Roman"/>
                <w:sz w:val="18"/>
              </w:rPr>
              <w:t>4,376,197,375.91</w:t>
            </w:r>
          </w:p>
        </w:tc>
      </w:tr>
    </w:tbl>
    <w:p>
      <w:pPr>
        <w:pStyle w:val="Heading4"/>
        <w:spacing w:line="240" w:lineRule="auto" w:before="71"/>
        <w:ind w:right="1034"/>
        <w:jc w:val="left"/>
        <w:rPr>
          <w:b w:val="0"/>
          <w:bCs w:val="0"/>
        </w:rPr>
      </w:pPr>
      <w:r>
        <w:rPr/>
        <w:t>（</w:t>
      </w:r>
      <w:r>
        <w:rPr>
          <w:rFonts w:ascii="Times New Roman" w:hAnsi="Times New Roman" w:cs="Times New Roman" w:eastAsia="Times New Roman" w:hint="default"/>
        </w:rPr>
        <w:t>1</w:t>
      </w:r>
      <w:r>
        <w:rPr/>
        <w:t>）对子公司投资</w:t>
      </w:r>
      <w:r>
        <w:rPr>
          <w:b w:val="0"/>
          <w:bCs w:val="0"/>
        </w:rPr>
      </w:r>
    </w:p>
    <w:p>
      <w:pPr>
        <w:pStyle w:val="BodyText"/>
        <w:spacing w:line="240" w:lineRule="auto" w:before="128"/>
        <w:ind w:left="0" w:right="1131"/>
        <w:jc w:val="right"/>
      </w:pPr>
      <w:r>
        <w:rPr/>
        <w:t>单位：</w:t>
      </w:r>
      <w:r>
        <w:rPr>
          <w:spacing w:val="1"/>
        </w:rPr>
        <w:t> </w:t>
      </w:r>
      <w:r>
        <w:rPr/>
        <w:t>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21"/>
        <w:gridCol w:w="1416"/>
        <w:gridCol w:w="1277"/>
        <w:gridCol w:w="566"/>
        <w:gridCol w:w="1419"/>
        <w:gridCol w:w="850"/>
        <w:gridCol w:w="919"/>
      </w:tblGrid>
      <w:tr>
        <w:trPr>
          <w:trHeight w:val="634"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8" w:right="96"/>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59" w:right="59"/>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6" w:right="9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广州广电汇通金融服务有限公司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广州市龙源环保科技有限公司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150,971,193.64</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150,971,193.64</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广州穗通金融服务有限公司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25,500,000.00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25,500,000.00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广州广电银通金融电子科技有限公司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2,821,044,424.84</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2,821,044,424.84</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江苏汇通金融数据股份有限公司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166,530,612.00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166,530,612.00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14,100,11</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4.46</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14,100,114.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深圳市创自技术有限公司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136,500,000.00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136,500,000.00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广电运通国际有限公司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86,044,540.00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86,044,540.00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广州广电运通信息科技有限公司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广州支点创业投资有限公司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146,000,000.00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196,000,000.00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5"/>
              <w:jc w:val="left"/>
              <w:rPr>
                <w:rFonts w:ascii="宋体" w:hAnsi="宋体" w:cs="宋体" w:eastAsia="宋体" w:hint="default"/>
                <w:sz w:val="18"/>
                <w:szCs w:val="18"/>
              </w:rPr>
            </w:pPr>
            <w:r>
              <w:rPr>
                <w:rFonts w:ascii="宋体" w:hAnsi="宋体" w:cs="宋体" w:eastAsia="宋体" w:hint="default"/>
                <w:sz w:val="18"/>
                <w:szCs w:val="18"/>
              </w:rPr>
              <w:t>北京中科江南信息技术股份有限公司本 部</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312,800,000.00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312,800,000.00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广州广电运通智能科技有限公司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3,756,590,770.48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498,800,000.00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4,255,390,770.48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14,100,11</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4.46</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14,100,114.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r>
    </w:tbl>
    <w:p>
      <w:pPr>
        <w:pStyle w:val="Heading4"/>
        <w:spacing w:line="240" w:lineRule="auto" w:before="71"/>
        <w:ind w:right="1034"/>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pStyle w:val="BodyText"/>
        <w:spacing w:line="240" w:lineRule="auto" w:before="128"/>
        <w:ind w:left="0" w:right="1131"/>
        <w:jc w:val="right"/>
      </w:pPr>
      <w:r>
        <w:rPr/>
        <w:t>单位：</w:t>
      </w:r>
      <w:r>
        <w:rPr>
          <w:spacing w:val="1"/>
        </w:rPr>
        <w:t> </w:t>
      </w:r>
      <w:r>
        <w:rPr/>
        <w:t>元</w:t>
      </w:r>
    </w:p>
    <w:p>
      <w:pPr>
        <w:spacing w:line="240" w:lineRule="auto" w:before="4"/>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993"/>
        <w:gridCol w:w="850"/>
        <w:gridCol w:w="5956"/>
        <w:gridCol w:w="1133"/>
        <w:gridCol w:w="641"/>
      </w:tblGrid>
      <w:tr>
        <w:trPr>
          <w:trHeight w:val="323"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31"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5" w:right="0"/>
              <w:jc w:val="left"/>
              <w:rPr>
                <w:rFonts w:ascii="宋体" w:hAnsi="宋体" w:cs="宋体" w:eastAsia="宋体" w:hint="default"/>
                <w:sz w:val="18"/>
                <w:szCs w:val="18"/>
              </w:rPr>
            </w:pPr>
            <w:r>
              <w:rPr>
                <w:rFonts w:ascii="宋体" w:hAnsi="宋体" w:cs="宋体" w:eastAsia="宋体" w:hint="default"/>
                <w:sz w:val="18"/>
                <w:szCs w:val="18"/>
              </w:rPr>
              <w:t>减值准</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994"/>
        <w:gridCol w:w="856"/>
        <w:gridCol w:w="536"/>
        <w:gridCol w:w="883"/>
        <w:gridCol w:w="986"/>
        <w:gridCol w:w="710"/>
        <w:gridCol w:w="620"/>
        <w:gridCol w:w="938"/>
        <w:gridCol w:w="560"/>
        <w:gridCol w:w="716"/>
        <w:gridCol w:w="977"/>
        <w:gridCol w:w="156"/>
        <w:gridCol w:w="641"/>
      </w:tblGrid>
      <w:tr>
        <w:trPr>
          <w:trHeight w:val="161" w:hRule="exact"/>
        </w:trPr>
        <w:tc>
          <w:tcPr>
            <w:tcW w:w="994" w:type="dxa"/>
            <w:vMerge w:val="restart"/>
            <w:tcBorders>
              <w:top w:val="single" w:sz="4" w:space="0" w:color="000000"/>
              <w:left w:val="single" w:sz="4" w:space="0" w:color="000000"/>
              <w:right w:val="single" w:sz="4" w:space="0" w:color="000000"/>
            </w:tcBorders>
            <w:shd w:val="clear" w:color="auto" w:fill="D2D2D2"/>
          </w:tcPr>
          <w:p>
            <w:pPr/>
          </w:p>
        </w:tc>
        <w:tc>
          <w:tcPr>
            <w:tcW w:w="856" w:type="dxa"/>
            <w:vMerge w:val="restart"/>
            <w:tcBorders>
              <w:top w:val="single" w:sz="4" w:space="0" w:color="000000"/>
              <w:left w:val="single" w:sz="4" w:space="0" w:color="000000"/>
              <w:right w:val="single" w:sz="4" w:space="0" w:color="000000"/>
            </w:tcBorders>
            <w:shd w:val="clear" w:color="auto" w:fill="D2D2D2"/>
          </w:tcPr>
          <w:p>
            <w:pPr/>
          </w:p>
        </w:tc>
        <w:tc>
          <w:tcPr>
            <w:tcW w:w="53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3" w:type="dxa"/>
            <w:vMerge w:val="restart"/>
            <w:tcBorders>
              <w:top w:val="single" w:sz="4" w:space="0" w:color="000000"/>
              <w:left w:val="single" w:sz="4" w:space="0" w:color="000000"/>
              <w:right w:val="single" w:sz="4" w:space="0" w:color="000000"/>
            </w:tcBorders>
            <w:shd w:val="clear" w:color="auto" w:fill="D2D2D2"/>
          </w:tcPr>
          <w:p>
            <w:pPr/>
          </w:p>
        </w:tc>
        <w:tc>
          <w:tcPr>
            <w:tcW w:w="9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34" w:right="39"/>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78" w:right="79"/>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62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105" w:right="10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5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97" w:right="92"/>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716" w:type="dxa"/>
            <w:vMerge w:val="restart"/>
            <w:tcBorders>
              <w:top w:val="single" w:sz="4" w:space="0" w:color="000000"/>
              <w:left w:val="single" w:sz="4" w:space="0" w:color="000000"/>
              <w:right w:val="single" w:sz="4" w:space="0" w:color="000000"/>
            </w:tcBorders>
            <w:shd w:val="clear" w:color="auto" w:fill="D2D2D2"/>
          </w:tcPr>
          <w:p>
            <w:pPr/>
          </w:p>
        </w:tc>
        <w:tc>
          <w:tcPr>
            <w:tcW w:w="1133" w:type="dxa"/>
            <w:gridSpan w:val="2"/>
            <w:vMerge w:val="restart"/>
            <w:tcBorders>
              <w:top w:val="single" w:sz="4" w:space="0" w:color="000000"/>
              <w:left w:val="single" w:sz="4" w:space="0" w:color="000000"/>
              <w:right w:val="single" w:sz="4" w:space="0" w:color="000000"/>
            </w:tcBorders>
            <w:shd w:val="clear" w:color="auto" w:fill="D2D2D2"/>
          </w:tcPr>
          <w:p>
            <w:pPr/>
          </w:p>
        </w:tc>
        <w:tc>
          <w:tcPr>
            <w:tcW w:w="641" w:type="dxa"/>
            <w:vMerge w:val="restart"/>
            <w:tcBorders>
              <w:top w:val="single" w:sz="4" w:space="0" w:color="000000"/>
              <w:left w:val="single" w:sz="4" w:space="0" w:color="000000"/>
              <w:right w:val="single" w:sz="4" w:space="0" w:color="000000"/>
            </w:tcBorders>
          </w:tcPr>
          <w:p>
            <w:pPr>
              <w:pStyle w:val="TableParagraph"/>
              <w:spacing w:line="316" w:lineRule="auto" w:before="8"/>
              <w:ind w:left="136" w:right="43" w:hanging="92"/>
              <w:jc w:val="left"/>
              <w:rPr>
                <w:rFonts w:ascii="宋体" w:hAnsi="宋体" w:cs="宋体" w:eastAsia="宋体" w:hint="default"/>
                <w:sz w:val="18"/>
                <w:szCs w:val="18"/>
              </w:rPr>
            </w:pPr>
            <w:r>
              <w:rPr>
                <w:rFonts w:ascii="宋体" w:hAnsi="宋体" w:cs="宋体" w:eastAsia="宋体" w:hint="default"/>
                <w:sz w:val="18"/>
                <w:szCs w:val="18"/>
              </w:rPr>
              <w:t>备期末 余额</w:t>
            </w:r>
          </w:p>
        </w:tc>
      </w:tr>
      <w:tr>
        <w:trPr>
          <w:trHeight w:val="156" w:hRule="exact"/>
        </w:trPr>
        <w:tc>
          <w:tcPr>
            <w:tcW w:w="994" w:type="dxa"/>
            <w:vMerge/>
            <w:tcBorders>
              <w:left w:val="single" w:sz="4" w:space="0" w:color="000000"/>
              <w:right w:val="single" w:sz="4" w:space="0" w:color="000000"/>
            </w:tcBorders>
            <w:shd w:val="clear" w:color="auto" w:fill="D2D2D2"/>
          </w:tcPr>
          <w:p>
            <w:pPr/>
          </w:p>
        </w:tc>
        <w:tc>
          <w:tcPr>
            <w:tcW w:w="856" w:type="dxa"/>
            <w:vMerge/>
            <w:tcBorders>
              <w:left w:val="single" w:sz="4" w:space="0" w:color="000000"/>
              <w:right w:val="single" w:sz="4" w:space="0" w:color="000000"/>
            </w:tcBorders>
            <w:shd w:val="clear" w:color="auto" w:fill="D2D2D2"/>
          </w:tcPr>
          <w:p>
            <w:pPr/>
          </w:p>
        </w:tc>
        <w:tc>
          <w:tcPr>
            <w:tcW w:w="5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82" w:right="81"/>
              <w:jc w:val="left"/>
              <w:rPr>
                <w:rFonts w:ascii="宋体" w:hAnsi="宋体" w:cs="宋体" w:eastAsia="宋体" w:hint="default"/>
                <w:sz w:val="18"/>
                <w:szCs w:val="18"/>
              </w:rPr>
            </w:pPr>
            <w:r>
              <w:rPr>
                <w:rFonts w:ascii="宋体" w:hAnsi="宋体" w:cs="宋体" w:eastAsia="宋体" w:hint="default"/>
                <w:sz w:val="18"/>
                <w:szCs w:val="18"/>
              </w:rPr>
              <w:t>追加 投资</w:t>
            </w:r>
          </w:p>
        </w:tc>
        <w:tc>
          <w:tcPr>
            <w:tcW w:w="883" w:type="dxa"/>
            <w:vMerge/>
            <w:tcBorders>
              <w:left w:val="single" w:sz="4" w:space="0" w:color="000000"/>
              <w:bottom w:val="nil" w:sz="6" w:space="0" w:color="auto"/>
              <w:right w:val="single" w:sz="4" w:space="0" w:color="000000"/>
            </w:tcBorders>
            <w:shd w:val="clear" w:color="auto" w:fill="D2D2D2"/>
          </w:tcPr>
          <w:p>
            <w:pPr/>
          </w:p>
        </w:tc>
        <w:tc>
          <w:tcPr>
            <w:tcW w:w="986"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62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35" w:right="32"/>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938" w:type="dxa"/>
            <w:vMerge/>
            <w:tcBorders>
              <w:left w:val="single" w:sz="4" w:space="0" w:color="000000"/>
              <w:right w:val="single" w:sz="4" w:space="0" w:color="000000"/>
            </w:tcBorders>
            <w:shd w:val="clear" w:color="auto" w:fill="D2D2D2"/>
          </w:tcPr>
          <w:p>
            <w:pPr/>
          </w:p>
        </w:tc>
        <w:tc>
          <w:tcPr>
            <w:tcW w:w="560" w:type="dxa"/>
            <w:vMerge/>
            <w:tcBorders>
              <w:left w:val="single" w:sz="4" w:space="0" w:color="000000"/>
              <w:right w:val="single" w:sz="4" w:space="0" w:color="000000"/>
            </w:tcBorders>
            <w:shd w:val="clear" w:color="auto" w:fill="D2D2D2"/>
          </w:tcPr>
          <w:p>
            <w:pPr/>
          </w:p>
        </w:tc>
        <w:tc>
          <w:tcPr>
            <w:tcW w:w="716" w:type="dxa"/>
            <w:vMerge/>
            <w:tcBorders>
              <w:left w:val="single" w:sz="4" w:space="0" w:color="000000"/>
              <w:bottom w:val="nil" w:sz="6" w:space="0" w:color="auto"/>
              <w:right w:val="single" w:sz="4" w:space="0" w:color="000000"/>
            </w:tcBorders>
            <w:shd w:val="clear" w:color="auto" w:fill="D2D2D2"/>
          </w:tcPr>
          <w:p>
            <w:pPr/>
          </w:p>
        </w:tc>
        <w:tc>
          <w:tcPr>
            <w:tcW w:w="1133" w:type="dxa"/>
            <w:gridSpan w:val="2"/>
            <w:vMerge/>
            <w:tcBorders>
              <w:left w:val="single" w:sz="4" w:space="0" w:color="000000"/>
              <w:right w:val="single" w:sz="4" w:space="0" w:color="000000"/>
            </w:tcBorders>
            <w:shd w:val="clear" w:color="auto" w:fill="D2D2D2"/>
          </w:tcPr>
          <w:p>
            <w:pPr/>
          </w:p>
        </w:tc>
        <w:tc>
          <w:tcPr>
            <w:tcW w:w="641" w:type="dxa"/>
            <w:vMerge/>
            <w:tcBorders>
              <w:left w:val="single" w:sz="4" w:space="0" w:color="000000"/>
              <w:right w:val="single" w:sz="4" w:space="0" w:color="000000"/>
            </w:tcBorders>
          </w:tcPr>
          <w:p>
            <w:pPr/>
          </w:p>
        </w:tc>
      </w:tr>
      <w:tr>
        <w:trPr>
          <w:trHeight w:val="312" w:hRule="exact"/>
        </w:trPr>
        <w:tc>
          <w:tcPr>
            <w:tcW w:w="994" w:type="dxa"/>
            <w:vMerge/>
            <w:tcBorders>
              <w:left w:val="single" w:sz="4" w:space="0" w:color="000000"/>
              <w:right w:val="single" w:sz="4" w:space="0" w:color="000000"/>
            </w:tcBorders>
            <w:shd w:val="clear" w:color="auto" w:fill="D2D2D2"/>
          </w:tcPr>
          <w:p>
            <w:pPr/>
          </w:p>
        </w:tc>
        <w:tc>
          <w:tcPr>
            <w:tcW w:w="856" w:type="dxa"/>
            <w:vMerge/>
            <w:tcBorders>
              <w:left w:val="single" w:sz="4" w:space="0" w:color="000000"/>
              <w:right w:val="single" w:sz="4" w:space="0" w:color="000000"/>
            </w:tcBorders>
            <w:shd w:val="clear" w:color="auto" w:fill="D2D2D2"/>
          </w:tcPr>
          <w:p>
            <w:pPr/>
          </w:p>
        </w:tc>
        <w:tc>
          <w:tcPr>
            <w:tcW w:w="536" w:type="dxa"/>
            <w:vMerge/>
            <w:tcBorders>
              <w:left w:val="single" w:sz="4" w:space="0" w:color="000000"/>
              <w:right w:val="single" w:sz="4" w:space="0" w:color="000000"/>
            </w:tcBorders>
            <w:shd w:val="clear" w:color="auto" w:fill="D2D2D2"/>
          </w:tcPr>
          <w:p>
            <w:pPr/>
          </w:p>
        </w:tc>
        <w:tc>
          <w:tcPr>
            <w:tcW w:w="883" w:type="dxa"/>
            <w:tcBorders>
              <w:top w:val="nil" w:sz="6" w:space="0" w:color="auto"/>
              <w:left w:val="single" w:sz="10" w:space="0" w:color="D2D2D2"/>
              <w:bottom w:val="nil" w:sz="6" w:space="0" w:color="auto"/>
              <w:right w:val="single" w:sz="22" w:space="0" w:color="D2D2D2"/>
            </w:tcBorders>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3"/>
                <w:sz w:val="18"/>
                <w:szCs w:val="18"/>
                <w:shd w:fill="D2D2D2" w:color="auto" w:val="clear"/>
              </w:rPr>
              <w:t> </w:t>
            </w:r>
            <w:r>
              <w:rPr>
                <w:rFonts w:ascii="宋体" w:hAnsi="宋体" w:cs="宋体" w:eastAsia="宋体" w:hint="default"/>
                <w:sz w:val="18"/>
                <w:szCs w:val="18"/>
                <w:shd w:fill="D2D2D2" w:color="auto" w:val="clear"/>
              </w:rPr>
              <w:t>减少投资</w:t>
            </w:r>
            <w:r>
              <w:rPr>
                <w:rFonts w:ascii="宋体" w:hAnsi="宋体" w:cs="宋体" w:eastAsia="宋体" w:hint="default"/>
                <w:sz w:val="18"/>
                <w:szCs w:val="18"/>
              </w:rPr>
            </w:r>
          </w:p>
        </w:tc>
        <w:tc>
          <w:tcPr>
            <w:tcW w:w="986"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620" w:type="dxa"/>
            <w:vMerge/>
            <w:tcBorders>
              <w:left w:val="single" w:sz="4" w:space="0" w:color="000000"/>
              <w:right w:val="single" w:sz="4" w:space="0" w:color="000000"/>
            </w:tcBorders>
            <w:shd w:val="clear" w:color="auto" w:fill="D2D2D2"/>
          </w:tcPr>
          <w:p>
            <w:pPr/>
          </w:p>
        </w:tc>
        <w:tc>
          <w:tcPr>
            <w:tcW w:w="938" w:type="dxa"/>
            <w:vMerge/>
            <w:tcBorders>
              <w:left w:val="single" w:sz="4" w:space="0" w:color="000000"/>
              <w:right w:val="single" w:sz="4" w:space="0" w:color="000000"/>
            </w:tcBorders>
            <w:shd w:val="clear" w:color="auto" w:fill="D2D2D2"/>
          </w:tcPr>
          <w:p>
            <w:pPr/>
          </w:p>
        </w:tc>
        <w:tc>
          <w:tcPr>
            <w:tcW w:w="560" w:type="dxa"/>
            <w:vMerge/>
            <w:tcBorders>
              <w:left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7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3" w:type="dxa"/>
            <w:gridSpan w:val="2"/>
            <w:vMerge/>
            <w:tcBorders>
              <w:left w:val="single" w:sz="4" w:space="0" w:color="000000"/>
              <w:right w:val="single" w:sz="4" w:space="0" w:color="000000"/>
            </w:tcBorders>
            <w:shd w:val="clear" w:color="auto" w:fill="D2D2D2"/>
          </w:tcPr>
          <w:p>
            <w:pPr/>
          </w:p>
        </w:tc>
        <w:tc>
          <w:tcPr>
            <w:tcW w:w="641" w:type="dxa"/>
            <w:vMerge/>
            <w:tcBorders>
              <w:left w:val="single" w:sz="4" w:space="0" w:color="000000"/>
              <w:right w:val="single" w:sz="4" w:space="0" w:color="000000"/>
            </w:tcBorders>
          </w:tcPr>
          <w:p>
            <w:pPr/>
          </w:p>
        </w:tc>
      </w:tr>
      <w:tr>
        <w:trPr>
          <w:trHeight w:val="156" w:hRule="exact"/>
        </w:trPr>
        <w:tc>
          <w:tcPr>
            <w:tcW w:w="994" w:type="dxa"/>
            <w:vMerge/>
            <w:tcBorders>
              <w:left w:val="single" w:sz="4" w:space="0" w:color="000000"/>
              <w:right w:val="single" w:sz="4" w:space="0" w:color="000000"/>
            </w:tcBorders>
            <w:shd w:val="clear" w:color="auto" w:fill="D2D2D2"/>
          </w:tcPr>
          <w:p>
            <w:pPr/>
          </w:p>
        </w:tc>
        <w:tc>
          <w:tcPr>
            <w:tcW w:w="856" w:type="dxa"/>
            <w:vMerge/>
            <w:tcBorders>
              <w:left w:val="single" w:sz="4" w:space="0" w:color="000000"/>
              <w:right w:val="single" w:sz="4" w:space="0" w:color="000000"/>
            </w:tcBorders>
            <w:shd w:val="clear" w:color="auto" w:fill="D2D2D2"/>
          </w:tcPr>
          <w:p>
            <w:pPr/>
          </w:p>
        </w:tc>
        <w:tc>
          <w:tcPr>
            <w:tcW w:w="536" w:type="dxa"/>
            <w:vMerge/>
            <w:tcBorders>
              <w:left w:val="single" w:sz="4" w:space="0" w:color="000000"/>
              <w:bottom w:val="nil" w:sz="6" w:space="0" w:color="auto"/>
              <w:right w:val="single" w:sz="4" w:space="0" w:color="000000"/>
            </w:tcBorders>
            <w:shd w:val="clear" w:color="auto" w:fill="D2D2D2"/>
          </w:tcPr>
          <w:p>
            <w:pPr/>
          </w:p>
        </w:tc>
        <w:tc>
          <w:tcPr>
            <w:tcW w:w="883" w:type="dxa"/>
            <w:vMerge w:val="restart"/>
            <w:tcBorders>
              <w:top w:val="nil" w:sz="6" w:space="0" w:color="auto"/>
              <w:left w:val="single" w:sz="4" w:space="0" w:color="000000"/>
              <w:right w:val="single" w:sz="4" w:space="0" w:color="000000"/>
            </w:tcBorders>
            <w:shd w:val="clear" w:color="auto" w:fill="D2D2D2"/>
          </w:tcPr>
          <w:p>
            <w:pPr/>
          </w:p>
        </w:tc>
        <w:tc>
          <w:tcPr>
            <w:tcW w:w="986"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620" w:type="dxa"/>
            <w:vMerge/>
            <w:tcBorders>
              <w:left w:val="single" w:sz="4" w:space="0" w:color="000000"/>
              <w:bottom w:val="nil" w:sz="6" w:space="0" w:color="auto"/>
              <w:right w:val="single" w:sz="4" w:space="0" w:color="000000"/>
            </w:tcBorders>
            <w:shd w:val="clear" w:color="auto" w:fill="D2D2D2"/>
          </w:tcPr>
          <w:p>
            <w:pPr/>
          </w:p>
        </w:tc>
        <w:tc>
          <w:tcPr>
            <w:tcW w:w="938" w:type="dxa"/>
            <w:vMerge/>
            <w:tcBorders>
              <w:left w:val="single" w:sz="4" w:space="0" w:color="000000"/>
              <w:right w:val="single" w:sz="4" w:space="0" w:color="000000"/>
            </w:tcBorders>
            <w:shd w:val="clear" w:color="auto" w:fill="D2D2D2"/>
          </w:tcPr>
          <w:p>
            <w:pPr/>
          </w:p>
        </w:tc>
        <w:tc>
          <w:tcPr>
            <w:tcW w:w="560" w:type="dxa"/>
            <w:vMerge/>
            <w:tcBorders>
              <w:left w:val="single" w:sz="4" w:space="0" w:color="000000"/>
              <w:right w:val="single" w:sz="4" w:space="0" w:color="000000"/>
            </w:tcBorders>
            <w:shd w:val="clear" w:color="auto" w:fill="D2D2D2"/>
          </w:tcPr>
          <w:p>
            <w:pPr/>
          </w:p>
        </w:tc>
        <w:tc>
          <w:tcPr>
            <w:tcW w:w="716" w:type="dxa"/>
            <w:vMerge w:val="restart"/>
            <w:tcBorders>
              <w:top w:val="nil" w:sz="6" w:space="0" w:color="auto"/>
              <w:left w:val="single" w:sz="4" w:space="0" w:color="000000"/>
              <w:right w:val="single" w:sz="4" w:space="0" w:color="000000"/>
            </w:tcBorders>
            <w:shd w:val="clear" w:color="auto" w:fill="D2D2D2"/>
          </w:tcPr>
          <w:p>
            <w:pPr/>
          </w:p>
        </w:tc>
        <w:tc>
          <w:tcPr>
            <w:tcW w:w="1133" w:type="dxa"/>
            <w:gridSpan w:val="2"/>
            <w:vMerge/>
            <w:tcBorders>
              <w:left w:val="single" w:sz="4" w:space="0" w:color="000000"/>
              <w:right w:val="single" w:sz="4" w:space="0" w:color="000000"/>
            </w:tcBorders>
            <w:shd w:val="clear" w:color="auto" w:fill="D2D2D2"/>
          </w:tcPr>
          <w:p>
            <w:pPr/>
          </w:p>
        </w:tc>
        <w:tc>
          <w:tcPr>
            <w:tcW w:w="641" w:type="dxa"/>
            <w:vMerge/>
            <w:tcBorders>
              <w:left w:val="single" w:sz="4" w:space="0" w:color="000000"/>
              <w:right w:val="single" w:sz="4" w:space="0" w:color="000000"/>
            </w:tcBorders>
          </w:tcPr>
          <w:p>
            <w:pPr/>
          </w:p>
        </w:tc>
      </w:tr>
      <w:tr>
        <w:trPr>
          <w:trHeight w:val="161" w:hRule="exact"/>
        </w:trPr>
        <w:tc>
          <w:tcPr>
            <w:tcW w:w="994" w:type="dxa"/>
            <w:vMerge/>
            <w:tcBorders>
              <w:left w:val="single" w:sz="4" w:space="0" w:color="000000"/>
              <w:bottom w:val="single" w:sz="4" w:space="0" w:color="000000"/>
              <w:right w:val="single" w:sz="4" w:space="0" w:color="000000"/>
            </w:tcBorders>
            <w:shd w:val="clear" w:color="auto" w:fill="D2D2D2"/>
          </w:tcPr>
          <w:p>
            <w:pPr/>
          </w:p>
        </w:tc>
        <w:tc>
          <w:tcPr>
            <w:tcW w:w="856" w:type="dxa"/>
            <w:vMerge/>
            <w:tcBorders>
              <w:left w:val="single" w:sz="4" w:space="0" w:color="000000"/>
              <w:bottom w:val="single" w:sz="4" w:space="0" w:color="000000"/>
              <w:right w:val="single" w:sz="4" w:space="0" w:color="000000"/>
            </w:tcBorders>
            <w:shd w:val="clear" w:color="auto" w:fill="D2D2D2"/>
          </w:tcPr>
          <w:p>
            <w:pPr/>
          </w:p>
        </w:tc>
        <w:tc>
          <w:tcPr>
            <w:tcW w:w="53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986"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62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8" w:type="dxa"/>
            <w:vMerge/>
            <w:tcBorders>
              <w:left w:val="single" w:sz="4" w:space="0" w:color="000000"/>
              <w:bottom w:val="single" w:sz="4" w:space="0" w:color="000000"/>
              <w:right w:val="single" w:sz="4" w:space="0" w:color="000000"/>
            </w:tcBorders>
            <w:shd w:val="clear" w:color="auto" w:fill="D2D2D2"/>
          </w:tcPr>
          <w:p>
            <w:pPr/>
          </w:p>
        </w:tc>
        <w:tc>
          <w:tcPr>
            <w:tcW w:w="560" w:type="dxa"/>
            <w:vMerge/>
            <w:tcBorders>
              <w:left w:val="single" w:sz="4" w:space="0" w:color="000000"/>
              <w:bottom w:val="single" w:sz="4" w:space="0" w:color="000000"/>
              <w:right w:val="single" w:sz="4" w:space="0" w:color="000000"/>
            </w:tcBorders>
            <w:shd w:val="clear" w:color="auto" w:fill="D2D2D2"/>
          </w:tcPr>
          <w:p>
            <w:pPr/>
          </w:p>
        </w:tc>
        <w:tc>
          <w:tcPr>
            <w:tcW w:w="716" w:type="dxa"/>
            <w:vMerge/>
            <w:tcBorders>
              <w:left w:val="single" w:sz="4" w:space="0" w:color="000000"/>
              <w:bottom w:val="single" w:sz="4" w:space="0" w:color="000000"/>
              <w:right w:val="single" w:sz="4" w:space="0" w:color="000000"/>
            </w:tcBorders>
            <w:shd w:val="clear" w:color="auto" w:fill="D2D2D2"/>
          </w:tcPr>
          <w:p>
            <w:pPr/>
          </w:p>
        </w:tc>
        <w:tc>
          <w:tcPr>
            <w:tcW w:w="1133" w:type="dxa"/>
            <w:gridSpan w:val="2"/>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tcPr>
          <w:p>
            <w:pPr/>
          </w:p>
        </w:tc>
      </w:tr>
      <w:tr>
        <w:trPr>
          <w:trHeight w:val="322" w:hRule="exact"/>
        </w:trPr>
        <w:tc>
          <w:tcPr>
            <w:tcW w:w="957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一、联营企业</w:t>
            </w:r>
          </w:p>
        </w:tc>
      </w:tr>
      <w:tr>
        <w:trPr>
          <w:trHeight w:val="94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58"/>
              <w:jc w:val="both"/>
              <w:rPr>
                <w:rFonts w:ascii="宋体" w:hAnsi="宋体" w:cs="宋体" w:eastAsia="宋体" w:hint="default"/>
                <w:sz w:val="18"/>
                <w:szCs w:val="18"/>
              </w:rPr>
            </w:pPr>
            <w:r>
              <w:rPr>
                <w:rFonts w:ascii="宋体" w:hAnsi="宋体" w:cs="宋体" w:eastAsia="宋体" w:hint="default"/>
                <w:sz w:val="18"/>
                <w:szCs w:val="18"/>
              </w:rPr>
              <w:t>重庆中余锦 通科技有限 公司</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1,181,128.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98</w:t>
            </w:r>
          </w:p>
        </w:tc>
        <w:tc>
          <w:tcPr>
            <w:tcW w:w="53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-75,680.77</w:t>
            </w:r>
          </w:p>
        </w:tc>
        <w:tc>
          <w:tcPr>
            <w:tcW w:w="710"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1,105,448.2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7" w:type="dxa"/>
            <w:gridSpan w:val="2"/>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58"/>
              <w:jc w:val="both"/>
              <w:rPr>
                <w:rFonts w:ascii="宋体" w:hAnsi="宋体" w:cs="宋体" w:eastAsia="宋体" w:hint="default"/>
                <w:sz w:val="18"/>
                <w:szCs w:val="18"/>
              </w:rPr>
            </w:pPr>
            <w:r>
              <w:rPr>
                <w:rFonts w:ascii="宋体" w:hAnsi="宋体" w:cs="宋体" w:eastAsia="宋体" w:hint="default"/>
                <w:sz w:val="18"/>
                <w:szCs w:val="18"/>
              </w:rPr>
              <w:t>广州市广百 小额贷款有 限公司</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62,729,35</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6.53</w:t>
            </w:r>
          </w:p>
        </w:tc>
        <w:tc>
          <w:tcPr>
            <w:tcW w:w="53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-5,696,105.1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w:t>
            </w:r>
          </w:p>
        </w:tc>
        <w:tc>
          <w:tcPr>
            <w:tcW w:w="710"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57,033,251.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36</w:t>
            </w:r>
          </w:p>
        </w:tc>
        <w:tc>
          <w:tcPr>
            <w:tcW w:w="797" w:type="dxa"/>
            <w:gridSpan w:val="2"/>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58"/>
              <w:jc w:val="both"/>
              <w:rPr>
                <w:rFonts w:ascii="宋体" w:hAnsi="宋体" w:cs="宋体" w:eastAsia="宋体" w:hint="default"/>
                <w:sz w:val="18"/>
                <w:szCs w:val="18"/>
              </w:rPr>
            </w:pPr>
            <w:r>
              <w:rPr>
                <w:rFonts w:ascii="宋体" w:hAnsi="宋体" w:cs="宋体" w:eastAsia="宋体" w:hint="default"/>
                <w:sz w:val="18"/>
                <w:szCs w:val="18"/>
              </w:rPr>
              <w:t>广州广电计 量检测股份 有限公司</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484,566,0</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73.37</w:t>
            </w:r>
          </w:p>
        </w:tc>
        <w:tc>
          <w:tcPr>
            <w:tcW w:w="53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194,672,41</w:t>
            </w:r>
          </w:p>
          <w:p>
            <w:pPr>
              <w:pStyle w:val="TableParagraph"/>
              <w:spacing w:line="240" w:lineRule="auto" w:before="105"/>
              <w:ind w:left="531" w:right="0"/>
              <w:jc w:val="left"/>
              <w:rPr>
                <w:rFonts w:ascii="Times New Roman" w:hAnsi="Times New Roman" w:cs="Times New Roman" w:eastAsia="Times New Roman" w:hint="default"/>
                <w:sz w:val="18"/>
                <w:szCs w:val="18"/>
              </w:rPr>
            </w:pPr>
            <w:r>
              <w:rPr>
                <w:rFonts w:ascii="Times New Roman"/>
                <w:sz w:val="18"/>
              </w:rPr>
              <w:t>6.01</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14,630,945.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76</w:t>
            </w:r>
          </w:p>
        </w:tc>
        <w:tc>
          <w:tcPr>
            <w:tcW w:w="710"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56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300,024,603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.12</w:t>
            </w:r>
          </w:p>
        </w:tc>
        <w:tc>
          <w:tcPr>
            <w:tcW w:w="797" w:type="dxa"/>
            <w:gridSpan w:val="2"/>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58"/>
              <w:jc w:val="both"/>
              <w:rPr>
                <w:rFonts w:ascii="宋体" w:hAnsi="宋体" w:cs="宋体" w:eastAsia="宋体" w:hint="default"/>
                <w:sz w:val="18"/>
                <w:szCs w:val="18"/>
              </w:rPr>
            </w:pPr>
            <w:r>
              <w:rPr>
                <w:rFonts w:ascii="宋体" w:hAnsi="宋体" w:cs="宋体" w:eastAsia="宋体" w:hint="default"/>
                <w:sz w:val="18"/>
                <w:szCs w:val="18"/>
              </w:rPr>
              <w:t>广东美电贝 尔科技集团 股份有限公 司</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98" w:right="0"/>
              <w:jc w:val="left"/>
              <w:rPr>
                <w:rFonts w:ascii="Times New Roman" w:hAnsi="Times New Roman" w:cs="Times New Roman" w:eastAsia="Times New Roman" w:hint="default"/>
                <w:sz w:val="18"/>
                <w:szCs w:val="18"/>
              </w:rPr>
            </w:pPr>
            <w:r>
              <w:rPr>
                <w:rFonts w:ascii="Times New Roman"/>
                <w:sz w:val="18"/>
              </w:rPr>
              <w:t>70,327,87</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9.95</w:t>
            </w:r>
          </w:p>
        </w:tc>
        <w:tc>
          <w:tcPr>
            <w:tcW w:w="53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4,318,441.3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w:t>
            </w:r>
          </w:p>
        </w:tc>
        <w:tc>
          <w:tcPr>
            <w:tcW w:w="710"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8" w:right="0"/>
              <w:jc w:val="center"/>
              <w:rPr>
                <w:rFonts w:ascii="Times New Roman" w:hAnsi="Times New Roman" w:cs="Times New Roman" w:eastAsia="Times New Roman" w:hint="default"/>
                <w:sz w:val="18"/>
                <w:szCs w:val="18"/>
              </w:rPr>
            </w:pPr>
            <w:r>
              <w:rPr>
                <w:rFonts w:ascii="Times New Roman"/>
                <w:sz w:val="18"/>
              </w:rPr>
              <w:t>-59,717,</w:t>
            </w:r>
          </w:p>
          <w:p>
            <w:pPr>
              <w:pStyle w:val="TableParagraph"/>
              <w:spacing w:line="240" w:lineRule="auto" w:before="105"/>
              <w:ind w:left="163" w:right="0"/>
              <w:jc w:val="center"/>
              <w:rPr>
                <w:rFonts w:ascii="Times New Roman" w:hAnsi="Times New Roman" w:cs="Times New Roman" w:eastAsia="Times New Roman" w:hint="default"/>
                <w:sz w:val="18"/>
                <w:szCs w:val="18"/>
              </w:rPr>
            </w:pPr>
            <w:r>
              <w:rPr>
                <w:rFonts w:ascii="Times New Roman"/>
                <w:sz w:val="18"/>
              </w:rPr>
              <w:t>057.02</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14,929,264.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c>
          <w:tcPr>
            <w:tcW w:w="797" w:type="dxa"/>
            <w:gridSpan w:val="2"/>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58"/>
              <w:jc w:val="both"/>
              <w:rPr>
                <w:rFonts w:ascii="宋体" w:hAnsi="宋体" w:cs="宋体" w:eastAsia="宋体" w:hint="default"/>
                <w:sz w:val="18"/>
                <w:szCs w:val="18"/>
              </w:rPr>
            </w:pPr>
            <w:r>
              <w:rPr>
                <w:rFonts w:ascii="宋体" w:hAnsi="宋体" w:cs="宋体" w:eastAsia="宋体" w:hint="default"/>
                <w:sz w:val="18"/>
                <w:szCs w:val="18"/>
              </w:rPr>
              <w:t>广州市力沛 企业管理咨 询有限公司</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802,166.6</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z w:val="18"/>
              </w:rPr>
              <w:t>0</w:t>
            </w:r>
          </w:p>
        </w:tc>
        <w:tc>
          <w:tcPr>
            <w:tcW w:w="53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32.25</w:t>
            </w:r>
          </w:p>
        </w:tc>
        <w:tc>
          <w:tcPr>
            <w:tcW w:w="710"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34" w:right="0"/>
              <w:jc w:val="left"/>
              <w:rPr>
                <w:rFonts w:ascii="Times New Roman" w:hAnsi="Times New Roman" w:cs="Times New Roman" w:eastAsia="Times New Roman" w:hint="default"/>
                <w:sz w:val="18"/>
                <w:szCs w:val="18"/>
              </w:rPr>
            </w:pPr>
            <w:r>
              <w:rPr>
                <w:rFonts w:ascii="Times New Roman"/>
                <w:sz w:val="18"/>
              </w:rPr>
              <w:t>802,198.85</w:t>
            </w:r>
          </w:p>
        </w:tc>
        <w:tc>
          <w:tcPr>
            <w:tcW w:w="797" w:type="dxa"/>
            <w:gridSpan w:val="2"/>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619,606,6</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05.43</w:t>
            </w:r>
          </w:p>
        </w:tc>
        <w:tc>
          <w:tcPr>
            <w:tcW w:w="53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4" w:right="0"/>
              <w:jc w:val="left"/>
              <w:rPr>
                <w:rFonts w:ascii="Times New Roman" w:hAnsi="Times New Roman" w:cs="Times New Roman" w:eastAsia="Times New Roman" w:hint="default"/>
                <w:sz w:val="18"/>
                <w:szCs w:val="18"/>
              </w:rPr>
            </w:pPr>
            <w:r>
              <w:rPr>
                <w:rFonts w:ascii="Times New Roman"/>
                <w:sz w:val="18"/>
              </w:rPr>
              <w:t>194,672,41</w:t>
            </w:r>
          </w:p>
          <w:p>
            <w:pPr>
              <w:pStyle w:val="TableParagraph"/>
              <w:spacing w:line="240" w:lineRule="auto" w:before="105"/>
              <w:ind w:left="531" w:right="0"/>
              <w:jc w:val="left"/>
              <w:rPr>
                <w:rFonts w:ascii="Times New Roman" w:hAnsi="Times New Roman" w:cs="Times New Roman" w:eastAsia="Times New Roman" w:hint="default"/>
                <w:sz w:val="18"/>
                <w:szCs w:val="18"/>
              </w:rPr>
            </w:pPr>
            <w:r>
              <w:rPr>
                <w:rFonts w:ascii="Times New Roman"/>
                <w:sz w:val="18"/>
              </w:rPr>
              <w:t>6.01</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13,177,633.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c>
          <w:tcPr>
            <w:tcW w:w="710"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56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 w:right="0"/>
              <w:jc w:val="center"/>
              <w:rPr>
                <w:rFonts w:ascii="Times New Roman" w:hAnsi="Times New Roman" w:cs="Times New Roman" w:eastAsia="Times New Roman" w:hint="default"/>
                <w:sz w:val="18"/>
                <w:szCs w:val="18"/>
              </w:rPr>
            </w:pPr>
            <w:r>
              <w:rPr>
                <w:rFonts w:ascii="Times New Roman"/>
                <w:sz w:val="18"/>
              </w:rPr>
              <w:t>-59,717,</w:t>
            </w:r>
          </w:p>
          <w:p>
            <w:pPr>
              <w:pStyle w:val="TableParagraph"/>
              <w:spacing w:line="240" w:lineRule="auto" w:before="105"/>
              <w:ind w:left="163" w:right="0"/>
              <w:jc w:val="center"/>
              <w:rPr>
                <w:rFonts w:ascii="Times New Roman" w:hAnsi="Times New Roman" w:cs="Times New Roman" w:eastAsia="Times New Roman" w:hint="default"/>
                <w:sz w:val="18"/>
                <w:szCs w:val="18"/>
              </w:rPr>
            </w:pPr>
            <w:r>
              <w:rPr>
                <w:rFonts w:ascii="Times New Roman"/>
                <w:sz w:val="18"/>
              </w:rPr>
              <w:t>057.02</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373,894,765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.79</w:t>
            </w:r>
          </w:p>
        </w:tc>
        <w:tc>
          <w:tcPr>
            <w:tcW w:w="797" w:type="dxa"/>
            <w:gridSpan w:val="2"/>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619,606,6</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05.43</w:t>
            </w:r>
          </w:p>
        </w:tc>
        <w:tc>
          <w:tcPr>
            <w:tcW w:w="53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4" w:right="0"/>
              <w:jc w:val="left"/>
              <w:rPr>
                <w:rFonts w:ascii="Times New Roman" w:hAnsi="Times New Roman" w:cs="Times New Roman" w:eastAsia="Times New Roman" w:hint="default"/>
                <w:sz w:val="18"/>
                <w:szCs w:val="18"/>
              </w:rPr>
            </w:pPr>
            <w:r>
              <w:rPr>
                <w:rFonts w:ascii="Times New Roman"/>
                <w:sz w:val="18"/>
              </w:rPr>
              <w:t>194,672,41</w:t>
            </w:r>
          </w:p>
          <w:p>
            <w:pPr>
              <w:pStyle w:val="TableParagraph"/>
              <w:spacing w:line="240" w:lineRule="auto" w:before="105"/>
              <w:ind w:left="531" w:right="0"/>
              <w:jc w:val="left"/>
              <w:rPr>
                <w:rFonts w:ascii="Times New Roman" w:hAnsi="Times New Roman" w:cs="Times New Roman" w:eastAsia="Times New Roman" w:hint="default"/>
                <w:sz w:val="18"/>
                <w:szCs w:val="18"/>
              </w:rPr>
            </w:pPr>
            <w:r>
              <w:rPr>
                <w:rFonts w:ascii="Times New Roman"/>
                <w:sz w:val="18"/>
              </w:rPr>
              <w:t>6.01</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13,177,633.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c>
          <w:tcPr>
            <w:tcW w:w="710"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560"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 w:right="0"/>
              <w:jc w:val="center"/>
              <w:rPr>
                <w:rFonts w:ascii="Times New Roman" w:hAnsi="Times New Roman" w:cs="Times New Roman" w:eastAsia="Times New Roman" w:hint="default"/>
                <w:sz w:val="18"/>
                <w:szCs w:val="18"/>
              </w:rPr>
            </w:pPr>
            <w:r>
              <w:rPr>
                <w:rFonts w:ascii="Times New Roman"/>
                <w:sz w:val="18"/>
              </w:rPr>
              <w:t>-59,717,</w:t>
            </w:r>
          </w:p>
          <w:p>
            <w:pPr>
              <w:pStyle w:val="TableParagraph"/>
              <w:spacing w:line="240" w:lineRule="auto" w:before="105"/>
              <w:ind w:left="163" w:right="0"/>
              <w:jc w:val="center"/>
              <w:rPr>
                <w:rFonts w:ascii="Times New Roman" w:hAnsi="Times New Roman" w:cs="Times New Roman" w:eastAsia="Times New Roman" w:hint="default"/>
                <w:sz w:val="18"/>
                <w:szCs w:val="18"/>
              </w:rPr>
            </w:pPr>
            <w:r>
              <w:rPr>
                <w:rFonts w:ascii="Times New Roman"/>
                <w:sz w:val="18"/>
              </w:rPr>
              <w:t>057.02</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373,894,765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.79</w:t>
            </w:r>
          </w:p>
        </w:tc>
        <w:tc>
          <w:tcPr>
            <w:tcW w:w="797" w:type="dxa"/>
            <w:gridSpan w:val="2"/>
            <w:tcBorders>
              <w:top w:val="single" w:sz="4" w:space="0" w:color="000000"/>
              <w:left w:val="single" w:sz="4" w:space="0" w:color="000000"/>
              <w:bottom w:val="single" w:sz="4" w:space="0" w:color="000000"/>
              <w:right w:val="single" w:sz="4" w:space="0" w:color="000000"/>
            </w:tcBorders>
          </w:tcPr>
          <w:p>
            <w:pPr/>
          </w:p>
        </w:tc>
      </w:tr>
    </w:tbl>
    <w:p>
      <w:pPr>
        <w:pStyle w:val="Heading4"/>
        <w:spacing w:line="240" w:lineRule="auto" w:before="71"/>
        <w:ind w:right="1034"/>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6"/>
      </w:tblGrid>
      <w:tr>
        <w:trPr>
          <w:trHeight w:val="242"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30"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7"/>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38"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2"/>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45"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78"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2,079,527,076.22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1,296,679,883.82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2,159,432,615.55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1,309,587,282.48</w:t>
            </w:r>
          </w:p>
        </w:tc>
      </w:tr>
      <w:tr>
        <w:trPr>
          <w:trHeight w:val="478"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2,079,527,076.22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1,296,679,883.82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2,159,432,615.55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1,309,587,282.48</w:t>
            </w:r>
          </w:p>
        </w:tc>
      </w:tr>
    </w:tbl>
    <w:p>
      <w:pPr>
        <w:pStyle w:val="Heading4"/>
        <w:spacing w:line="240" w:lineRule="auto" w:before="71"/>
        <w:ind w:right="1034"/>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6"/>
        <w:rPr>
          <w:rFonts w:ascii="宋体" w:hAnsi="宋体" w:cs="宋体" w:eastAsia="宋体" w:hint="default"/>
          <w:b/>
          <w:bCs/>
          <w:sz w:val="12"/>
          <w:szCs w:val="1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8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8"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20,400,000.00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256,630,000.00</w:t>
            </w:r>
          </w:p>
        </w:tc>
      </w:tr>
      <w:tr>
        <w:trPr>
          <w:trHeight w:val="478"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13,177,633.39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20,319,644.69</w:t>
            </w:r>
          </w:p>
        </w:tc>
      </w:tr>
      <w:tr>
        <w:trPr>
          <w:trHeight w:val="478"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-9,019,666.51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267,000,000.00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78"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-1,092,516.95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137,564,689.22</w:t>
            </w:r>
          </w:p>
        </w:tc>
      </w:tr>
      <w:tr>
        <w:trPr>
          <w:trHeight w:val="478" w:hRule="exact"/>
        </w:trPr>
        <w:tc>
          <w:tcPr>
            <w:tcW w:w="33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国债回购收益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165,062.55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3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12,280,636.98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23,438,846.73</w:t>
            </w:r>
          </w:p>
        </w:tc>
      </w:tr>
      <w:tr>
        <w:trPr>
          <w:trHeight w:val="480"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35,911,149.46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704,953,180.64</w:t>
            </w:r>
          </w:p>
        </w:tc>
      </w:tr>
    </w:tbl>
    <w:p>
      <w:pPr>
        <w:pStyle w:val="Heading2"/>
        <w:spacing w:line="240" w:lineRule="auto" w:before="39"/>
        <w:ind w:right="1034"/>
        <w:jc w:val="left"/>
        <w:rPr>
          <w:b w:val="0"/>
          <w:bCs w:val="0"/>
        </w:rPr>
      </w:pPr>
      <w:r>
        <w:rPr/>
        <w:t>十八、补充资料</w:t>
      </w:r>
      <w:r>
        <w:rPr>
          <w:b w:val="0"/>
          <w:bCs w:val="0"/>
        </w:rPr>
      </w:r>
    </w:p>
    <w:p>
      <w:pPr>
        <w:pStyle w:val="Heading4"/>
        <w:spacing w:line="240" w:lineRule="auto" w:before="186"/>
        <w:ind w:right="1034"/>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1"/>
        <w:rPr>
          <w:rFonts w:ascii="宋体" w:hAnsi="宋体" w:cs="宋体" w:eastAsia="宋体" w:hint="default"/>
          <w:b/>
          <w:bCs/>
          <w:sz w:val="15"/>
          <w:szCs w:val="15"/>
        </w:rPr>
      </w:pPr>
    </w:p>
    <w:p>
      <w:pPr>
        <w:pStyle w:val="BodyText"/>
        <w:spacing w:line="240" w:lineRule="auto"/>
        <w:ind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40"/>
        <w:ind w:left="0" w:right="1131"/>
        <w:jc w:val="right"/>
      </w:pPr>
      <w:r>
        <w:rPr/>
        <w:t>单位：</w:t>
      </w:r>
      <w:r>
        <w:rPr>
          <w:spacing w:val="1"/>
        </w:rPr>
        <w:t> </w:t>
      </w:r>
      <w:r>
        <w:rPr/>
        <w:t>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525"/>
        <w:gridCol w:w="2706"/>
        <w:gridCol w:w="2338"/>
      </w:tblGrid>
      <w:tr>
        <w:trPr>
          <w:trHeight w:val="32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-262,481.68</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9"/>
              <w:jc w:val="left"/>
              <w:rPr>
                <w:rFonts w:ascii="宋体" w:hAnsi="宋体" w:cs="宋体" w:eastAsia="宋体" w:hint="default"/>
                <w:sz w:val="18"/>
                <w:szCs w:val="18"/>
              </w:rPr>
            </w:pPr>
            <w:r>
              <w:rPr>
                <w:rFonts w:ascii="宋体" w:hAnsi="宋体" w:cs="宋体" w:eastAsia="宋体" w:hint="default"/>
                <w:spacing w:val="-1"/>
                <w:sz w:val="18"/>
                <w:szCs w:val="18"/>
              </w:rPr>
              <w:t>计入当期损益的政府补助（与企业业务密切相关，按照国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家统一标准定额或定量享受的政府补助除外）</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93,234,712.92</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88,641,684.75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主要是银行理财收益。</w:t>
            </w:r>
          </w:p>
        </w:tc>
      </w:tr>
      <w:tr>
        <w:trPr>
          <w:trHeight w:val="1259"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9"/>
              <w:ind w:left="22" w:right="9"/>
              <w:jc w:val="both"/>
              <w:rPr>
                <w:rFonts w:ascii="宋体" w:hAnsi="宋体" w:cs="宋体" w:eastAsia="宋体" w:hint="default"/>
                <w:sz w:val="18"/>
                <w:szCs w:val="18"/>
              </w:rPr>
            </w:pPr>
            <w:r>
              <w:rPr>
                <w:rFonts w:ascii="宋体" w:hAnsi="宋体" w:cs="宋体" w:eastAsia="宋体" w:hint="default"/>
                <w:spacing w:val="-1"/>
                <w:sz w:val="18"/>
                <w:szCs w:val="18"/>
              </w:rPr>
              <w:t>除同公司正常经营业务相关的有效套期保值业务外，持有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交易性金融资产、交易性金融负债产生的公允价值变动损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益，以及处置交易性金融资产、交易性金融负债和可供出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售金融资产取得的投资收益</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-1,450,342.88</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-6,229,219.93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主要是存货报废损失。</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2,551,770.28</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28,592,026.72</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14,920,517.40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132,973,579.34</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8"/>
        <w:ind w:right="1034"/>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tbl>
      <w:tblPr>
        <w:tblW w:w="0" w:type="auto"/>
        <w:jc w:val="left"/>
        <w:tblInd w:w="148" w:type="dxa"/>
        <w:tblLayout w:type="fixed"/>
        <w:tblCellMar>
          <w:top w:w="0" w:type="dxa"/>
          <w:left w:w="0" w:type="dxa"/>
          <w:bottom w:w="0" w:type="dxa"/>
          <w:right w:w="0" w:type="dxa"/>
        </w:tblCellMar>
        <w:tblLook w:val="01E0"/>
      </w:tblPr>
      <w:tblGrid>
        <w:gridCol w:w="2835"/>
        <w:gridCol w:w="2129"/>
        <w:gridCol w:w="4607"/>
      </w:tblGrid>
      <w:tr>
        <w:trPr>
          <w:trHeight w:val="32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29"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4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63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政府补助中的增值税返还</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60" w:right="0"/>
              <w:jc w:val="left"/>
              <w:rPr>
                <w:rFonts w:ascii="Times New Roman" w:hAnsi="Times New Roman" w:cs="Times New Roman" w:eastAsia="Times New Roman" w:hint="default"/>
                <w:sz w:val="18"/>
                <w:szCs w:val="18"/>
              </w:rPr>
            </w:pPr>
            <w:r>
              <w:rPr>
                <w:rFonts w:ascii="Times New Roman"/>
                <w:sz w:val="18"/>
              </w:rPr>
              <w:t>54,269,518.89</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20"/>
              <w:jc w:val="left"/>
              <w:rPr>
                <w:rFonts w:ascii="宋体" w:hAnsi="宋体" w:cs="宋体" w:eastAsia="宋体" w:hint="default"/>
                <w:sz w:val="18"/>
                <w:szCs w:val="18"/>
              </w:rPr>
            </w:pPr>
            <w:r>
              <w:rPr>
                <w:rFonts w:ascii="宋体" w:hAnsi="宋体" w:cs="宋体" w:eastAsia="宋体" w:hint="default"/>
                <w:spacing w:val="-4"/>
                <w:sz w:val="18"/>
                <w:szCs w:val="18"/>
              </w:rPr>
              <w:t>根据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财税【</w:t>
            </w:r>
            <w:r>
              <w:rPr>
                <w:rFonts w:ascii="Times New Roman" w:hAnsi="Times New Roman" w:cs="Times New Roman" w:eastAsia="Times New Roman" w:hint="default"/>
                <w:spacing w:val="-4"/>
                <w:sz w:val="18"/>
                <w:szCs w:val="18"/>
              </w:rPr>
              <w:t>2011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文《关于软件产品增值税政策的 通知》的规定，享受软件产品增值税即征即退税收优惠。</w:t>
            </w:r>
          </w:p>
        </w:tc>
      </w:tr>
    </w:tbl>
    <w:p>
      <w:pPr>
        <w:pStyle w:val="Heading4"/>
        <w:spacing w:line="240" w:lineRule="auto" w:before="15"/>
        <w:ind w:right="1034"/>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4"/>
        <w:rPr>
          <w:rFonts w:ascii="宋体" w:hAnsi="宋体" w:cs="宋体" w:eastAsia="宋体" w:hint="default"/>
          <w:b/>
          <w:bCs/>
          <w:sz w:val="3"/>
          <w:szCs w:val="3"/>
        </w:rPr>
      </w:pPr>
    </w:p>
    <w:tbl>
      <w:tblPr>
        <w:tblW w:w="0" w:type="auto"/>
        <w:jc w:val="left"/>
        <w:tblInd w:w="160" w:type="dxa"/>
        <w:tblLayout w:type="fixed"/>
        <w:tblCellMar>
          <w:top w:w="0" w:type="dxa"/>
          <w:left w:w="0" w:type="dxa"/>
          <w:bottom w:w="0" w:type="dxa"/>
          <w:right w:w="0" w:type="dxa"/>
        </w:tblCellMar>
        <w:tblLook w:val="01E0"/>
      </w:tblPr>
      <w:tblGrid>
        <w:gridCol w:w="2650"/>
        <w:gridCol w:w="3083"/>
        <w:gridCol w:w="1913"/>
        <w:gridCol w:w="1913"/>
      </w:tblGrid>
      <w:tr>
        <w:trPr>
          <w:trHeight w:val="166" w:hRule="exact"/>
        </w:trPr>
        <w:tc>
          <w:tcPr>
            <w:tcW w:w="2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51" w:hRule="exact"/>
        </w:trPr>
        <w:tc>
          <w:tcPr>
            <w:tcW w:w="26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650"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166" w:hRule="exact"/>
        </w:trPr>
        <w:tc>
          <w:tcPr>
            <w:tcW w:w="2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7.48%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0.28</w:t>
            </w:r>
          </w:p>
        </w:tc>
      </w:tr>
      <w:tr>
        <w:trPr>
          <w:trHeight w:val="634"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0.22</w:t>
            </w:r>
          </w:p>
        </w:tc>
      </w:tr>
    </w:tbl>
    <w:p>
      <w:pPr>
        <w:pStyle w:val="Heading4"/>
        <w:spacing w:line="240" w:lineRule="auto" w:before="71"/>
        <w:ind w:right="1034"/>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pStyle w:val="Heading3"/>
        <w:spacing w:line="240" w:lineRule="auto" w:before="148"/>
        <w:ind w:left="152" w:right="1034"/>
        <w:jc w:val="left"/>
      </w:pPr>
      <w:r>
        <w:rPr/>
        <w:t>公司本期未发生此事项。</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pStyle w:val="Heading1"/>
        <w:spacing w:line="240" w:lineRule="auto" w:before="173"/>
        <w:ind w:left="3285" w:right="1034"/>
        <w:jc w:val="left"/>
        <w:rPr>
          <w:b w:val="0"/>
          <w:bCs w:val="0"/>
        </w:rPr>
      </w:pPr>
      <w:bookmarkStart w:name="_bookmark11" w:id="12"/>
      <w:bookmarkEnd w:id="12"/>
      <w:r>
        <w:rPr>
          <w:b w:val="0"/>
          <w:bCs w:val="0"/>
        </w:rPr>
      </w:r>
      <w:r>
        <w:rPr/>
        <w:t>第十二节</w:t>
      </w:r>
      <w:r>
        <w:rPr>
          <w:spacing w:val="-6"/>
        </w:rPr>
        <w:t> </w:t>
      </w:r>
      <w:r>
        <w:rPr/>
        <w:t>备查文件目录</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52" w:lineRule="auto" w:before="44"/>
        <w:ind w:left="515" w:right="1121" w:hanging="3"/>
        <w:jc w:val="left"/>
      </w:pPr>
      <w:r>
        <w:rPr/>
        <w:t>一、载有董事长签名的</w:t>
      </w:r>
      <w:r>
        <w:rPr>
          <w:spacing w:val="-46"/>
        </w:rPr>
        <w:t> </w:t>
      </w:r>
      <w:r>
        <w:rPr>
          <w:rFonts w:ascii="Times New Roman" w:hAnsi="Times New Roman" w:cs="Times New Roman" w:eastAsia="Times New Roman" w:hint="default"/>
        </w:rPr>
        <w:t>2018 </w:t>
      </w:r>
      <w:r>
        <w:rPr/>
        <w:t>年年度报告全文； 二、载有法定代表人、主管会计工作负责人、会计机构负责人签名并盖章的财务报表； 三、载有会计师事务所盖章、注册会计师签名并盖章的审计报告原件； 四、报告期内，公司在《证券时报》和巨潮资讯网</w:t>
      </w:r>
      <w:r>
        <w:rPr>
          <w:spacing w:val="-58"/>
        </w:rPr>
        <w:t> </w:t>
      </w:r>
      <w:hyperlink r:id="rId10">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12"/>
        </w:rPr>
        <w:t> </w:t>
      </w:r>
      <w:r>
        <w:rPr/>
        <w:t>上公开披露过的所有公司文件的正本及公告的原</w:t>
      </w:r>
    </w:p>
    <w:p>
      <w:pPr>
        <w:pStyle w:val="BodyText"/>
        <w:spacing w:line="205" w:lineRule="exact"/>
        <w:ind w:right="1034"/>
        <w:jc w:val="left"/>
      </w:pPr>
      <w:r>
        <w:rPr/>
        <w:t>稿。</w:t>
      </w:r>
    </w:p>
    <w:p>
      <w:pPr>
        <w:pStyle w:val="BodyText"/>
        <w:spacing w:line="240" w:lineRule="auto" w:before="115"/>
        <w:ind w:left="515" w:right="1034"/>
        <w:jc w:val="left"/>
      </w:pPr>
      <w:r>
        <w:rPr/>
        <w:t>上述文件的原件或具有法律效力的复印件同时备置于公司证券部、深交所备查。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BodyText"/>
        <w:spacing w:line="518" w:lineRule="auto"/>
        <w:ind w:left="7541" w:right="1385" w:hanging="900"/>
        <w:jc w:val="left"/>
      </w:pPr>
      <w:r>
        <w:rPr/>
        <w:t>广州广电运通金融电子股份有限公司 董事长：黄跃珍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04</w:t>
      </w:r>
      <w:r>
        <w:rPr/>
        <w:t>月</w:t>
      </w:r>
      <w:r>
        <w:rPr>
          <w:rFonts w:ascii="Times New Roman" w:hAnsi="Times New Roman" w:cs="Times New Roman" w:eastAsia="Times New Roman" w:hint="default"/>
        </w:rPr>
        <w:t>25</w:t>
      </w:r>
      <w:r>
        <w:rPr/>
        <w:t>日</w:t>
      </w:r>
    </w:p>
    <w:sectPr>
      <w:pgSz w:w="11910" w:h="16840"/>
      <w:pgMar w:header="877" w:footer="979"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90304" type="#_x0000_t75" stroked="false">
          <v:imagedata r:id="rId1" o:title=""/>
        </v:shape>
      </w:pict>
    </w:r>
    <w:r>
      <w:rPr/>
      <w:pict>
        <v:shape style="position:absolute;margin-left:527.659973pt;margin-top:781.957947pt;width:13.15pt;height:11pt;mso-position-horizontal-relative:page;mso-position-vertical-relative:page;z-index:-12902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90208" type="#_x0000_t75" stroked="false">
          <v:imagedata r:id="rId1" o:title=""/>
        </v:shape>
      </w:pict>
    </w:r>
    <w:r>
      <w:rPr/>
      <w:pict>
        <v:shape style="position:absolute;margin-left:494.660004pt;margin-top:782.077942pt;width:13.15pt;height:11pt;mso-position-horizontal-relative:page;mso-position-vertical-relative:page;z-index:-12901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94</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90160" type="#_x0000_t75" stroked="false">
          <v:imagedata r:id="rId1" o:title=""/>
        </v:shape>
      </w:pict>
    </w:r>
    <w:r>
      <w:rPr/>
      <w:pict>
        <v:shape style="position:absolute;margin-left:491.100006pt;margin-top:782.077942pt;width:15.7pt;height:11pt;mso-position-horizontal-relative:page;mso-position-vertical-relative:page;z-index:-129013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90112" type="#_x0000_t75" stroked="false">
          <v:imagedata r:id="rId1" o:title=""/>
        </v:shape>
      </w:pict>
    </w:r>
    <w:r>
      <w:rPr/>
      <w:pict>
        <v:shape style="position:absolute;margin-left:490.100006pt;margin-top:782.077942pt;width:17.7pt;height:11pt;mso-position-horizontal-relative:page;mso-position-vertical-relative:page;z-index:-12900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90016" type="#_x0000_t75" stroked="false">
          <v:imagedata r:id="rId1" o:title=""/>
        </v:shape>
      </w:pict>
    </w:r>
    <w:r>
      <w:rPr/>
      <w:pict>
        <v:shape style="position:absolute;margin-left:523.099976pt;margin-top:781.957947pt;width:17.7pt;height:11pt;mso-position-horizontal-relative:page;mso-position-vertical-relative:page;z-index:-12899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29035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08.049988pt;margin-top:42.865608pt;width:231.75pt;height:11.5pt;mso-position-horizontal-relative:page;mso-position-vertical-relative:page;z-index:-1290328" type="#_x0000_t202" filled="false" stroked="false">
          <v:textbox inset="0,0,0,0">
            <w:txbxContent>
              <w:p>
                <w:pPr>
                  <w:pStyle w:val="BodyText"/>
                  <w:spacing w:line="214" w:lineRule="exact"/>
                  <w:ind w:left="20" w:right="0"/>
                  <w:jc w:val="left"/>
                </w:pPr>
                <w:r>
                  <w:rPr/>
                  <w:t>广州广电运通金融电子股份有限公司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48.479984pt;width:418.65pt;height:.1pt;mso-position-horizontal-relative:page;mso-position-vertical-relative:page;z-index:-1290256" coordorigin="1769,970" coordsize="8373,2">
          <v:shape style="position:absolute;left:1769;top:970;width:8373;height:2" coordorigin="1769,970" coordsize="8373,0" path="m1769,970l10142,970e" filled="false" stroked="true" strokeweight=".72pt" strokecolor="#000000">
            <v:path arrowok="t"/>
          </v:shape>
          <w10:wrap type="none"/>
        </v:group>
      </w:pict>
    </w:r>
    <w:r>
      <w:rPr/>
      <w:pict>
        <v:shape style="position:absolute;margin-left:275.049988pt;margin-top:35.665607pt;width:231.7pt;height:11.5pt;mso-position-horizontal-relative:page;mso-position-vertical-relative:page;z-index:-1290232" type="#_x0000_t202" filled="false" stroked="false">
          <v:textbox inset="0,0,0,0">
            <w:txbxContent>
              <w:p>
                <w:pPr>
                  <w:pStyle w:val="BodyText"/>
                  <w:spacing w:line="214" w:lineRule="exact"/>
                  <w:ind w:left="20" w:right="0"/>
                  <w:jc w:val="left"/>
                </w:pPr>
                <w:r>
                  <w:rPr/>
                  <w:t>广州广电运通金融电子股份有限公司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29006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08.049988pt;margin-top:42.865608pt;width:231.75pt;height:11.5pt;mso-position-horizontal-relative:page;mso-position-vertical-relative:page;z-index:-1290040" type="#_x0000_t202" filled="false" stroked="false">
          <v:textbox inset="0,0,0,0">
            <w:txbxContent>
              <w:p>
                <w:pPr>
                  <w:pStyle w:val="BodyText"/>
                  <w:spacing w:line="214" w:lineRule="exact"/>
                  <w:ind w:left="20" w:right="0"/>
                  <w:jc w:val="left"/>
                </w:pPr>
                <w:r>
                  <w:rPr/>
                  <w:t>广州广电运通金融电子股份有限公司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94"/>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spacing w:before="30"/>
      <w:ind w:left="138"/>
      <w:outlineLvl w:val="3"/>
    </w:pPr>
    <w:rPr>
      <w:rFonts w:ascii="宋体" w:hAnsi="宋体" w:eastAsia="宋体"/>
      <w:sz w:val="21"/>
      <w:szCs w:val="21"/>
    </w:rPr>
  </w:style>
  <w:style w:styleId="Heading4" w:type="paragraph">
    <w:name w:val="Heading 4"/>
    <w:basedOn w:val="Normal"/>
    <w:uiPriority w:val="1"/>
    <w:qFormat/>
    <w:pPr>
      <w:ind w:left="152"/>
      <w:outlineLvl w:val="4"/>
    </w:pPr>
    <w:rPr>
      <w:rFonts w:ascii="宋体" w:hAnsi="宋体" w:eastAsia="宋体"/>
      <w:b/>
      <w:bCs/>
      <w:sz w:val="20"/>
      <w:szCs w:val="20"/>
    </w:rPr>
  </w:style>
  <w:style w:styleId="Heading5" w:type="paragraph">
    <w:name w:val="Heading 5"/>
    <w:basedOn w:val="Normal"/>
    <w:uiPriority w:val="1"/>
    <w:qFormat/>
    <w:pPr>
      <w:ind w:left="138"/>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hyperlink" Target="http://www.grgbanking.com/" TargetMode="External"/><Relationship Id="rId9" Type="http://schemas.openxmlformats.org/officeDocument/2006/relationships/hyperlink" Target="mailto:securities@grgbanking.com" TargetMode="External"/><Relationship Id="rId10" Type="http://schemas.openxmlformats.org/officeDocument/2006/relationships/hyperlink" Target="http://www.cninfo.com.cn/" TargetMode="External"/><Relationship Id="rId11" Type="http://schemas.openxmlformats.org/officeDocument/2006/relationships/image" Target="media/image3.png"/><Relationship Id="rId12" Type="http://schemas.openxmlformats.org/officeDocument/2006/relationships/hyperlink" Target="http://www.cninfo.com.cn&#19978;&#30340;&#30456;&#20851;&#20844;&#21578;/" TargetMode="External"/><Relationship Id="rId13" Type="http://schemas.openxmlformats.org/officeDocument/2006/relationships/hyperlink" Target="http://www.cninfo.com/"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disclosure.szse.cn/m/finalpage/2015-03-11/1200687927.PDF" TargetMode="External"/><Relationship Id="rId23" Type="http://schemas.openxmlformats.org/officeDocument/2006/relationships/hyperlink" Target="http://disclosure.szse.cn/m/finalpage/2015-03-11/1200687930.PDF" TargetMode="External"/><Relationship Id="rId24" Type="http://schemas.openxmlformats.org/officeDocument/2006/relationships/hyperlink" Target="http://disclosure.szse.cn/m/finalpage/2015-03-11/1200687931.PDF" TargetMode="External"/><Relationship Id="rId25" Type="http://schemas.openxmlformats.org/officeDocument/2006/relationships/hyperlink" Target="http://disclosure.szse.cn/m/finalpage/2015-03-11/1200687934.PDF" TargetMode="External"/><Relationship Id="rId26" Type="http://schemas.openxmlformats.org/officeDocument/2006/relationships/hyperlink" Target="http://disclosure.szse.cn/m/finalpage/2015-04-17/1200849145.PDF" TargetMode="External"/><Relationship Id="rId27" Type="http://schemas.openxmlformats.org/officeDocument/2006/relationships/hyperlink" Target="http://disclosure.szse.cn/m/finalpage/2015-08-03/1201383088.PDF" TargetMode="External"/><Relationship Id="rId28" Type="http://schemas.openxmlformats.org/officeDocument/2006/relationships/hyperlink" Target="http://disclosure.szse.cn/m/finalpage/2015-08-03/1201383091.PDF" TargetMode="External"/><Relationship Id="rId29" Type="http://schemas.openxmlformats.org/officeDocument/2006/relationships/hyperlink" Target="http://disclosure.szse.cn/m/finalpage/2015-10-10/1201674705.PDF" TargetMode="External"/><Relationship Id="rId30" Type="http://schemas.openxmlformats.org/officeDocument/2006/relationships/hyperlink" Target="http://disclosure.szse.cn/m/finalpage/2015-10-10/1201674709.PDF" TargetMode="External"/><Relationship Id="rId31" Type="http://schemas.openxmlformats.org/officeDocument/2006/relationships/hyperlink" Target="http://disclosure.szse.cn/m/finalpage/2015-10-10/1201674716.PDF" TargetMode="External"/><Relationship Id="rId32" Type="http://schemas.openxmlformats.org/officeDocument/2006/relationships/hyperlink" Target="http://disclosure.szse.cn/m/finalpage/2015-10-27/1201726851.PDF" TargetMode="External"/><Relationship Id="rId33" Type="http://schemas.openxmlformats.org/officeDocument/2006/relationships/hyperlink" Target="http://disclosure.szse.cn/m/finalpage/2016-01-04/1201882846.PDF" TargetMode="External"/><Relationship Id="rId34" Type="http://schemas.openxmlformats.org/officeDocument/2006/relationships/hyperlink" Target="http://www.baidu.com/link?url=oEeQEj0Mp4oPKuu8GQqMkuLrPVDjDlZyeMenGLJIUvQBj7xe6iHf_80BI6wCEFc_ot6fIHBOyLpjw5Vjk1cUiSeiSolSlLAIudfc9J5Ngx_" TargetMode="External"/><Relationship Id="rId35" Type="http://schemas.openxmlformats.org/officeDocument/2006/relationships/image" Target="media/image12.png"/><Relationship Id="rId36" Type="http://schemas.openxmlformats.org/officeDocument/2006/relationships/image" Target="media/image13.png"/><Relationship Id="rId37" Type="http://schemas.openxmlformats.org/officeDocument/2006/relationships/image" Target="media/image14.png"/><Relationship Id="rId38" Type="http://schemas.openxmlformats.org/officeDocument/2006/relationships/header" Target="header2.xml"/><Relationship Id="rId39" Type="http://schemas.openxmlformats.org/officeDocument/2006/relationships/footer" Target="footer2.xml"/><Relationship Id="rId40" Type="http://schemas.openxmlformats.org/officeDocument/2006/relationships/footer" Target="footer3.xml"/><Relationship Id="rId41" Type="http://schemas.openxmlformats.org/officeDocument/2006/relationships/footer" Target="footer4.xml"/><Relationship Id="rId42" Type="http://schemas.openxmlformats.org/officeDocument/2006/relationships/image" Target="media/image15.png"/><Relationship Id="rId43" Type="http://schemas.openxmlformats.org/officeDocument/2006/relationships/image" Target="media/image16.png"/><Relationship Id="rId44" Type="http://schemas.openxmlformats.org/officeDocument/2006/relationships/image" Target="media/image17.png"/><Relationship Id="rId45" Type="http://schemas.openxmlformats.org/officeDocument/2006/relationships/image" Target="media/image18.png"/><Relationship Id="rId46" Type="http://schemas.openxmlformats.org/officeDocument/2006/relationships/image" Target="media/image19.png"/><Relationship Id="rId47" Type="http://schemas.openxmlformats.org/officeDocument/2006/relationships/image" Target="media/image20.png"/><Relationship Id="rId48" Type="http://schemas.openxmlformats.org/officeDocument/2006/relationships/image" Target="media/image21.png"/><Relationship Id="rId49" Type="http://schemas.openxmlformats.org/officeDocument/2006/relationships/image" Target="media/image22.png"/><Relationship Id="rId50" Type="http://schemas.openxmlformats.org/officeDocument/2006/relationships/image" Target="media/image23.png"/><Relationship Id="rId51" Type="http://schemas.openxmlformats.org/officeDocument/2006/relationships/image" Target="media/image24.png"/><Relationship Id="rId52" Type="http://schemas.openxmlformats.org/officeDocument/2006/relationships/image" Target="media/image25.png"/><Relationship Id="rId53" Type="http://schemas.openxmlformats.org/officeDocument/2006/relationships/image" Target="media/image26.png"/><Relationship Id="rId54" Type="http://schemas.openxmlformats.org/officeDocument/2006/relationships/image" Target="media/image27.png"/><Relationship Id="rId55" Type="http://schemas.openxmlformats.org/officeDocument/2006/relationships/image" Target="media/image28.png"/><Relationship Id="rId56" Type="http://schemas.openxmlformats.org/officeDocument/2006/relationships/header" Target="header3.xml"/><Relationship Id="rId57"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广州广电运通金融电子股份有限公司</dc:creator>
  <dc:title>广州广电运通金融电子股份有限公司2017年年度报告全文</dc:title>
  <dcterms:created xsi:type="dcterms:W3CDTF">2020-05-05T03:51:17Z</dcterms:created>
  <dcterms:modified xsi:type="dcterms:W3CDTF">2020-05-05T03:51:17Z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2019-04-26T00:00:00Z</vt:filetime>
  </property>
  <property fmtid="{D5CDD505-2E9C-101B-9397-08002B2CF9AE}" pid="3" name="Creator">
    <vt:lpwstr>Microsoft® Office Word 2007</vt:lpwstr>
  </property>
  <property fmtid="{D5CDD505-2E9C-101B-9397-08002B2CF9AE}" pid="4" name="LastSaved">
    <vt:filetime>2020-05-04T00:00:00Z</vt:filetime>
  </property>
</Properties>
</file>